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200"/>
        <w:jc w:val="center"/>
      </w:pPr>
      <w:r>
        <w:rPr>
          <w:rFonts w:ascii="Arial" w:cs="Arial" w:eastAsia="Arial" w:hAnsi="Arial"/>
          <w:b/>
          <w:bCs/>
          <w:color w:val="1F4E79"/>
          <w:sz w:val="56"/>
          <w:szCs w:val="56"/>
        </w:rPr>
        <w:t xml:space="preserve">VENTURE DEBT</w:t>
      </w:r>
    </w:p>
    <w:p>
      <w:pPr>
        <w:spacing w:after="60"/>
        <w:jc w:val="center"/>
      </w:pPr>
      <w:r>
        <w:rPr>
          <w:rFonts w:ascii="Arial" w:cs="Arial" w:eastAsia="Arial" w:hAnsi="Arial"/>
          <w:color w:val="2E75B6"/>
          <w:sz w:val="36"/>
          <w:szCs w:val="36"/>
        </w:rPr>
        <w:t xml:space="preserve">The Complete Risk Manager’s Reference</w:t>
      </w:r>
    </w:p>
    <w:p>
      <w:pPr>
        <w:pBdr>
          <w:bottom w:val="single" w:color="2E75B6" w:sz="6" w:space="8"/>
        </w:pBdr>
        <w:spacing w:after="600"/>
        <w:jc w:val="center"/>
      </w:pPr>
      <w:r>
        <w:rPr>
          <w:rFonts w:ascii="Arial" w:cs="Arial" w:eastAsia="Arial" w:hAnsi="Arial"/>
          <w:color w:val="666666"/>
          <w:sz w:val="24"/>
          <w:szCs w:val="24"/>
        </w:rPr>
        <w:t xml:space="preserve">HSBC Asset Management × Innovation Banking</w:t>
      </w:r>
    </w:p>
    <w:p>
      <w:pPr>
        <w:spacing w:after="100"/>
      </w:pPr>
    </w:p>
    <w:p>
      <w:pPr>
        <w:spacing w:after="100"/>
      </w:pPr>
    </w:p>
    <w:p>
      <w:pPr>
        <w:jc w:val="center"/>
      </w:pPr>
      <w:r>
        <w:rPr>
          <w:rFonts w:ascii="Arial" w:cs="Arial" w:eastAsia="Arial" w:hAnsi="Arial"/>
          <w:b/>
          <w:bCs/>
          <w:color w:val="1F4E79"/>
          <w:sz w:val="28"/>
          <w:szCs w:val="28"/>
        </w:rPr>
        <w:t xml:space="preserve">Venture Debt Co-Lending Programme</w:t>
      </w:r>
    </w:p>
    <w:p>
      <w:pPr>
        <w:spacing w:after="40"/>
        <w:jc w:val="center"/>
      </w:pPr>
      <w:r>
        <w:rPr>
          <w:rFonts w:ascii="Arial" w:cs="Arial" w:eastAsia="Arial" w:hAnsi="Arial"/>
          <w:color w:val="666666"/>
          <w:sz w:val="22"/>
          <w:szCs w:val="22"/>
        </w:rPr>
        <w:t xml:space="preserve">Risk Management Division — IC Preparation &amp; Portfolio Oversight</w:t>
      </w:r>
    </w:p>
    <w:p>
      <w:pPr>
        <w:spacing w:after="100"/>
      </w:pPr>
    </w:p>
    <w:p>
      <w:pPr>
        <w:spacing w:after="100"/>
      </w:pPr>
    </w:p>
    <w:p>
      <w:pPr>
        <w:jc w:val="center"/>
      </w:pPr>
      <w:r>
        <w:rPr>
          <w:rFonts w:ascii="Arial" w:cs="Arial" w:eastAsia="Arial" w:hAnsi="Arial"/>
          <w:b/>
          <w:bCs/>
          <w:color w:val="CC0000"/>
          <w:sz w:val="20"/>
          <w:szCs w:val="20"/>
        </w:rPr>
        <w:t xml:space="preserve">CONFIDENTIAL — INTERNAL USE ONLY</w:t>
      </w:r>
    </w:p>
    <w:p>
      <w:pPr>
        <w:spacing w:after="100"/>
      </w:pPr>
    </w:p>
    <w:p>
      <w:pPr>
        <w:spacing w:after="100"/>
      </w:pPr>
    </w:p>
    <w:p>
      <w:pPr>
        <w:spacing w:after="100"/>
      </w:pPr>
    </w:p>
    <w:p>
      <w:pPr>
        <w:jc w:val="center"/>
      </w:pPr>
      <w:r>
        <w:rPr>
          <w:rFonts w:ascii="Arial" w:cs="Arial" w:eastAsia="Arial" w:hAnsi="Arial"/>
          <w:color w:val="888888"/>
          <w:sz w:val="22"/>
          <w:szCs w:val="22"/>
        </w:rPr>
        <w:t xml:space="preserve">April 2026 — Version 2.0</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PART 1: VENTURE DEBT KNOWLEDGE MAP</w:t>
      </w:r>
    </w:p>
    <w:p>
      <w:pPr>
        <w:spacing w:after="160" w:line="300"/>
      </w:pPr>
      <w:r>
        <w:rPr>
          <w:rFonts w:ascii="Arial" w:cs="Arial" w:eastAsia="Arial" w:hAnsi="Arial"/>
          <w:sz w:val="22"/>
          <w:szCs w:val="22"/>
        </w:rPr>
        <w:t xml:space="preserve">The knowledge map below shows the six domains a risk manager in the HSBC AM venture debt co-lending programme must master. Each layer builds on the one above. The map is designed to be read top-down: foundations first, then deal mechanics, underwriting, HSBC-specific context, risk management, and finally ongoing monitoring. The green decision framework at the bottom represents the six gates every deal must pass before reaching the Investment Committee.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LAYER 1: FOUNDATIONS</w:t>
            </w:r>
          </w:p>
          <w:p>
            <w:pPr>
              <w:jc w:val="center"/>
            </w:pPr>
            <w:r>
              <w:rPr>
                <w:rFonts w:ascii="Arial" w:cs="Arial" w:eastAsia="Arial" w:hAnsi="Arial"/>
                <w:color w:val="D6E4F0"/>
                <w:sz w:val="18"/>
                <w:szCs w:val="18"/>
              </w:rPr>
              <w:t xml:space="preserve">What is venture debt  •  How it differs from traditional lending  •  The ecosystem of lenders</w:t>
            </w:r>
          </w:p>
        </w:tc>
      </w:tr>
    </w:tbl>
    <w:p>
      <w:pPr>
        <w:spacing w:after="40" w:before="40"/>
        <w:jc w:val="center"/>
      </w:pPr>
      <w:r>
        <w:rPr>
          <w:color w:val="999999"/>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7B68A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 Sheet</w:t>
            </w:r>
          </w:p>
          <w:p>
            <w:pPr>
              <w:jc w:val="center"/>
            </w:pPr>
            <w:r>
              <w:rPr>
                <w:rFonts w:ascii="Arial" w:cs="Arial" w:eastAsia="Arial" w:hAnsi="Arial"/>
                <w:color w:val="E0D8F0"/>
                <w:sz w:val="16"/>
                <w:szCs w:val="16"/>
              </w:rPr>
              <w:t xml:space="preserve">Rate, tenor, structure</w:t>
            </w:r>
          </w:p>
        </w:tc>
        <w:tc>
          <w:tcPr>
            <w:tcW w:type="dxa" w:w="3120"/>
            <w:tcBorders>
              <w:top w:val="single" w:color="CCCCCC" w:sz="1"/>
              <w:left w:val="single" w:color="CCCCCC" w:sz="1"/>
              <w:bottom w:val="single" w:color="CCCCCC" w:sz="1"/>
              <w:right w:val="single" w:color="CCCCCC" w:sz="1"/>
            </w:tcBorders>
            <w:shd w:fill="7B68A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Warrants &amp; Fees</w:t>
            </w:r>
          </w:p>
          <w:p>
            <w:pPr>
              <w:jc w:val="center"/>
            </w:pPr>
            <w:r>
              <w:rPr>
                <w:rFonts w:ascii="Arial" w:cs="Arial" w:eastAsia="Arial" w:hAnsi="Arial"/>
                <w:color w:val="E0D8F0"/>
                <w:sz w:val="16"/>
                <w:szCs w:val="16"/>
              </w:rPr>
              <w:t xml:space="preserve">Coverage, strike, OID</w:t>
            </w:r>
          </w:p>
        </w:tc>
        <w:tc>
          <w:tcPr>
            <w:tcW w:type="dxa" w:w="3120"/>
            <w:tcBorders>
              <w:top w:val="single" w:color="CCCCCC" w:sz="1"/>
              <w:left w:val="single" w:color="CCCCCC" w:sz="1"/>
              <w:bottom w:val="single" w:color="CCCCCC" w:sz="1"/>
              <w:right w:val="single" w:color="CCCCCC" w:sz="1"/>
            </w:tcBorders>
            <w:shd w:fill="7B68A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Covenants &amp; Security</w:t>
            </w:r>
          </w:p>
          <w:p>
            <w:pPr>
              <w:jc w:val="center"/>
            </w:pPr>
            <w:r>
              <w:rPr>
                <w:rFonts w:ascii="Arial" w:cs="Arial" w:eastAsia="Arial" w:hAnsi="Arial"/>
                <w:color w:val="E0D8F0"/>
                <w:sz w:val="16"/>
                <w:szCs w:val="16"/>
              </w:rPr>
              <w:t xml:space="preserve">Liquidity, UCC-1, liens</w:t>
            </w:r>
          </w:p>
        </w:tc>
      </w:tr>
    </w:tbl>
    <w:p>
      <w:pPr>
        <w:spacing w:after="40" w:before="40"/>
        <w:jc w:val="center"/>
      </w:pPr>
      <w:r>
        <w:rPr>
          <w:color w:val="999999"/>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 3: UNDERWRITING — FOUR PILLARS</w:t>
            </w:r>
          </w:p>
        </w:tc>
      </w:tr>
      <w:tr>
        <w:tc>
          <w:tcPr>
            <w:tcW w:type="dxa" w:w="234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85041"/>
                <w:sz w:val="18"/>
                <w:szCs w:val="18"/>
              </w:rPr>
              <w:t xml:space="preserve">Investor Quality</w:t>
            </w:r>
          </w:p>
          <w:p>
            <w:pPr>
              <w:jc w:val="center"/>
            </w:pPr>
            <w:r>
              <w:rPr>
                <w:rFonts w:ascii="Arial" w:cs="Arial" w:eastAsia="Arial" w:hAnsi="Arial"/>
                <w:color w:val="0F6E56"/>
                <w:sz w:val="14"/>
                <w:szCs w:val="14"/>
              </w:rPr>
              <w:t xml:space="preserve">Tier, dry powder, track record</w:t>
            </w:r>
          </w:p>
        </w:tc>
        <w:tc>
          <w:tcPr>
            <w:tcW w:type="dxa" w:w="234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85041"/>
                <w:sz w:val="18"/>
                <w:szCs w:val="18"/>
              </w:rPr>
              <w:t xml:space="preserve">Capital &amp; Runway</w:t>
            </w:r>
          </w:p>
          <w:p>
            <w:pPr>
              <w:jc w:val="center"/>
            </w:pPr>
            <w:r>
              <w:rPr>
                <w:rFonts w:ascii="Arial" w:cs="Arial" w:eastAsia="Arial" w:hAnsi="Arial"/>
                <w:color w:val="0F6E56"/>
                <w:sz w:val="14"/>
                <w:szCs w:val="14"/>
              </w:rPr>
              <w:t xml:space="preserve">Burn, LTV, months left</w:t>
            </w:r>
          </w:p>
        </w:tc>
        <w:tc>
          <w:tcPr>
            <w:tcW w:type="dxa" w:w="234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85041"/>
                <w:sz w:val="18"/>
                <w:szCs w:val="18"/>
              </w:rPr>
              <w:t xml:space="preserve">Business Metrics</w:t>
            </w:r>
          </w:p>
          <w:p>
            <w:pPr>
              <w:jc w:val="center"/>
            </w:pPr>
            <w:r>
              <w:rPr>
                <w:rFonts w:ascii="Arial" w:cs="Arial" w:eastAsia="Arial" w:hAnsi="Arial"/>
                <w:color w:val="0F6E56"/>
                <w:sz w:val="14"/>
                <w:szCs w:val="14"/>
              </w:rPr>
              <w:t xml:space="preserve">ARR, NRR, Rule of 40</w:t>
            </w:r>
          </w:p>
        </w:tc>
        <w:tc>
          <w:tcPr>
            <w:tcW w:type="dxa" w:w="234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85041"/>
                <w:sz w:val="18"/>
                <w:szCs w:val="18"/>
              </w:rPr>
              <w:t xml:space="preserve">Market Position</w:t>
            </w:r>
          </w:p>
          <w:p>
            <w:pPr>
              <w:jc w:val="center"/>
            </w:pPr>
            <w:r>
              <w:rPr>
                <w:rFonts w:ascii="Arial" w:cs="Arial" w:eastAsia="Arial" w:hAnsi="Arial"/>
                <w:color w:val="0F6E56"/>
                <w:sz w:val="14"/>
                <w:szCs w:val="14"/>
              </w:rPr>
              <w:t xml:space="preserve">TAM, moat, defensibility</w:t>
            </w:r>
          </w:p>
        </w:tc>
      </w:tr>
    </w:tbl>
    <w:p>
      <w:pPr>
        <w:spacing w:after="40" w:before="40"/>
        <w:jc w:val="center"/>
      </w:pPr>
      <w:r>
        <w:rPr>
          <w:color w:val="999999"/>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CCCCCC" w:sz="1"/>
              <w:left w:val="single" w:color="CCCCCC" w:sz="1"/>
              <w:bottom w:val="single" w:color="CCCCCC" w:sz="1"/>
              <w:right w:val="single" w:color="CCCCCC" w:sz="1"/>
            </w:tcBorders>
            <w:shd w:fill="D85A3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 4: HSBC AM × INNOVATION BANKING CO-LENDING</w:t>
            </w:r>
          </w:p>
        </w:tc>
      </w:tr>
      <w:tr>
        <w:tc>
          <w:tcPr>
            <w:tcW w:type="dxa" w:w="312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center"/>
            </w:pPr>
            <w:r>
              <w:rPr>
                <w:rFonts w:ascii="Arial" w:cs="Arial" w:eastAsia="Arial" w:hAnsi="Arial"/>
                <w:b/>
                <w:bCs/>
                <w:color w:val="712B13"/>
                <w:sz w:val="18"/>
                <w:szCs w:val="18"/>
              </w:rPr>
              <w:t xml:space="preserve">SVB Acquisition &amp; Team</w:t>
            </w:r>
          </w:p>
        </w:tc>
        <w:tc>
          <w:tcPr>
            <w:tcW w:type="dxa" w:w="312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center"/>
            </w:pPr>
            <w:r>
              <w:rPr>
                <w:rFonts w:ascii="Arial" w:cs="Arial" w:eastAsia="Arial" w:hAnsi="Arial"/>
                <w:b/>
                <w:bCs/>
                <w:color w:val="712B13"/>
                <w:sz w:val="18"/>
                <w:szCs w:val="18"/>
              </w:rPr>
              <w:t xml:space="preserve">Co-Lending Structure</w:t>
            </w:r>
          </w:p>
        </w:tc>
        <w:tc>
          <w:tcPr>
            <w:tcW w:type="dxa" w:w="312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center"/>
            </w:pPr>
            <w:r>
              <w:rPr>
                <w:rFonts w:ascii="Arial" w:cs="Arial" w:eastAsia="Arial" w:hAnsi="Arial"/>
                <w:b/>
                <w:bCs/>
                <w:color w:val="712B13"/>
                <w:sz w:val="18"/>
                <w:szCs w:val="18"/>
              </w:rPr>
              <w:t xml:space="preserve">IC Process &amp; Governance</w:t>
            </w:r>
          </w:p>
        </w:tc>
      </w:tr>
    </w:tbl>
    <w:p>
      <w:pPr>
        <w:spacing w:after="40" w:before="40"/>
        <w:jc w:val="center"/>
      </w:pPr>
      <w:r>
        <w:rPr>
          <w:color w:val="999999"/>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 5: WHOLESOME RISK FRAMEWORK</w:t>
            </w:r>
          </w:p>
        </w:tc>
      </w:tr>
      <w:tr>
        <w:tc>
          <w:tcPr>
            <w:tcW w:type="dxa" w:w="234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jc w:val="center"/>
            </w:pPr>
            <w:r>
              <w:rPr>
                <w:rFonts w:ascii="Arial" w:cs="Arial" w:eastAsia="Arial" w:hAnsi="Arial"/>
                <w:b/>
                <w:bCs/>
                <w:color w:val="791F1F"/>
                <w:sz w:val="18"/>
                <w:szCs w:val="18"/>
              </w:rPr>
              <w:t xml:space="preserve">Credit Risk</w:t>
            </w:r>
          </w:p>
        </w:tc>
        <w:tc>
          <w:tcPr>
            <w:tcW w:type="dxa" w:w="234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jc w:val="center"/>
            </w:pPr>
            <w:r>
              <w:rPr>
                <w:rFonts w:ascii="Arial" w:cs="Arial" w:eastAsia="Arial" w:hAnsi="Arial"/>
                <w:b/>
                <w:bCs/>
                <w:color w:val="791F1F"/>
                <w:sz w:val="18"/>
                <w:szCs w:val="18"/>
              </w:rPr>
              <w:t xml:space="preserve">Concentration</w:t>
            </w:r>
          </w:p>
        </w:tc>
        <w:tc>
          <w:tcPr>
            <w:tcW w:type="dxa" w:w="234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jc w:val="center"/>
            </w:pPr>
            <w:r>
              <w:rPr>
                <w:rFonts w:ascii="Arial" w:cs="Arial" w:eastAsia="Arial" w:hAnsi="Arial"/>
                <w:b/>
                <w:bCs/>
                <w:color w:val="791F1F"/>
                <w:sz w:val="18"/>
                <w:szCs w:val="18"/>
              </w:rPr>
              <w:t xml:space="preserve">Operational</w:t>
            </w:r>
          </w:p>
        </w:tc>
        <w:tc>
          <w:tcPr>
            <w:tcW w:type="dxa" w:w="234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jc w:val="center"/>
            </w:pPr>
            <w:r>
              <w:rPr>
                <w:rFonts w:ascii="Arial" w:cs="Arial" w:eastAsia="Arial" w:hAnsi="Arial"/>
                <w:b/>
                <w:bCs/>
                <w:color w:val="791F1F"/>
                <w:sz w:val="18"/>
                <w:szCs w:val="18"/>
              </w:rPr>
              <w:t xml:space="preserve">Reputational</w:t>
            </w:r>
          </w:p>
        </w:tc>
      </w:tr>
    </w:tbl>
    <w:p>
      <w:pPr>
        <w:spacing w:after="40" w:before="40"/>
        <w:jc w:val="center"/>
      </w:pPr>
      <w:r>
        <w:rPr>
          <w:color w:val="999999"/>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7D46"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LAYER 6: MONITORING, EARLY WARNING &amp; BOARD DASHBOARD</w:t>
            </w:r>
          </w:p>
          <w:p>
            <w:pPr>
              <w:jc w:val="center"/>
            </w:pPr>
            <w:r>
              <w:rPr>
                <w:rFonts w:ascii="Arial" w:cs="Arial" w:eastAsia="Arial" w:hAnsi="Arial"/>
                <w:color w:val="C0DD97"/>
                <w:sz w:val="16"/>
                <w:szCs w:val="16"/>
              </w:rPr>
              <w:t xml:space="preserve">Monthly checklist  •  Red flags  •  Workout  •  Portfolio tracker  •  Board reporting</w:t>
            </w:r>
          </w:p>
        </w:tc>
      </w:tr>
    </w:tbl>
    <w:p>
      <w:pPr>
        <w:spacing w:after="100"/>
      </w:pPr>
    </w:p>
    <w:p>
      <w:r>
        <w:br w:type="page"/>
      </w:r>
    </w:p>
    <w:p>
      <w:pPr>
        <w:pStyle w:val="Heading1"/>
      </w:pPr>
      <w:r>
        <w:t xml:space="preserve">PART 2: VENTURE DEBT FOUNDATIONS</w:t>
      </w:r>
    </w:p>
    <w:p>
      <w:pPr>
        <w:pStyle w:val="Heading2"/>
      </w:pPr>
      <w:r>
        <w:t xml:space="preserve">2.1 What Is Venture Debt</w:t>
      </w:r>
    </w:p>
    <w:p>
      <w:pPr>
        <w:spacing w:after="160" w:line="300"/>
      </w:pPr>
      <w:r>
        <w:rPr>
          <w:rFonts w:ascii="Arial" w:cs="Arial" w:eastAsia="Arial" w:hAnsi="Arial"/>
          <w:sz w:val="22"/>
          <w:szCs w:val="22"/>
        </w:rPr>
        <w:t xml:space="preserve">Venture debt is non-dilutive financing for venture capital-backed companies. Unlike traditional lending, it is underwritten primarily against the quality of the company’s equity investors, the size of the most recent equity round, the burn rate trajectory, and the ability to raise follow-on capital. It supplements equity — it does not replace it. A lender extends a term loan or revolving facility to a startup that has recently closed an equity round from institutional investors. The loan typically represents 25–35% of the last equity round. Repayment is expected from future equity raises, revenue growth, or an exit event.</w:t>
      </w:r>
    </w:p>
    <w:p>
      <w:pPr>
        <w:pStyle w:val="Heading2"/>
      </w:pPr>
      <w:r>
        <w:t xml:space="preserve">2.2 Venture Debt vs Traditional Lending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Dimension</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Venture Debt vs Traditional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Borrower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Pre-profit, VC-backed, negative cash flow vs established, cash-flow positive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Repayment Source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Future equity, revenue growth, exit vs current operating cash flow</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Collateral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Blanket lien on all assets including IP; rarely sufficient in liquidation vs hard assets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Underwriting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Investor quality, round size, burn, ARR vs DSCR, leverage, historical financials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Pricing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SOFR + 6–9% + warrants + fees (all-in 10–13%) vs SOFR + 2–4%</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Tenor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2–4 years with I/O periods vs 5–10 years fully amortising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Covenants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Min liquidity, performance-to-plan vs DSCR, leverage, net worth</w:t>
            </w:r>
          </w:p>
        </w:tc>
      </w:tr>
    </w:tbl>
    <w:p>
      <w:pPr>
        <w:spacing w:after="100"/>
      </w:pPr>
    </w:p>
    <w:p>
      <w:pPr>
        <w:pStyle w:val="Heading2"/>
      </w:pPr>
      <w:r>
        <w:t xml:space="preserve">2.3 The Deal Anatomy — Key Components</w:t>
      </w:r>
    </w:p>
    <w:p>
      <w:pPr>
        <w:spacing w:after="160" w:line="300"/>
      </w:pPr>
      <w:r>
        <w:rPr>
          <w:rFonts w:ascii="Arial" w:cs="Arial" w:eastAsia="Arial" w:hAnsi="Arial"/>
          <w:sz w:val="22"/>
          <w:szCs w:val="22"/>
        </w:rPr>
        <w:t xml:space="preserve">Every venture debt facility is built from these components. As a risk manager at IC, you must be able to interrogate each one:</w:t>
      </w:r>
    </w:p>
    <w:p>
      <w:pPr>
        <w:pStyle w:val="ListParagraph"/>
        <w:numPr>
          <w:ilvl w:val="0"/>
          <w:numId w:val="2"/>
        </w:numPr>
        <w:spacing w:after="80" w:line="300"/>
      </w:pPr>
      <w:r>
        <w:rPr>
          <w:rFonts w:ascii="Arial" w:cs="Arial" w:eastAsia="Arial" w:hAnsi="Arial"/>
          <w:b/>
          <w:bCs/>
          <w:sz w:val="22"/>
          <w:szCs w:val="22"/>
        </w:rPr>
        <w:t xml:space="preserve">Interest Rate: </w:t>
      </w:r>
      <w:r>
        <w:rPr>
          <w:rFonts w:ascii="Arial" w:cs="Arial" w:eastAsia="Arial" w:hAnsi="Arial"/>
          <w:sz w:val="22"/>
          <w:szCs w:val="22"/>
        </w:rPr>
        <w:t xml:space="preserve">Floating rate, typically SOFR + 6–9%. All-in 10–13% in current environment.</w:t>
      </w:r>
    </w:p>
    <w:p>
      <w:pPr>
        <w:pStyle w:val="ListParagraph"/>
        <w:numPr>
          <w:ilvl w:val="0"/>
          <w:numId w:val="2"/>
        </w:numPr>
        <w:spacing w:after="80" w:line="300"/>
      </w:pPr>
      <w:r>
        <w:rPr>
          <w:rFonts w:ascii="Arial" w:cs="Arial" w:eastAsia="Arial" w:hAnsi="Arial"/>
          <w:b/>
          <w:bCs/>
          <w:sz w:val="22"/>
          <w:szCs w:val="22"/>
        </w:rPr>
        <w:t xml:space="preserve">Repayment Structure: </w:t>
      </w:r>
      <w:r>
        <w:rPr>
          <w:rFonts w:ascii="Arial" w:cs="Arial" w:eastAsia="Arial" w:hAnsi="Arial"/>
          <w:sz w:val="22"/>
          <w:szCs w:val="22"/>
        </w:rPr>
        <w:t xml:space="preserve">Interest-only period (6–24 months) followed by principal + interest amortisation (12–36 months). Some bullet loans where full principal due at maturity.</w:t>
      </w:r>
    </w:p>
    <w:p>
      <w:pPr>
        <w:pStyle w:val="ListParagraph"/>
        <w:numPr>
          <w:ilvl w:val="0"/>
          <w:numId w:val="2"/>
        </w:numPr>
        <w:spacing w:after="80" w:line="300"/>
      </w:pPr>
      <w:r>
        <w:rPr>
          <w:rFonts w:ascii="Arial" w:cs="Arial" w:eastAsia="Arial" w:hAnsi="Arial"/>
          <w:b/>
          <w:bCs/>
          <w:sz w:val="22"/>
          <w:szCs w:val="22"/>
        </w:rPr>
        <w:t xml:space="preserve">Warrants: </w:t>
      </w:r>
      <w:r>
        <w:rPr>
          <w:rFonts w:ascii="Arial" w:cs="Arial" w:eastAsia="Arial" w:hAnsi="Arial"/>
          <w:sz w:val="22"/>
          <w:szCs w:val="22"/>
        </w:rPr>
        <w:t xml:space="preserve">Equity kicker for lender. Coverage 0.5–2.0% of commitment. Strike at last preferred round price. Duration 10–12 years. Exercise via cash or cashless at exit.</w:t>
      </w:r>
    </w:p>
    <w:p>
      <w:pPr>
        <w:pStyle w:val="ListParagraph"/>
        <w:numPr>
          <w:ilvl w:val="0"/>
          <w:numId w:val="2"/>
        </w:numPr>
        <w:spacing w:after="80" w:line="300"/>
      </w:pPr>
      <w:r>
        <w:rPr>
          <w:rFonts w:ascii="Arial" w:cs="Arial" w:eastAsia="Arial" w:hAnsi="Arial"/>
          <w:b/>
          <w:bCs/>
          <w:sz w:val="22"/>
          <w:szCs w:val="22"/>
        </w:rPr>
        <w:t xml:space="preserve">Fees: </w:t>
      </w:r>
      <w:r>
        <w:rPr>
          <w:rFonts w:ascii="Arial" w:cs="Arial" w:eastAsia="Arial" w:hAnsi="Arial"/>
          <w:sz w:val="22"/>
          <w:szCs w:val="22"/>
        </w:rPr>
        <w:t xml:space="preserve">Origination 0.5–1.0%, prepayment 1–3% (declining), final payment 1–3%, commitment fee on undrawn 0.25–0.50%.</w:t>
      </w:r>
    </w:p>
    <w:p>
      <w:pPr>
        <w:pStyle w:val="ListParagraph"/>
        <w:numPr>
          <w:ilvl w:val="0"/>
          <w:numId w:val="2"/>
        </w:numPr>
        <w:spacing w:after="80" w:line="300"/>
      </w:pPr>
      <w:r>
        <w:rPr>
          <w:rFonts w:ascii="Arial" w:cs="Arial" w:eastAsia="Arial" w:hAnsi="Arial"/>
          <w:b/>
          <w:bCs/>
          <w:sz w:val="22"/>
          <w:szCs w:val="22"/>
        </w:rPr>
        <w:t xml:space="preserve">Covenants: </w:t>
      </w:r>
      <w:r>
        <w:rPr>
          <w:rFonts w:ascii="Arial" w:cs="Arial" w:eastAsia="Arial" w:hAnsi="Arial"/>
          <w:sz w:val="22"/>
          <w:szCs w:val="22"/>
        </w:rPr>
        <w:t xml:space="preserve">Financial (min cash, performance-to-plan, ARR threshold, DSCR for later-stage). Operational (no priming liens, no change of control, no major asset transfer). Reporting (monthly financials + KPI pack).</w:t>
      </w:r>
    </w:p>
    <w:p>
      <w:pPr>
        <w:pStyle w:val="ListParagraph"/>
        <w:numPr>
          <w:ilvl w:val="0"/>
          <w:numId w:val="2"/>
        </w:numPr>
        <w:spacing w:after="80" w:line="300"/>
      </w:pPr>
      <w:r>
        <w:rPr>
          <w:rFonts w:ascii="Arial" w:cs="Arial" w:eastAsia="Arial" w:hAnsi="Arial"/>
          <w:b/>
          <w:bCs/>
          <w:sz w:val="22"/>
          <w:szCs w:val="22"/>
        </w:rPr>
        <w:t xml:space="preserve">Security: </w:t>
      </w:r>
      <w:r>
        <w:rPr>
          <w:rFonts w:ascii="Arial" w:cs="Arial" w:eastAsia="Arial" w:hAnsi="Arial"/>
          <w:sz w:val="22"/>
          <w:szCs w:val="22"/>
        </w:rPr>
        <w:t xml:space="preserve">First-priority blanket lien perfected via UCC-1 filing. Covers all tangible/intangible assets, IP, deposit accounts.</w:t>
      </w:r>
    </w:p>
    <w:p>
      <w:pPr>
        <w:pStyle w:val="ListParagraph"/>
        <w:numPr>
          <w:ilvl w:val="0"/>
          <w:numId w:val="2"/>
        </w:numPr>
        <w:spacing w:after="80" w:line="300"/>
      </w:pPr>
      <w:r>
        <w:rPr>
          <w:rFonts w:ascii="Arial" w:cs="Arial" w:eastAsia="Arial" w:hAnsi="Arial"/>
          <w:b/>
          <w:bCs/>
          <w:sz w:val="22"/>
          <w:szCs w:val="22"/>
        </w:rPr>
        <w:t xml:space="preserve">Default Triggers: </w:t>
      </w:r>
      <w:r>
        <w:rPr>
          <w:rFonts w:ascii="Arial" w:cs="Arial" w:eastAsia="Arial" w:hAnsi="Arial"/>
          <w:sz w:val="22"/>
          <w:szCs w:val="22"/>
        </w:rPr>
        <w:t xml:space="preserve">Payment default, covenant breach, MAC clause, cross-default, bankruptcy, IP loss. Remedies include acceleration, default rate (+3–5%), collateral seizure.</w:t>
      </w:r>
    </w:p>
    <w:p>
      <w:r>
        <w:br w:type="page"/>
      </w:r>
    </w:p>
    <w:p>
      <w:pPr>
        <w:pStyle w:val="Heading1"/>
      </w:pPr>
      <w:r>
        <w:t xml:space="preserve">PART 3: THE HSBC AM × INNOVATION BANKING CO-LENDING MODEL</w:t>
      </w:r>
    </w:p>
    <w:p>
      <w:pPr>
        <w:pStyle w:val="Heading2"/>
      </w:pPr>
      <w:r>
        <w:t xml:space="preserve">3.1 How the Partnership Works</w:t>
      </w:r>
    </w:p>
    <w:p>
      <w:pPr>
        <w:spacing w:after="160" w:line="300"/>
      </w:pPr>
      <w:r>
        <w:rPr>
          <w:rFonts w:ascii="Arial" w:cs="Arial" w:eastAsia="Arial" w:hAnsi="Arial"/>
          <w:sz w:val="22"/>
          <w:szCs w:val="22"/>
        </w:rPr>
        <w:t xml:space="preserve">The HSBC AM venture debt strategy operates as a co-lending partnership with HSBC Innovation Banking (the bank arm). Understanding this dual structure is essential for your role:</w:t>
      </w:r>
    </w:p>
    <w:p>
      <w:pPr>
        <w:pBdr>
          <w:left w:val="single" w:color="2E75B6" w:sz="12" w:space="8"/>
        </w:pBdr>
        <w:spacing w:after="200" w:before="200"/>
        <w:ind w:left="200"/>
      </w:pPr>
      <w:r>
        <w:rPr>
          <w:rFonts w:ascii="Arial" w:cs="Arial" w:eastAsia="Arial" w:hAnsi="Arial"/>
          <w:b/>
          <w:bCs/>
          <w:color w:val="2E75B6"/>
          <w:sz w:val="22"/>
          <w:szCs w:val="22"/>
        </w:rPr>
        <w:t xml:space="preserve">ORIGINATION  </w:t>
      </w:r>
      <w:r>
        <w:rPr>
          <w:rFonts w:ascii="Arial" w:cs="Arial" w:eastAsia="Arial" w:hAnsi="Arial"/>
          <w:sz w:val="22"/>
          <w:szCs w:val="22"/>
        </w:rPr>
        <w:t xml:space="preserve">HSBC Innovation Banking originates deals through its relationship teams across San Francisco, Boston, and New York City. The bank’s 40+ dedicated bankers source opportunities from their VC and startup client relationships.</w:t>
      </w:r>
    </w:p>
    <w:p>
      <w:pPr>
        <w:pBdr>
          <w:left w:val="single" w:color="2E75B6" w:sz="12" w:space="8"/>
        </w:pBdr>
        <w:spacing w:after="200" w:before="200"/>
        <w:ind w:left="200"/>
      </w:pPr>
      <w:r>
        <w:rPr>
          <w:rFonts w:ascii="Arial" w:cs="Arial" w:eastAsia="Arial" w:hAnsi="Arial"/>
          <w:b/>
          <w:bCs/>
          <w:color w:val="2E75B6"/>
          <w:sz w:val="22"/>
          <w:szCs w:val="22"/>
        </w:rPr>
        <w:t xml:space="preserve">ASSET SELECTION  </w:t>
      </w:r>
      <w:r>
        <w:rPr>
          <w:rFonts w:ascii="Arial" w:cs="Arial" w:eastAsia="Arial" w:hAnsi="Arial"/>
          <w:sz w:val="22"/>
          <w:szCs w:val="22"/>
        </w:rPr>
        <w:t xml:space="preserve">HSBC Asset Management manages the asset selection process. Pete Scott (Head of Innovation Credit, ex-SVB Capital Chief Credit Officer with 28+ years) leads the AM’s credit team. The AM applies its own investment criteria, which may differ from the bank’s on-balance-sheet appetite.</w:t>
      </w:r>
    </w:p>
    <w:p>
      <w:pPr>
        <w:pBdr>
          <w:left w:val="single" w:color="2E75B6" w:sz="12" w:space="8"/>
        </w:pBdr>
        <w:spacing w:after="200" w:before="200"/>
        <w:ind w:left="200"/>
      </w:pPr>
      <w:r>
        <w:rPr>
          <w:rFonts w:ascii="Arial" w:cs="Arial" w:eastAsia="Arial" w:hAnsi="Arial"/>
          <w:b/>
          <w:bCs/>
          <w:color w:val="2E75B6"/>
          <w:sz w:val="22"/>
          <w:szCs w:val="22"/>
        </w:rPr>
        <w:t xml:space="preserve">EXECUTION  </w:t>
      </w:r>
      <w:r>
        <w:rPr>
          <w:rFonts w:ascii="Arial" w:cs="Arial" w:eastAsia="Arial" w:hAnsi="Arial"/>
          <w:sz w:val="22"/>
          <w:szCs w:val="22"/>
        </w:rPr>
        <w:t xml:space="preserve">Loans are structured as senior secured facilities to growth and late-stage VC-backed tech and life science companies. The bank and AM may co-invest (hold portions on respective balance sheets) or the AM may take the full allocation for its fund investors.</w:t>
      </w:r>
    </w:p>
    <w:p>
      <w:pPr>
        <w:pStyle w:val="Heading2"/>
      </w:pPr>
      <w:r>
        <w:t xml:space="preserve">3.2 Why This Structure Matters for Risk</w:t>
      </w:r>
    </w:p>
    <w:p>
      <w:pPr>
        <w:spacing w:after="160" w:line="300"/>
      </w:pPr>
      <w:r>
        <w:rPr>
          <w:rFonts w:ascii="Arial" w:cs="Arial" w:eastAsia="Arial" w:hAnsi="Arial"/>
          <w:sz w:val="22"/>
          <w:szCs w:val="22"/>
        </w:rPr>
        <w:t xml:space="preserve">This co-lending model creates unique risk dynamics you must understand:</w:t>
      </w:r>
    </w:p>
    <w:p>
      <w:pPr>
        <w:pStyle w:val="ListParagraph"/>
        <w:numPr>
          <w:ilvl w:val="0"/>
          <w:numId w:val="2"/>
        </w:numPr>
        <w:spacing w:after="80" w:line="300"/>
      </w:pPr>
      <w:r>
        <w:rPr>
          <w:rFonts w:ascii="Arial" w:cs="Arial" w:eastAsia="Arial" w:hAnsi="Arial"/>
          <w:b/>
          <w:bCs/>
          <w:sz w:val="22"/>
          <w:szCs w:val="22"/>
        </w:rPr>
        <w:t xml:space="preserve">Dual Risk Appetite: </w:t>
      </w:r>
      <w:r>
        <w:rPr>
          <w:rFonts w:ascii="Arial" w:cs="Arial" w:eastAsia="Arial" w:hAnsi="Arial"/>
          <w:sz w:val="22"/>
          <w:szCs w:val="22"/>
        </w:rPr>
        <w:t xml:space="preserve">The bank operates under OCC supervision and HSBC group credit policies. The AM operates under fund mandates and LP expectations. These may not always align. A deal that fits the AM’s return target may exceed the bank’s risk appetite, and vice versa.</w:t>
      </w:r>
    </w:p>
    <w:p>
      <w:pPr>
        <w:pStyle w:val="ListParagraph"/>
        <w:numPr>
          <w:ilvl w:val="0"/>
          <w:numId w:val="2"/>
        </w:numPr>
        <w:spacing w:after="80" w:line="300"/>
      </w:pPr>
      <w:r>
        <w:rPr>
          <w:rFonts w:ascii="Arial" w:cs="Arial" w:eastAsia="Arial" w:hAnsi="Arial"/>
          <w:b/>
          <w:bCs/>
          <w:sz w:val="22"/>
          <w:szCs w:val="22"/>
        </w:rPr>
        <w:t xml:space="preserve">Conflict of Interest: </w:t>
      </w:r>
      <w:r>
        <w:rPr>
          <w:rFonts w:ascii="Arial" w:cs="Arial" w:eastAsia="Arial" w:hAnsi="Arial"/>
          <w:sz w:val="22"/>
          <w:szCs w:val="22"/>
        </w:rPr>
        <w:t xml:space="preserve">Innovation Banking is both the originator and a potential co-lender. The AM must independently assess each deal, not rely solely on the bank’s recommendation. Your role is to ensure this independence is real and documented.</w:t>
      </w:r>
    </w:p>
    <w:p>
      <w:pPr>
        <w:pStyle w:val="ListParagraph"/>
        <w:numPr>
          <w:ilvl w:val="0"/>
          <w:numId w:val="2"/>
        </w:numPr>
        <w:spacing w:after="80" w:line="300"/>
      </w:pPr>
      <w:r>
        <w:rPr>
          <w:rFonts w:ascii="Arial" w:cs="Arial" w:eastAsia="Arial" w:hAnsi="Arial"/>
          <w:b/>
          <w:bCs/>
          <w:sz w:val="22"/>
          <w:szCs w:val="22"/>
        </w:rPr>
        <w:t xml:space="preserve">Information Asymmetry: </w:t>
      </w:r>
      <w:r>
        <w:rPr>
          <w:rFonts w:ascii="Arial" w:cs="Arial" w:eastAsia="Arial" w:hAnsi="Arial"/>
          <w:sz w:val="22"/>
          <w:szCs w:val="22"/>
        </w:rPr>
        <w:t xml:space="preserve">The bank’s relationship team has the deposit account data, the daily conversations with management, and the real-time view of the borrower’s cash position. The AM may not have the same visibility. Establish clear information-sharing protocols.</w:t>
      </w:r>
    </w:p>
    <w:p>
      <w:pPr>
        <w:pStyle w:val="ListParagraph"/>
        <w:numPr>
          <w:ilvl w:val="0"/>
          <w:numId w:val="2"/>
        </w:numPr>
        <w:spacing w:after="80" w:line="300"/>
      </w:pPr>
      <w:r>
        <w:rPr>
          <w:rFonts w:ascii="Arial" w:cs="Arial" w:eastAsia="Arial" w:hAnsi="Arial"/>
          <w:b/>
          <w:bCs/>
          <w:sz w:val="22"/>
          <w:szCs w:val="22"/>
        </w:rPr>
        <w:t xml:space="preserve">Workout Coordination: </w:t>
      </w:r>
      <w:r>
        <w:rPr>
          <w:rFonts w:ascii="Arial" w:cs="Arial" w:eastAsia="Arial" w:hAnsi="Arial"/>
          <w:sz w:val="22"/>
          <w:szCs w:val="22"/>
        </w:rPr>
        <w:t xml:space="preserve">If a borrower enters distress, the bank (creditor + deposit holder) and AM (creditor via fund) may have different incentives. The bank may prioritise protecting its deposit relationship; the AM must protect LP capital. Pre-agree workout coordination protocols.</w:t>
      </w:r>
    </w:p>
    <w:p>
      <w:pPr>
        <w:pStyle w:val="ListParagraph"/>
        <w:numPr>
          <w:ilvl w:val="0"/>
          <w:numId w:val="2"/>
        </w:numPr>
        <w:spacing w:after="80" w:line="300"/>
      </w:pPr>
      <w:r>
        <w:rPr>
          <w:rFonts w:ascii="Arial" w:cs="Arial" w:eastAsia="Arial" w:hAnsi="Arial"/>
          <w:b/>
          <w:bCs/>
          <w:sz w:val="22"/>
          <w:szCs w:val="22"/>
        </w:rPr>
        <w:t xml:space="preserve">Allocation Fairness: </w:t>
      </w:r>
      <w:r>
        <w:rPr>
          <w:rFonts w:ascii="Arial" w:cs="Arial" w:eastAsia="Arial" w:hAnsi="Arial"/>
          <w:sz w:val="22"/>
          <w:szCs w:val="22"/>
        </w:rPr>
        <w:t xml:space="preserve">When a highly attractive deal comes through, who gets more allocation — the bank or the AM? Ensure there is a documented allocation policy that prevents cherry-picking.</w:t>
      </w:r>
    </w:p>
    <w:p>
      <w:pPr>
        <w:pStyle w:val="ListParagraph"/>
        <w:numPr>
          <w:ilvl w:val="0"/>
          <w:numId w:val="2"/>
        </w:numPr>
        <w:spacing w:after="80" w:line="300"/>
      </w:pPr>
      <w:r>
        <w:rPr>
          <w:rFonts w:ascii="Arial" w:cs="Arial" w:eastAsia="Arial" w:hAnsi="Arial"/>
          <w:b/>
          <w:bCs/>
          <w:sz w:val="22"/>
          <w:szCs w:val="22"/>
        </w:rPr>
        <w:t xml:space="preserve">Regulatory Boundary: </w:t>
      </w:r>
      <w:r>
        <w:rPr>
          <w:rFonts w:ascii="Arial" w:cs="Arial" w:eastAsia="Arial" w:hAnsi="Arial"/>
          <w:sz w:val="22"/>
          <w:szCs w:val="22"/>
        </w:rPr>
        <w:t xml:space="preserve">The bank is OCC-regulated. The AM falls under SEC/FCA depending on fund domicile. Cross-entity lending arrangements need compliance review to avoid regulatory arbitrage concerns.</w:t>
      </w:r>
    </w:p>
    <w:p>
      <w:pPr>
        <w:pStyle w:val="Heading2"/>
      </w:pPr>
      <w:r>
        <w:t xml:space="preserve">3.3 Key People You Need to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Person / Role</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Context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Pete Scott — Head of Innovation Credit, HSBC AM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Ex-SVB Capital CCO (28 years). Leads AM credit team. Your primary counterpart for credit decisions. Based in San Francisco.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Scott McClurg — Head of Private Credit, HSBC AM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Pete reports to him. Oversees the broader alternatives credit suite.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David Sabow — US Head of Innovation Banking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Ex-SVB Head of Tech/Healthcare Banking. Leads the bank-side origination. Drives deal flow.</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Sunita Patel — Head of Venture Coverage, Innovation Banking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Ex-SVB CBDO. Oversees investor relationships and business development in the US.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Katherine Andersen, Melissa Stepanis, Peter Kidder, Jason Hughes, Prasant Chunduru, Kevin Longo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Senior venture debt deal leads within Innovation Banking.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Simon Bumfrey — CEO, HSBC Innovation Banking UK</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Oversees the UK arm and global platform coordination.</w:t>
            </w:r>
          </w:p>
        </w:tc>
      </w:tr>
    </w:tbl>
    <w:p>
      <w:pPr>
        <w:spacing w:after="100"/>
      </w:pPr>
    </w:p>
    <w:p>
      <w:r>
        <w:br w:type="page"/>
      </w:r>
    </w:p>
    <w:p>
      <w:pPr>
        <w:pStyle w:val="Heading1"/>
      </w:pPr>
      <w:r>
        <w:t xml:space="preserve">PART 4: INVESTMENT COMMITTEE — YOUR PLAYBOOK</w:t>
      </w:r>
    </w:p>
    <w:p>
      <w:pPr>
        <w:spacing w:after="160" w:line="300"/>
      </w:pPr>
      <w:r>
        <w:rPr>
          <w:rFonts w:ascii="Arial" w:cs="Arial" w:eastAsia="Arial" w:hAnsi="Arial"/>
          <w:sz w:val="22"/>
          <w:szCs w:val="22"/>
        </w:rPr>
        <w:t xml:space="preserve">When you attend the IC on individual deals, you are the last line of defence for LP capital. The investment team will present the opportunity with enthusiasm. Your job is to stress-test every assumption. Below is your structured IC interrogation framework.</w:t>
      </w:r>
    </w:p>
    <w:p>
      <w:pPr>
        <w:pStyle w:val="Heading2"/>
      </w:pPr>
      <w:r>
        <w:t xml:space="preserve">4.1 Before the IC: Pre-Read Checklist</w:t>
      </w:r>
    </w:p>
    <w:p>
      <w:pPr>
        <w:spacing w:after="160" w:line="300"/>
      </w:pPr>
      <w:r>
        <w:rPr>
          <w:rFonts w:ascii="Arial" w:cs="Arial" w:eastAsia="Arial" w:hAnsi="Arial"/>
          <w:sz w:val="22"/>
          <w:szCs w:val="22"/>
        </w:rPr>
        <w:t xml:space="preserve">Before walking into any IC meeting, confirm you have reviewed:</w:t>
      </w:r>
    </w:p>
    <w:p>
      <w:pPr>
        <w:pStyle w:val="ListParagraph"/>
        <w:numPr>
          <w:ilvl w:val="0"/>
          <w:numId w:val="3"/>
        </w:numPr>
        <w:spacing w:after="80" w:line="300"/>
      </w:pPr>
      <w:r>
        <w:rPr>
          <w:rFonts w:ascii="Arial" w:cs="Arial" w:eastAsia="Arial" w:hAnsi="Arial"/>
          <w:sz w:val="22"/>
          <w:szCs w:val="22"/>
        </w:rPr>
        <w:t xml:space="preserve">The credit memo — full write-up including all four underwriting pillars</w:t>
      </w:r>
    </w:p>
    <w:p>
      <w:pPr>
        <w:pStyle w:val="ListParagraph"/>
        <w:numPr>
          <w:ilvl w:val="0"/>
          <w:numId w:val="3"/>
        </w:numPr>
        <w:spacing w:after="80" w:line="300"/>
      </w:pPr>
      <w:r>
        <w:rPr>
          <w:rFonts w:ascii="Arial" w:cs="Arial" w:eastAsia="Arial" w:hAnsi="Arial"/>
          <w:sz w:val="22"/>
          <w:szCs w:val="22"/>
        </w:rPr>
        <w:t xml:space="preserve">Latest monthly financial pack from the borrower (P&amp;L, balance sheet, cash flow)</w:t>
      </w:r>
    </w:p>
    <w:p>
      <w:pPr>
        <w:pStyle w:val="ListParagraph"/>
        <w:numPr>
          <w:ilvl w:val="0"/>
          <w:numId w:val="3"/>
        </w:numPr>
        <w:spacing w:after="80" w:line="300"/>
      </w:pPr>
      <w:r>
        <w:rPr>
          <w:rFonts w:ascii="Arial" w:cs="Arial" w:eastAsia="Arial" w:hAnsi="Arial"/>
          <w:sz w:val="22"/>
          <w:szCs w:val="22"/>
        </w:rPr>
        <w:t xml:space="preserve">Cap table (fully diluted, including all warrants, options, convertibles)</w:t>
      </w:r>
    </w:p>
    <w:p>
      <w:pPr>
        <w:pStyle w:val="ListParagraph"/>
        <w:numPr>
          <w:ilvl w:val="0"/>
          <w:numId w:val="3"/>
        </w:numPr>
        <w:spacing w:after="80" w:line="300"/>
      </w:pPr>
      <w:r>
        <w:rPr>
          <w:rFonts w:ascii="Arial" w:cs="Arial" w:eastAsia="Arial" w:hAnsi="Arial"/>
          <w:sz w:val="22"/>
          <w:szCs w:val="22"/>
        </w:rPr>
        <w:t xml:space="preserve">Investor DD — lead VC fund size, vintage, deployment, dry powder for follow-on</w:t>
      </w:r>
    </w:p>
    <w:p>
      <w:pPr>
        <w:pStyle w:val="ListParagraph"/>
        <w:numPr>
          <w:ilvl w:val="0"/>
          <w:numId w:val="3"/>
        </w:numPr>
        <w:spacing w:after="80" w:line="300"/>
      </w:pPr>
      <w:r>
        <w:rPr>
          <w:rFonts w:ascii="Arial" w:cs="Arial" w:eastAsia="Arial" w:hAnsi="Arial"/>
          <w:sz w:val="22"/>
          <w:szCs w:val="22"/>
        </w:rPr>
        <w:t xml:space="preserve">Comparable deals — how does this pricing/structure compare to recent portfolio deals?</w:t>
      </w:r>
    </w:p>
    <w:p>
      <w:pPr>
        <w:pStyle w:val="ListParagraph"/>
        <w:numPr>
          <w:ilvl w:val="0"/>
          <w:numId w:val="3"/>
        </w:numPr>
        <w:spacing w:after="80" w:line="300"/>
      </w:pPr>
      <w:r>
        <w:rPr>
          <w:rFonts w:ascii="Arial" w:cs="Arial" w:eastAsia="Arial" w:hAnsi="Arial"/>
          <w:sz w:val="22"/>
          <w:szCs w:val="22"/>
        </w:rPr>
        <w:t xml:space="preserve">Covenant proposal — what covenants are proposed and what headroom exists?</w:t>
      </w:r>
    </w:p>
    <w:p>
      <w:pPr>
        <w:pStyle w:val="ListParagraph"/>
        <w:numPr>
          <w:ilvl w:val="0"/>
          <w:numId w:val="3"/>
        </w:numPr>
        <w:spacing w:after="80" w:line="300"/>
      </w:pPr>
      <w:r>
        <w:rPr>
          <w:rFonts w:ascii="Arial" w:cs="Arial" w:eastAsia="Arial" w:hAnsi="Arial"/>
          <w:sz w:val="22"/>
          <w:szCs w:val="22"/>
        </w:rPr>
        <w:t xml:space="preserve">Concentration impact — does this deal push any portfolio limit (sector, investor, stage, geography)?</w:t>
      </w:r>
    </w:p>
    <w:p>
      <w:pPr>
        <w:pStyle w:val="ListParagraph"/>
        <w:numPr>
          <w:ilvl w:val="0"/>
          <w:numId w:val="3"/>
        </w:numPr>
        <w:spacing w:after="80" w:line="300"/>
      </w:pPr>
      <w:r>
        <w:rPr>
          <w:rFonts w:ascii="Arial" w:cs="Arial" w:eastAsia="Arial" w:hAnsi="Arial"/>
          <w:sz w:val="22"/>
          <w:szCs w:val="22"/>
        </w:rPr>
        <w:t xml:space="preserve">Exit analysis — how and when will this loan be repaid?</w:t>
      </w:r>
    </w:p>
    <w:p>
      <w:pPr>
        <w:pStyle w:val="Heading2"/>
      </w:pPr>
      <w:r>
        <w:t xml:space="preserve">4.2 The 20 Questions You Must Ask at IC</w:t>
      </w:r>
    </w:p>
    <w:p>
      <w:pPr>
        <w:spacing w:after="160" w:line="300"/>
      </w:pPr>
      <w:r>
        <w:rPr>
          <w:rFonts w:ascii="Arial" w:cs="Arial" w:eastAsia="Arial" w:hAnsi="Arial"/>
          <w:sz w:val="22"/>
          <w:szCs w:val="22"/>
        </w:rPr>
        <w:t xml:space="preserve">Organised by category, these are the questions that separate a prepared risk manager from a passive observer:</w:t>
      </w:r>
    </w:p>
    <w:p>
      <w:pPr>
        <w:pStyle w:val="Heading3"/>
      </w:pPr>
      <w:r>
        <w:t xml:space="preserve">Investor &amp; Capital Structure (Questions 1–5)</w:t>
      </w:r>
    </w:p>
    <w:p>
      <w:pPr>
        <w:pStyle w:val="ListParagraph"/>
        <w:numPr>
          <w:ilvl w:val="0"/>
          <w:numId w:val="3"/>
        </w:numPr>
        <w:spacing w:after="80" w:line="300"/>
      </w:pPr>
      <w:r>
        <w:rPr>
          <w:rFonts w:ascii="Arial" w:cs="Arial" w:eastAsia="Arial" w:hAnsi="Arial"/>
          <w:b w:val="false"/>
          <w:bCs w:val="false"/>
          <w:sz w:val="22"/>
          <w:szCs w:val="22"/>
        </w:rPr>
        <w:t xml:space="preserve">Who is the lead investor and what is their track record of follow-on support in downturns? </w:t>
      </w:r>
      <w:r>
        <w:rPr>
          <w:rFonts w:ascii="Arial" w:cs="Arial" w:eastAsia="Arial" w:hAnsi="Arial"/>
          <w:i/>
          <w:iCs/>
          <w:sz w:val="22"/>
          <w:szCs w:val="22"/>
        </w:rPr>
        <w:t xml:space="preserve">Don’t accept “it’s a top-tier VC” — demand the data: how many of their portfolio companies in the last 3 years received bridge financing when needed?</w:t>
      </w:r>
    </w:p>
    <w:p>
      <w:pPr>
        <w:pStyle w:val="ListParagraph"/>
        <w:numPr>
          <w:ilvl w:val="0"/>
          <w:numId w:val="3"/>
        </w:numPr>
        <w:spacing w:after="80" w:line="300"/>
      </w:pPr>
      <w:r>
        <w:rPr>
          <w:rFonts w:ascii="Arial" w:cs="Arial" w:eastAsia="Arial" w:hAnsi="Arial"/>
          <w:b w:val="false"/>
          <w:bCs w:val="false"/>
          <w:sz w:val="22"/>
          <w:szCs w:val="22"/>
        </w:rPr>
        <w:t xml:space="preserve">How much dry powder does the lead VC have, and what is the fund vintage? </w:t>
      </w:r>
      <w:r>
        <w:rPr>
          <w:rFonts w:ascii="Arial" w:cs="Arial" w:eastAsia="Arial" w:hAnsi="Arial"/>
          <w:i/>
          <w:iCs/>
          <w:sz w:val="22"/>
          <w:szCs w:val="22"/>
        </w:rPr>
        <w:t xml:space="preserve">A 2021-vintage fund that’s 80% deployed has very different follow-on capacity than a 2024 fund at 30% deployment.</w:t>
      </w:r>
    </w:p>
    <w:p>
      <w:pPr>
        <w:pStyle w:val="ListParagraph"/>
        <w:numPr>
          <w:ilvl w:val="0"/>
          <w:numId w:val="3"/>
        </w:numPr>
        <w:spacing w:after="80" w:line="300"/>
      </w:pPr>
      <w:r>
        <w:rPr>
          <w:rFonts w:ascii="Arial" w:cs="Arial" w:eastAsia="Arial" w:hAnsi="Arial"/>
          <w:sz w:val="22"/>
          <w:szCs w:val="22"/>
        </w:rPr>
        <w:t xml:space="preserve">What is the company’s total debt-to-equity ratio after this facility? </w:t>
      </w:r>
      <w:r>
        <w:rPr>
          <w:rFonts w:ascii="Arial" w:cs="Arial" w:eastAsia="Arial" w:hAnsi="Arial"/>
          <w:i/>
          <w:iCs/>
          <w:sz w:val="22"/>
          <w:szCs w:val="22"/>
        </w:rPr>
        <w:t xml:space="preserve">Above 40% is a flag. Above 50% is a serious concern.</w:t>
      </w:r>
    </w:p>
    <w:p>
      <w:pPr>
        <w:pStyle w:val="ListParagraph"/>
        <w:numPr>
          <w:ilvl w:val="0"/>
          <w:numId w:val="3"/>
        </w:numPr>
        <w:spacing w:after="80" w:line="300"/>
      </w:pPr>
      <w:r>
        <w:rPr>
          <w:rFonts w:ascii="Arial" w:cs="Arial" w:eastAsia="Arial" w:hAnsi="Arial"/>
          <w:sz w:val="22"/>
          <w:szCs w:val="22"/>
        </w:rPr>
        <w:t xml:space="preserve">Are there any existing lien holders or creditors with prior claims? </w:t>
      </w:r>
      <w:r>
        <w:rPr>
          <w:rFonts w:ascii="Arial" w:cs="Arial" w:eastAsia="Arial" w:hAnsi="Arial"/>
          <w:i/>
          <w:iCs/>
          <w:sz w:val="22"/>
          <w:szCs w:val="22"/>
        </w:rPr>
        <w:t xml:space="preserve">Check UCC filings independently.</w:t>
      </w:r>
    </w:p>
    <w:p>
      <w:pPr>
        <w:pStyle w:val="ListParagraph"/>
        <w:numPr>
          <w:ilvl w:val="0"/>
          <w:numId w:val="3"/>
        </w:numPr>
        <w:spacing w:after="80" w:line="300"/>
      </w:pPr>
      <w:r>
        <w:rPr>
          <w:rFonts w:ascii="Arial" w:cs="Arial" w:eastAsia="Arial" w:hAnsi="Arial"/>
          <w:sz w:val="22"/>
          <w:szCs w:val="22"/>
        </w:rPr>
        <w:t xml:space="preserve">What is the post-draw runway in months, and what assumptions underpin it? </w:t>
      </w:r>
      <w:r>
        <w:rPr>
          <w:rFonts w:ascii="Arial" w:cs="Arial" w:eastAsia="Arial" w:hAnsi="Arial"/>
          <w:i/>
          <w:iCs/>
          <w:sz w:val="22"/>
          <w:szCs w:val="22"/>
        </w:rPr>
        <w:t xml:space="preserve">Stress the burn rate by 20% and re-test.</w:t>
      </w:r>
    </w:p>
    <w:p>
      <w:pPr>
        <w:pStyle w:val="Heading3"/>
      </w:pPr>
      <w:r>
        <w:t xml:space="preserve">Business Performance (Questions 6–10)</w:t>
      </w:r>
    </w:p>
    <w:p>
      <w:pPr>
        <w:pStyle w:val="ListParagraph"/>
        <w:numPr>
          <w:ilvl w:val="0"/>
          <w:numId w:val="3"/>
        </w:numPr>
        <w:spacing w:after="80" w:line="300"/>
      </w:pPr>
      <w:r>
        <w:rPr>
          <w:rFonts w:ascii="Arial" w:cs="Arial" w:eastAsia="Arial" w:hAnsi="Arial"/>
          <w:sz w:val="22"/>
          <w:szCs w:val="22"/>
        </w:rPr>
        <w:t xml:space="preserve">What is the trailing ARR growth rate (not projected), and is it accelerating or decelerating?</w:t>
      </w:r>
    </w:p>
    <w:p>
      <w:pPr>
        <w:pStyle w:val="ListParagraph"/>
        <w:numPr>
          <w:ilvl w:val="0"/>
          <w:numId w:val="3"/>
        </w:numPr>
        <w:spacing w:after="80" w:line="300"/>
      </w:pPr>
      <w:r>
        <w:rPr>
          <w:rFonts w:ascii="Arial" w:cs="Arial" w:eastAsia="Arial" w:hAnsi="Arial"/>
          <w:sz w:val="22"/>
          <w:szCs w:val="22"/>
        </w:rPr>
        <w:t xml:space="preserve">What is the net revenue retention? Below 100% means the existing customer base is shrinking.</w:t>
      </w:r>
    </w:p>
    <w:p>
      <w:pPr>
        <w:pStyle w:val="ListParagraph"/>
        <w:numPr>
          <w:ilvl w:val="0"/>
          <w:numId w:val="3"/>
        </w:numPr>
        <w:spacing w:after="80" w:line="300"/>
      </w:pPr>
      <w:r>
        <w:rPr>
          <w:rFonts w:ascii="Arial" w:cs="Arial" w:eastAsia="Arial" w:hAnsi="Arial"/>
          <w:sz w:val="22"/>
          <w:szCs w:val="22"/>
        </w:rPr>
        <w:t xml:space="preserve">What is the burn multiple (net burn ÷ net new ARR)? Above 3x means capital is being consumed inefficiently.</w:t>
      </w:r>
    </w:p>
    <w:p>
      <w:pPr>
        <w:pStyle w:val="ListParagraph"/>
        <w:numPr>
          <w:ilvl w:val="0"/>
          <w:numId w:val="3"/>
        </w:numPr>
        <w:spacing w:after="80" w:line="300"/>
      </w:pPr>
      <w:r>
        <w:rPr>
          <w:rFonts w:ascii="Arial" w:cs="Arial" w:eastAsia="Arial" w:hAnsi="Arial"/>
          <w:sz w:val="22"/>
          <w:szCs w:val="22"/>
        </w:rPr>
        <w:t xml:space="preserve">What is the customer concentration? If top 3 customers represent more than 30% of revenue, a single loss could be catastrophic.</w:t>
      </w:r>
    </w:p>
    <w:p>
      <w:pPr>
        <w:pStyle w:val="ListParagraph"/>
        <w:numPr>
          <w:ilvl w:val="0"/>
          <w:numId w:val="3"/>
        </w:numPr>
        <w:spacing w:after="80" w:line="300"/>
      </w:pPr>
      <w:r>
        <w:rPr>
          <w:rFonts w:ascii="Arial" w:cs="Arial" w:eastAsia="Arial" w:hAnsi="Arial"/>
          <w:sz w:val="22"/>
          <w:szCs w:val="22"/>
        </w:rPr>
        <w:t xml:space="preserve">What is the gross margin trajectory? Declining margins in a SaaS company signal structural problems, not growth investment.</w:t>
      </w:r>
    </w:p>
    <w:p>
      <w:pPr>
        <w:pStyle w:val="Heading3"/>
      </w:pPr>
      <w:r>
        <w:t xml:space="preserve">Deal Structure (Questions 11–15)</w:t>
      </w:r>
    </w:p>
    <w:p>
      <w:pPr>
        <w:pStyle w:val="ListParagraph"/>
        <w:numPr>
          <w:ilvl w:val="0"/>
          <w:numId w:val="3"/>
        </w:numPr>
        <w:spacing w:after="80" w:line="300"/>
      </w:pPr>
      <w:r>
        <w:rPr>
          <w:rFonts w:ascii="Arial" w:cs="Arial" w:eastAsia="Arial" w:hAnsi="Arial"/>
          <w:sz w:val="22"/>
          <w:szCs w:val="22"/>
        </w:rPr>
        <w:t xml:space="preserve">Why is this company borrowing now? Is it extending runway (acceptable), bridging a failed raise (dangerous), or funding a specific growth initiative (ideal)?</w:t>
      </w:r>
    </w:p>
    <w:p>
      <w:pPr>
        <w:pStyle w:val="ListParagraph"/>
        <w:numPr>
          <w:ilvl w:val="0"/>
          <w:numId w:val="3"/>
        </w:numPr>
        <w:spacing w:after="80" w:line="300"/>
      </w:pPr>
      <w:r>
        <w:rPr>
          <w:rFonts w:ascii="Arial" w:cs="Arial" w:eastAsia="Arial" w:hAnsi="Arial"/>
          <w:sz w:val="22"/>
          <w:szCs w:val="22"/>
        </w:rPr>
        <w:t xml:space="preserve">What happens if the next equity raise fails? Walk me through the downside scenario with no follow-on equity for 18 months.</w:t>
      </w:r>
    </w:p>
    <w:p>
      <w:pPr>
        <w:pStyle w:val="ListParagraph"/>
        <w:numPr>
          <w:ilvl w:val="0"/>
          <w:numId w:val="3"/>
        </w:numPr>
        <w:spacing w:after="80" w:line="300"/>
      </w:pPr>
      <w:r>
        <w:rPr>
          <w:rFonts w:ascii="Arial" w:cs="Arial" w:eastAsia="Arial" w:hAnsi="Arial"/>
          <w:sz w:val="22"/>
          <w:szCs w:val="22"/>
        </w:rPr>
        <w:t xml:space="preserve">Is the covenant structure tight enough? Is the minimum liquidity covenant set with real headroom, or does it give the borrower room to burn to near-zero before triggering?</w:t>
      </w:r>
    </w:p>
    <w:p>
      <w:pPr>
        <w:pStyle w:val="ListParagraph"/>
        <w:numPr>
          <w:ilvl w:val="0"/>
          <w:numId w:val="3"/>
        </w:numPr>
        <w:spacing w:after="80" w:line="300"/>
      </w:pPr>
      <w:r>
        <w:rPr>
          <w:rFonts w:ascii="Arial" w:cs="Arial" w:eastAsia="Arial" w:hAnsi="Arial"/>
          <w:sz w:val="22"/>
          <w:szCs w:val="22"/>
        </w:rPr>
        <w:t xml:space="preserve">What is the warrant economics? Calculate the all-in yield including warrant value. If the investment team is waiving warrants to win the deal, that’s a risk subsidy.</w:t>
      </w:r>
    </w:p>
    <w:p>
      <w:pPr>
        <w:pStyle w:val="ListParagraph"/>
        <w:numPr>
          <w:ilvl w:val="0"/>
          <w:numId w:val="3"/>
        </w:numPr>
        <w:spacing w:after="80" w:line="300"/>
      </w:pPr>
      <w:r>
        <w:rPr>
          <w:rFonts w:ascii="Arial" w:cs="Arial" w:eastAsia="Arial" w:hAnsi="Arial"/>
          <w:sz w:val="22"/>
          <w:szCs w:val="22"/>
        </w:rPr>
        <w:t xml:space="preserve">Is the pricing commensurate with the risk? Compare to the risk rating and to comparable deals in the portfolio and market.</w:t>
      </w:r>
    </w:p>
    <w:p>
      <w:pPr>
        <w:pStyle w:val="Heading3"/>
      </w:pPr>
      <w:r>
        <w:t xml:space="preserve">Portfolio &amp; Structural Risk (Questions 16–20)</w:t>
      </w:r>
    </w:p>
    <w:p>
      <w:pPr>
        <w:pStyle w:val="ListParagraph"/>
        <w:numPr>
          <w:ilvl w:val="0"/>
          <w:numId w:val="3"/>
        </w:numPr>
        <w:spacing w:after="80" w:line="300"/>
      </w:pPr>
      <w:r>
        <w:rPr>
          <w:rFonts w:ascii="Arial" w:cs="Arial" w:eastAsia="Arial" w:hAnsi="Arial"/>
          <w:sz w:val="22"/>
          <w:szCs w:val="22"/>
        </w:rPr>
        <w:t xml:space="preserve">Does this deal create or worsen any portfolio concentration? Check sector, investor, stage, geography.</w:t>
      </w:r>
    </w:p>
    <w:p>
      <w:pPr>
        <w:pStyle w:val="ListParagraph"/>
        <w:numPr>
          <w:ilvl w:val="0"/>
          <w:numId w:val="3"/>
        </w:numPr>
        <w:spacing w:after="80" w:line="300"/>
      </w:pPr>
      <w:r>
        <w:rPr>
          <w:rFonts w:ascii="Arial" w:cs="Arial" w:eastAsia="Arial" w:hAnsi="Arial"/>
          <w:sz w:val="22"/>
          <w:szCs w:val="22"/>
        </w:rPr>
        <w:t xml:space="preserve">What is the expected loss on this deal? What loss rate are we assuming, and how does it compare to the portfolio average?</w:t>
      </w:r>
    </w:p>
    <w:p>
      <w:pPr>
        <w:pStyle w:val="ListParagraph"/>
        <w:numPr>
          <w:ilvl w:val="0"/>
          <w:numId w:val="3"/>
        </w:numPr>
        <w:spacing w:after="80" w:line="300"/>
      </w:pPr>
      <w:r>
        <w:rPr>
          <w:rFonts w:ascii="Arial" w:cs="Arial" w:eastAsia="Arial" w:hAnsi="Arial"/>
          <w:sz w:val="22"/>
          <w:szCs w:val="22"/>
        </w:rPr>
        <w:t xml:space="preserve">If we need to exit this position, what are our options? Can we sell, assign, or participate out?</w:t>
      </w:r>
    </w:p>
    <w:p>
      <w:pPr>
        <w:pStyle w:val="ListParagraph"/>
        <w:numPr>
          <w:ilvl w:val="0"/>
          <w:numId w:val="3"/>
        </w:numPr>
        <w:spacing w:after="80" w:line="300"/>
      </w:pPr>
      <w:r>
        <w:rPr>
          <w:rFonts w:ascii="Arial" w:cs="Arial" w:eastAsia="Arial" w:hAnsi="Arial"/>
          <w:sz w:val="22"/>
          <w:szCs w:val="22"/>
        </w:rPr>
        <w:t xml:space="preserve">Who is the workout lead if this goes sideways? Is there a named person and a playbook?</w:t>
      </w:r>
    </w:p>
    <w:p>
      <w:pPr>
        <w:pStyle w:val="ListParagraph"/>
        <w:numPr>
          <w:ilvl w:val="0"/>
          <w:numId w:val="3"/>
        </w:numPr>
        <w:spacing w:after="80" w:line="300"/>
      </w:pPr>
      <w:r>
        <w:rPr>
          <w:rFonts w:ascii="Arial" w:cs="Arial" w:eastAsia="Arial" w:hAnsi="Arial"/>
          <w:sz w:val="22"/>
          <w:szCs w:val="22"/>
        </w:rPr>
        <w:t xml:space="preserve">What is the HSBC bank’s exposure to this same borrower? Total group exposure (deposits + lending + AM) — ensure we are not over-indexed.</w:t>
      </w:r>
    </w:p>
    <w:p>
      <w:pPr>
        <w:pBdr>
          <w:left w:val="single" w:color="C00000" w:sz="12" w:space="8"/>
        </w:pBdr>
        <w:spacing w:after="200" w:before="200"/>
        <w:ind w:left="200"/>
      </w:pPr>
      <w:r>
        <w:rPr>
          <w:rFonts w:ascii="Arial" w:cs="Arial" w:eastAsia="Arial" w:hAnsi="Arial"/>
          <w:b/>
          <w:bCs/>
          <w:color w:val="C00000"/>
          <w:sz w:val="22"/>
          <w:szCs w:val="22"/>
        </w:rPr>
        <w:t xml:space="preserve">IC GOLDEN RULE  </w:t>
      </w:r>
      <w:r>
        <w:rPr>
          <w:rFonts w:ascii="Arial" w:cs="Arial" w:eastAsia="Arial" w:hAnsi="Arial"/>
          <w:sz w:val="22"/>
          <w:szCs w:val="22"/>
        </w:rPr>
        <w:t xml:space="preserve">Never approve a deal where you cannot clearly articulate the repayment path. “They’ll raise another round” is not a repayment plan — it is a hope. Demand specifics: which investors, what timeline, what milestones must be met.</w:t>
      </w:r>
    </w:p>
    <w:p>
      <w:r>
        <w:br w:type="page"/>
      </w:r>
    </w:p>
    <w:p>
      <w:pPr>
        <w:pStyle w:val="Heading1"/>
      </w:pPr>
      <w:r>
        <w:t xml:space="preserve">PART 5: WHOLESOME RISK FRAMEWORK</w:t>
      </w:r>
    </w:p>
    <w:p>
      <w:pPr>
        <w:spacing w:after="160" w:line="300"/>
      </w:pPr>
      <w:r>
        <w:rPr>
          <w:rFonts w:ascii="Arial" w:cs="Arial" w:eastAsia="Arial" w:hAnsi="Arial"/>
          <w:sz w:val="22"/>
          <w:szCs w:val="22"/>
        </w:rPr>
        <w:t xml:space="preserve">Venture debt risk is not just credit risk. As a senior risk manager, you need a 360-degree view. This section maps every risk dimension you must own.</w:t>
      </w:r>
    </w:p>
    <w:p>
      <w:pPr>
        <w:pStyle w:val="Heading2"/>
      </w:pPr>
      <w:r>
        <w:t xml:space="preserve">5.1 Credit Risk</w:t>
      </w:r>
    </w:p>
    <w:p>
      <w:pPr>
        <w:spacing w:after="160" w:line="300"/>
      </w:pPr>
      <w:r>
        <w:rPr>
          <w:rFonts w:ascii="Arial" w:cs="Arial" w:eastAsia="Arial" w:hAnsi="Arial"/>
          <w:sz w:val="22"/>
          <w:szCs w:val="22"/>
        </w:rPr>
        <w:t xml:space="preserve">The obvious risk: the borrower fails to repay. But in venture debt, credit risk has unique characteristics:</w:t>
      </w:r>
    </w:p>
    <w:p>
      <w:pPr>
        <w:pStyle w:val="ListParagraph"/>
        <w:numPr>
          <w:ilvl w:val="0"/>
          <w:numId w:val="2"/>
        </w:numPr>
        <w:spacing w:after="80" w:line="300"/>
      </w:pPr>
      <w:r>
        <w:rPr>
          <w:rFonts w:ascii="Arial" w:cs="Arial" w:eastAsia="Arial" w:hAnsi="Arial"/>
          <w:b/>
          <w:bCs/>
          <w:sz w:val="22"/>
          <w:szCs w:val="22"/>
        </w:rPr>
        <w:t xml:space="preserve">PD is structurally high: </w:t>
      </w:r>
      <w:r>
        <w:rPr>
          <w:rFonts w:ascii="Arial" w:cs="Arial" w:eastAsia="Arial" w:hAnsi="Arial"/>
          <w:sz w:val="22"/>
          <w:szCs w:val="22"/>
        </w:rPr>
        <w:t xml:space="preserve">Startup failure rates are 60–90%. However, venture debt targets the best-funded, best-backed subset. Historical loss rates for top-tier venture lenders are approximately 0.25%, but can spike to 3–5% in downturns.</w:t>
      </w:r>
    </w:p>
    <w:p>
      <w:pPr>
        <w:pStyle w:val="ListParagraph"/>
        <w:numPr>
          <w:ilvl w:val="0"/>
          <w:numId w:val="2"/>
        </w:numPr>
        <w:spacing w:after="80" w:line="300"/>
      </w:pPr>
      <w:r>
        <w:rPr>
          <w:rFonts w:ascii="Arial" w:cs="Arial" w:eastAsia="Arial" w:hAnsi="Arial"/>
          <w:b/>
          <w:bCs/>
          <w:sz w:val="22"/>
          <w:szCs w:val="22"/>
        </w:rPr>
        <w:t xml:space="preserve">LGD is bifurcated: </w:t>
      </w:r>
      <w:r>
        <w:rPr>
          <w:rFonts w:ascii="Arial" w:cs="Arial" w:eastAsia="Arial" w:hAnsi="Arial"/>
          <w:sz w:val="22"/>
          <w:szCs w:val="22"/>
        </w:rPr>
        <w:t xml:space="preserve">If the company is acquired (even in distress), recovery can be 60–90% due to enterprise value. If the company shuts down, recovery is often 10–30% (IP liquidation, equipment). Blanket liens don’t help much when the “assets” are engineers and code.</w:t>
      </w:r>
    </w:p>
    <w:p>
      <w:pPr>
        <w:pStyle w:val="ListParagraph"/>
        <w:numPr>
          <w:ilvl w:val="0"/>
          <w:numId w:val="2"/>
        </w:numPr>
        <w:spacing w:after="80" w:line="300"/>
      </w:pPr>
      <w:r>
        <w:rPr>
          <w:rFonts w:ascii="Arial" w:cs="Arial" w:eastAsia="Arial" w:hAnsi="Arial"/>
          <w:b/>
          <w:bCs/>
          <w:sz w:val="22"/>
          <w:szCs w:val="22"/>
        </w:rPr>
        <w:t xml:space="preserve">EAD is uncertain: </w:t>
      </w:r>
      <w:r>
        <w:rPr>
          <w:rFonts w:ascii="Arial" w:cs="Arial" w:eastAsia="Arial" w:hAnsi="Arial"/>
          <w:sz w:val="22"/>
          <w:szCs w:val="22"/>
        </w:rPr>
        <w:t xml:space="preserve">Drawdown periods mean you don’t know your actual exposure until the borrower draws. A distressed borrower may draw the full facility as a last resort.</w:t>
      </w:r>
    </w:p>
    <w:p>
      <w:pPr>
        <w:pStyle w:val="ListParagraph"/>
        <w:numPr>
          <w:ilvl w:val="0"/>
          <w:numId w:val="2"/>
        </w:numPr>
        <w:spacing w:after="80" w:line="300"/>
      </w:pPr>
      <w:r>
        <w:rPr>
          <w:rFonts w:ascii="Arial" w:cs="Arial" w:eastAsia="Arial" w:hAnsi="Arial"/>
          <w:b/>
          <w:bCs/>
          <w:sz w:val="22"/>
          <w:szCs w:val="22"/>
        </w:rPr>
        <w:t xml:space="preserve">Correlation risk: </w:t>
      </w:r>
      <w:r>
        <w:rPr>
          <w:rFonts w:ascii="Arial" w:cs="Arial" w:eastAsia="Arial" w:hAnsi="Arial"/>
          <w:sz w:val="22"/>
          <w:szCs w:val="22"/>
        </w:rPr>
        <w:t xml:space="preserve">VC-backed companies are correlated to venture capital funding cycles, interest rates, IPO markets, and sector-specific sentiment. A VC funding winter can trigger correlated defaults across the portfolio.</w:t>
      </w:r>
    </w:p>
    <w:p>
      <w:pPr>
        <w:pStyle w:val="Heading2"/>
      </w:pPr>
      <w:r>
        <w:t xml:space="preserve">5.2 Concentration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Concentration Type</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Why It Matters</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Limit Guidance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Sector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AI, fintech, healthtech move in cycles. A portfolio concentrated in one sub-sector can experience correlated losses.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 single sub-sector &gt;25% of portfolio NAV</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Stage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Early-stage carries higher PD. Late-stage has larger tickets and higher LGD if enterprise value collapses.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Balance across Series A/B/C; no stage &gt;40%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Investor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If multiple borrowers share the same lead VC and that VC stops supporting its portfolio, you face correlated distress.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 single VC investor &gt;15% of portfolio exposure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Geography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Bay Area dominates but regional shocks (earthquakes, policy changes) can affect clusters.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Monitor but unlikely to limit in practice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Vintage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Loans originated in same period face similar macro conditions at maturity.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Spread origination across quarters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Single Name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One large default can disproportionately impact portfolio returns.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 single exposure &gt;5% of portfolio NAV</w:t>
            </w:r>
          </w:p>
        </w:tc>
      </w:tr>
    </w:tbl>
    <w:p>
      <w:pPr>
        <w:spacing w:after="100"/>
      </w:pPr>
    </w:p>
    <w:p>
      <w:pPr>
        <w:pStyle w:val="Heading2"/>
      </w:pPr>
      <w:r>
        <w:t xml:space="preserve">5.3 Market Risk</w:t>
      </w:r>
    </w:p>
    <w:p>
      <w:pPr>
        <w:pStyle w:val="ListParagraph"/>
        <w:numPr>
          <w:ilvl w:val="0"/>
          <w:numId w:val="2"/>
        </w:numPr>
        <w:spacing w:after="80" w:line="300"/>
      </w:pPr>
      <w:r>
        <w:rPr>
          <w:rFonts w:ascii="Arial" w:cs="Arial" w:eastAsia="Arial" w:hAnsi="Arial"/>
          <w:b/>
          <w:bCs/>
          <w:sz w:val="22"/>
          <w:szCs w:val="22"/>
        </w:rPr>
        <w:t xml:space="preserve">Interest Rate Risk: </w:t>
      </w:r>
      <w:r>
        <w:rPr>
          <w:rFonts w:ascii="Arial" w:cs="Arial" w:eastAsia="Arial" w:hAnsi="Arial"/>
          <w:sz w:val="22"/>
          <w:szCs w:val="22"/>
        </w:rPr>
        <w:t xml:space="preserve">Venture debt is floating rate (SOFR-based), so the lender’s yield adjusts. However, rising rates increase borrower distress as their equity raise environment tightens. Higher rates = lower startup valuations = harder to raise equity = higher default probability. This is an indirect but powerful transmission channel.</w:t>
      </w:r>
    </w:p>
    <w:p>
      <w:pPr>
        <w:pStyle w:val="ListParagraph"/>
        <w:numPr>
          <w:ilvl w:val="0"/>
          <w:numId w:val="2"/>
        </w:numPr>
        <w:spacing w:after="80" w:line="300"/>
      </w:pPr>
      <w:r>
        <w:rPr>
          <w:rFonts w:ascii="Arial" w:cs="Arial" w:eastAsia="Arial" w:hAnsi="Arial"/>
          <w:b/>
          <w:bCs/>
          <w:sz w:val="22"/>
          <w:szCs w:val="22"/>
        </w:rPr>
        <w:t xml:space="preserve">Valuation Risk: </w:t>
      </w:r>
      <w:r>
        <w:rPr>
          <w:rFonts w:ascii="Arial" w:cs="Arial" w:eastAsia="Arial" w:hAnsi="Arial"/>
          <w:sz w:val="22"/>
          <w:szCs w:val="22"/>
        </w:rPr>
        <w:t xml:space="preserve">Warrant values are tied to company valuations. In a down market, warrant value evaporates. Additionally, down rounds can trigger anti-dilution provisions that affect LTV calculations.</w:t>
      </w:r>
    </w:p>
    <w:p>
      <w:pPr>
        <w:pStyle w:val="ListParagraph"/>
        <w:numPr>
          <w:ilvl w:val="0"/>
          <w:numId w:val="2"/>
        </w:numPr>
        <w:spacing w:after="80" w:line="300"/>
      </w:pPr>
      <w:r>
        <w:rPr>
          <w:rFonts w:ascii="Arial" w:cs="Arial" w:eastAsia="Arial" w:hAnsi="Arial"/>
          <w:b/>
          <w:bCs/>
          <w:sz w:val="22"/>
          <w:szCs w:val="22"/>
        </w:rPr>
        <w:t xml:space="preserve">Liquidity Risk: </w:t>
      </w:r>
      <w:r>
        <w:rPr>
          <w:rFonts w:ascii="Arial" w:cs="Arial" w:eastAsia="Arial" w:hAnsi="Arial"/>
          <w:sz w:val="22"/>
          <w:szCs w:val="22"/>
        </w:rPr>
        <w:t xml:space="preserve">Venture debt loans are illiquid. There is no liquid secondary market. If you need to exit, you rely on bilateral assignment or participation arrangements. The AM fund will have lock-up periods aligned with loan maturities, but mismatches can arise.</w:t>
      </w:r>
    </w:p>
    <w:p>
      <w:pPr>
        <w:pStyle w:val="Heading2"/>
      </w:pPr>
      <w:r>
        <w:t xml:space="preserve">5.4 Operational Risk</w:t>
      </w:r>
    </w:p>
    <w:p>
      <w:pPr>
        <w:pStyle w:val="ListParagraph"/>
        <w:numPr>
          <w:ilvl w:val="0"/>
          <w:numId w:val="2"/>
        </w:numPr>
        <w:spacing w:after="80" w:line="300"/>
      </w:pPr>
      <w:r>
        <w:rPr>
          <w:rFonts w:ascii="Arial" w:cs="Arial" w:eastAsia="Arial" w:hAnsi="Arial"/>
          <w:b/>
          <w:bCs/>
          <w:sz w:val="22"/>
          <w:szCs w:val="22"/>
        </w:rPr>
        <w:t xml:space="preserve">Origination Dependency: </w:t>
      </w:r>
      <w:r>
        <w:rPr>
          <w:rFonts w:ascii="Arial" w:cs="Arial" w:eastAsia="Arial" w:hAnsi="Arial"/>
          <w:sz w:val="22"/>
          <w:szCs w:val="22"/>
        </w:rPr>
        <w:t xml:space="preserve">The AM depends on Innovation Banking for deal flow. If key bankers leave, deal quality and volume suffer. This is a key-person risk at the platform level.</w:t>
      </w:r>
    </w:p>
    <w:p>
      <w:pPr>
        <w:pStyle w:val="ListParagraph"/>
        <w:numPr>
          <w:ilvl w:val="0"/>
          <w:numId w:val="2"/>
        </w:numPr>
        <w:spacing w:after="80" w:line="300"/>
      </w:pPr>
      <w:r>
        <w:rPr>
          <w:rFonts w:ascii="Arial" w:cs="Arial" w:eastAsia="Arial" w:hAnsi="Arial"/>
          <w:b/>
          <w:bCs/>
          <w:sz w:val="22"/>
          <w:szCs w:val="22"/>
        </w:rPr>
        <w:t xml:space="preserve">Information Flow: </w:t>
      </w:r>
      <w:r>
        <w:rPr>
          <w:rFonts w:ascii="Arial" w:cs="Arial" w:eastAsia="Arial" w:hAnsi="Arial"/>
          <w:sz w:val="22"/>
          <w:szCs w:val="22"/>
        </w:rPr>
        <w:t xml:space="preserve">Monthly reporting from borrowers is critical. Delayed or incomplete reporting is itself a risk signal and an operational failure if not escalated.</w:t>
      </w:r>
    </w:p>
    <w:p>
      <w:pPr>
        <w:pStyle w:val="ListParagraph"/>
        <w:numPr>
          <w:ilvl w:val="0"/>
          <w:numId w:val="2"/>
        </w:numPr>
        <w:spacing w:after="80" w:line="300"/>
      </w:pPr>
      <w:r>
        <w:rPr>
          <w:rFonts w:ascii="Arial" w:cs="Arial" w:eastAsia="Arial" w:hAnsi="Arial"/>
          <w:b/>
          <w:bCs/>
          <w:sz w:val="22"/>
          <w:szCs w:val="22"/>
        </w:rPr>
        <w:t xml:space="preserve">Covenant Monitoring: </w:t>
      </w:r>
      <w:r>
        <w:rPr>
          <w:rFonts w:ascii="Arial" w:cs="Arial" w:eastAsia="Arial" w:hAnsi="Arial"/>
          <w:sz w:val="22"/>
          <w:szCs w:val="22"/>
        </w:rPr>
        <w:t xml:space="preserve">Covenants must be tested on time, every time. A missed covenant test means you may not catch a breach until it’s too late to act. Automate this where possible.</w:t>
      </w:r>
    </w:p>
    <w:p>
      <w:pPr>
        <w:pStyle w:val="ListParagraph"/>
        <w:numPr>
          <w:ilvl w:val="0"/>
          <w:numId w:val="2"/>
        </w:numPr>
        <w:spacing w:after="80" w:line="300"/>
      </w:pPr>
      <w:r>
        <w:rPr>
          <w:rFonts w:ascii="Arial" w:cs="Arial" w:eastAsia="Arial" w:hAnsi="Arial"/>
          <w:b/>
          <w:bCs/>
          <w:sz w:val="22"/>
          <w:szCs w:val="22"/>
        </w:rPr>
        <w:t xml:space="preserve">Conflict Management: </w:t>
      </w:r>
      <w:r>
        <w:rPr>
          <w:rFonts w:ascii="Arial" w:cs="Arial" w:eastAsia="Arial" w:hAnsi="Arial"/>
          <w:sz w:val="22"/>
          <w:szCs w:val="22"/>
        </w:rPr>
        <w:t xml:space="preserve">Bank-AM allocation, workout coordination, and information sharing all create operational risk if not governed by documented policies.</w:t>
      </w:r>
    </w:p>
    <w:p>
      <w:pPr>
        <w:pStyle w:val="ListParagraph"/>
        <w:numPr>
          <w:ilvl w:val="0"/>
          <w:numId w:val="2"/>
        </w:numPr>
        <w:spacing w:after="80" w:line="300"/>
      </w:pPr>
      <w:r>
        <w:rPr>
          <w:rFonts w:ascii="Arial" w:cs="Arial" w:eastAsia="Arial" w:hAnsi="Arial"/>
          <w:b/>
          <w:bCs/>
          <w:sz w:val="22"/>
          <w:szCs w:val="22"/>
        </w:rPr>
        <w:t xml:space="preserve">Regulatory Compliance: </w:t>
      </w:r>
      <w:r>
        <w:rPr>
          <w:rFonts w:ascii="Arial" w:cs="Arial" w:eastAsia="Arial" w:hAnsi="Arial"/>
          <w:sz w:val="22"/>
          <w:szCs w:val="22"/>
        </w:rPr>
        <w:t xml:space="preserve">OCC oversight of the bank arm, SEC/FCA oversight of the AM. Cross-entity arrangements need compliance review. AML/KYC on borrowers — many are early-stage with complex corporate structures and non-US founders.</w:t>
      </w:r>
    </w:p>
    <w:p>
      <w:pPr>
        <w:pStyle w:val="Heading2"/>
      </w:pPr>
      <w:r>
        <w:t xml:space="preserve">5.5 Reputational Risk</w:t>
      </w:r>
    </w:p>
    <w:p>
      <w:pPr>
        <w:pStyle w:val="ListParagraph"/>
        <w:numPr>
          <w:ilvl w:val="0"/>
          <w:numId w:val="2"/>
        </w:numPr>
        <w:spacing w:after="80" w:line="300"/>
      </w:pPr>
      <w:r>
        <w:rPr>
          <w:rFonts w:ascii="Arial" w:cs="Arial" w:eastAsia="Arial" w:hAnsi="Arial"/>
          <w:b/>
          <w:bCs/>
          <w:sz w:val="22"/>
          <w:szCs w:val="22"/>
        </w:rPr>
        <w:t xml:space="preserve">Lending to Controversial Sectors: </w:t>
      </w:r>
      <w:r>
        <w:rPr>
          <w:rFonts w:ascii="Arial" w:cs="Arial" w:eastAsia="Arial" w:hAnsi="Arial"/>
          <w:sz w:val="22"/>
          <w:szCs w:val="22"/>
        </w:rPr>
        <w:t xml:space="preserve">Some VC-backed companies operate in areas with ESG or ethical concerns (surveillance tech, crypto, defence AI, social media). HSBC’s brand is at stake.</w:t>
      </w:r>
    </w:p>
    <w:p>
      <w:pPr>
        <w:pStyle w:val="ListParagraph"/>
        <w:numPr>
          <w:ilvl w:val="0"/>
          <w:numId w:val="2"/>
        </w:numPr>
        <w:spacing w:after="80" w:line="300"/>
      </w:pPr>
      <w:r>
        <w:rPr>
          <w:rFonts w:ascii="Arial" w:cs="Arial" w:eastAsia="Arial" w:hAnsi="Arial"/>
          <w:b/>
          <w:bCs/>
          <w:sz w:val="22"/>
          <w:szCs w:val="22"/>
        </w:rPr>
        <w:t xml:space="preserve">Borrower Failure: </w:t>
      </w:r>
      <w:r>
        <w:rPr>
          <w:rFonts w:ascii="Arial" w:cs="Arial" w:eastAsia="Arial" w:hAnsi="Arial"/>
          <w:sz w:val="22"/>
          <w:szCs w:val="22"/>
        </w:rPr>
        <w:t xml:space="preserve">High-profile startup collapses can generate negative press, especially if HSBC is named as a lender. Consider media risk in deal approval.</w:t>
      </w:r>
    </w:p>
    <w:p>
      <w:pPr>
        <w:pStyle w:val="ListParagraph"/>
        <w:numPr>
          <w:ilvl w:val="0"/>
          <w:numId w:val="2"/>
        </w:numPr>
        <w:spacing w:after="80" w:line="300"/>
      </w:pPr>
      <w:r>
        <w:rPr>
          <w:rFonts w:ascii="Arial" w:cs="Arial" w:eastAsia="Arial" w:hAnsi="Arial"/>
          <w:b/>
          <w:bCs/>
          <w:sz w:val="22"/>
          <w:szCs w:val="22"/>
        </w:rPr>
        <w:t xml:space="preserve">SVB Association: </w:t>
      </w:r>
      <w:r>
        <w:rPr>
          <w:rFonts w:ascii="Arial" w:cs="Arial" w:eastAsia="Arial" w:hAnsi="Arial"/>
          <w:sz w:val="22"/>
          <w:szCs w:val="22"/>
        </w:rPr>
        <w:t xml:space="preserve">The team was hired from SVB. Any operational failures may be amplified by media narratives connecting HSBC to SVB’s collapse.</w:t>
      </w:r>
    </w:p>
    <w:p>
      <w:pPr>
        <w:pStyle w:val="Heading2"/>
      </w:pPr>
      <w:r>
        <w:t xml:space="preserve">5.6 Fiduciary Risk (AM-Specific)</w:t>
      </w:r>
    </w:p>
    <w:p>
      <w:pPr>
        <w:spacing w:after="160" w:line="300"/>
      </w:pPr>
      <w:r>
        <w:rPr>
          <w:rFonts w:ascii="Arial" w:cs="Arial" w:eastAsia="Arial" w:hAnsi="Arial"/>
          <w:sz w:val="22"/>
          <w:szCs w:val="22"/>
        </w:rPr>
        <w:t xml:space="preserve">The AM has a fiduciary duty to its fund investors (LPs). This creates specific obligations:</w:t>
      </w:r>
    </w:p>
    <w:p>
      <w:pPr>
        <w:pStyle w:val="ListParagraph"/>
        <w:numPr>
          <w:ilvl w:val="0"/>
          <w:numId w:val="2"/>
        </w:numPr>
        <w:spacing w:after="80" w:line="300"/>
      </w:pPr>
      <w:r>
        <w:rPr>
          <w:rFonts w:ascii="Arial" w:cs="Arial" w:eastAsia="Arial" w:hAnsi="Arial"/>
          <w:sz w:val="22"/>
          <w:szCs w:val="22"/>
        </w:rPr>
        <w:t xml:space="preserve">Every deal must be assessed independently from the bank’s interests.</w:t>
      </w:r>
    </w:p>
    <w:p>
      <w:pPr>
        <w:pStyle w:val="ListParagraph"/>
        <w:numPr>
          <w:ilvl w:val="0"/>
          <w:numId w:val="2"/>
        </w:numPr>
        <w:spacing w:after="80" w:line="300"/>
      </w:pPr>
      <w:r>
        <w:rPr>
          <w:rFonts w:ascii="Arial" w:cs="Arial" w:eastAsia="Arial" w:hAnsi="Arial"/>
          <w:sz w:val="22"/>
          <w:szCs w:val="22"/>
        </w:rPr>
        <w:t xml:space="preserve">Allocation must be fair and documented — no cherry-picking best deals for the bank.</w:t>
      </w:r>
    </w:p>
    <w:p>
      <w:pPr>
        <w:pStyle w:val="ListParagraph"/>
        <w:numPr>
          <w:ilvl w:val="0"/>
          <w:numId w:val="2"/>
        </w:numPr>
        <w:spacing w:after="80" w:line="300"/>
      </w:pPr>
      <w:r>
        <w:rPr>
          <w:rFonts w:ascii="Arial" w:cs="Arial" w:eastAsia="Arial" w:hAnsi="Arial"/>
          <w:sz w:val="22"/>
          <w:szCs w:val="22"/>
        </w:rPr>
        <w:t xml:space="preserve">Fee structure must be transparent — LPs will scrutinise whether the AM is paying fair-market terms for the bank’s origination services.</w:t>
      </w:r>
    </w:p>
    <w:p>
      <w:pPr>
        <w:pStyle w:val="ListParagraph"/>
        <w:numPr>
          <w:ilvl w:val="0"/>
          <w:numId w:val="2"/>
        </w:numPr>
        <w:spacing w:after="80" w:line="300"/>
      </w:pPr>
      <w:r>
        <w:rPr>
          <w:rFonts w:ascii="Arial" w:cs="Arial" w:eastAsia="Arial" w:hAnsi="Arial"/>
          <w:sz w:val="22"/>
          <w:szCs w:val="22"/>
        </w:rPr>
        <w:t xml:space="preserve">Performance reporting must be accurate and timely — mark-to-market on the portfolio, not hold-to-maturity convenience pricing.</w:t>
      </w:r>
    </w:p>
    <w:p>
      <w:pPr>
        <w:pStyle w:val="ListParagraph"/>
        <w:numPr>
          <w:ilvl w:val="0"/>
          <w:numId w:val="2"/>
        </w:numPr>
        <w:spacing w:after="80" w:line="300"/>
      </w:pPr>
      <w:r>
        <w:rPr>
          <w:rFonts w:ascii="Arial" w:cs="Arial" w:eastAsia="Arial" w:hAnsi="Arial"/>
          <w:sz w:val="22"/>
          <w:szCs w:val="22"/>
        </w:rPr>
        <w:t xml:space="preserve">Cross-subsidisation concerns — ensure the bank is not using the AM’s capital to de-risk its own balance sheet on deals it would otherwise decline.</w:t>
      </w:r>
    </w:p>
    <w:p>
      <w:pPr>
        <w:pStyle w:val="Heading2"/>
      </w:pPr>
      <w:r>
        <w:t xml:space="preserve">5.7 Regulatory and Compliance Risk</w:t>
      </w:r>
    </w:p>
    <w:p>
      <w:pPr>
        <w:spacing w:after="160" w:line="300"/>
      </w:pPr>
      <w:r>
        <w:rPr>
          <w:rFonts w:ascii="Arial" w:cs="Arial" w:eastAsia="Arial" w:hAnsi="Arial"/>
          <w:sz w:val="22"/>
          <w:szCs w:val="22"/>
        </w:rPr>
        <w:t xml:space="preserve">The OCC’s Bulletin 2025-45 provides specific guidance on venture lending by national banks:</w:t>
      </w:r>
    </w:p>
    <w:p>
      <w:pPr>
        <w:pStyle w:val="ListParagraph"/>
        <w:numPr>
          <w:ilvl w:val="0"/>
          <w:numId w:val="2"/>
        </w:numPr>
        <w:spacing w:after="80" w:line="300"/>
      </w:pPr>
      <w:r>
        <w:rPr>
          <w:rFonts w:ascii="Arial" w:cs="Arial" w:eastAsia="Arial" w:hAnsi="Arial"/>
          <w:sz w:val="22"/>
          <w:szCs w:val="22"/>
        </w:rPr>
        <w:t xml:space="preserve">Banks must establish prudent credit underwriting that accounts for concentration of venture lending exposure.</w:t>
      </w:r>
    </w:p>
    <w:p>
      <w:pPr>
        <w:pStyle w:val="ListParagraph"/>
        <w:numPr>
          <w:ilvl w:val="0"/>
          <w:numId w:val="2"/>
        </w:numPr>
        <w:spacing w:after="80" w:line="300"/>
      </w:pPr>
      <w:r>
        <w:rPr>
          <w:rFonts w:ascii="Arial" w:cs="Arial" w:eastAsia="Arial" w:hAnsi="Arial"/>
          <w:sz w:val="22"/>
          <w:szCs w:val="22"/>
        </w:rPr>
        <w:t xml:space="preserve">Venture borrowers are classified as early/expansion-stage or late-stage, both warranting enhanced risk management.</w:t>
      </w:r>
    </w:p>
    <w:p>
      <w:pPr>
        <w:pStyle w:val="ListParagraph"/>
        <w:numPr>
          <w:ilvl w:val="0"/>
          <w:numId w:val="2"/>
        </w:numPr>
        <w:spacing w:after="80" w:line="300"/>
      </w:pPr>
      <w:r>
        <w:rPr>
          <w:rFonts w:ascii="Arial" w:cs="Arial" w:eastAsia="Arial" w:hAnsi="Arial"/>
          <w:sz w:val="22"/>
          <w:szCs w:val="22"/>
        </w:rPr>
        <w:t xml:space="preserve">Loan documentation must enable informed lending decisions and ongoing monitoring.</w:t>
      </w:r>
    </w:p>
    <w:p>
      <w:pPr>
        <w:pStyle w:val="ListParagraph"/>
        <w:numPr>
          <w:ilvl w:val="0"/>
          <w:numId w:val="2"/>
        </w:numPr>
        <w:spacing w:after="80" w:line="300"/>
      </w:pPr>
      <w:r>
        <w:rPr>
          <w:rFonts w:ascii="Arial" w:cs="Arial" w:eastAsia="Arial" w:hAnsi="Arial"/>
          <w:sz w:val="22"/>
          <w:szCs w:val="22"/>
        </w:rPr>
        <w:t xml:space="preserve">Independent control functions must be adequately resourced.</w:t>
      </w:r>
    </w:p>
    <w:p>
      <w:pPr>
        <w:pStyle w:val="ListParagraph"/>
        <w:numPr>
          <w:ilvl w:val="0"/>
          <w:numId w:val="2"/>
        </w:numPr>
        <w:spacing w:after="80" w:line="300"/>
      </w:pPr>
      <w:r>
        <w:rPr>
          <w:rFonts w:ascii="Arial" w:cs="Arial" w:eastAsia="Arial" w:hAnsi="Arial"/>
          <w:sz w:val="22"/>
          <w:szCs w:val="22"/>
        </w:rPr>
        <w:t xml:space="preserve">ALLL/ACL methodology must consider the existence, growth, and effect of venture lending concentrations.</w:t>
      </w:r>
    </w:p>
    <w:p>
      <w:r>
        <w:br w:type="page"/>
      </w:r>
    </w:p>
    <w:p>
      <w:pPr>
        <w:pStyle w:val="Heading1"/>
      </w:pPr>
      <w:r>
        <w:t xml:space="preserve">PART 6: UNDERWRITING FRAMEWORK</w:t>
      </w:r>
    </w:p>
    <w:p>
      <w:pPr>
        <w:pStyle w:val="Heading2"/>
      </w:pPr>
      <w:r>
        <w:t xml:space="preserve">6.1 The Four Pillars</w:t>
      </w:r>
    </w:p>
    <w:p>
      <w:pPr>
        <w:pStyle w:val="Heading3"/>
      </w:pPr>
      <w:r>
        <w:t xml:space="preserve">Pillar 1: Investor Quality</w:t>
      </w:r>
    </w:p>
    <w:p>
      <w:pPr>
        <w:pStyle w:val="ListParagraph"/>
        <w:numPr>
          <w:ilvl w:val="0"/>
          <w:numId w:val="2"/>
        </w:numPr>
        <w:spacing w:after="80" w:line="300"/>
      </w:pPr>
      <w:r>
        <w:rPr>
          <w:rFonts w:ascii="Arial" w:cs="Arial" w:eastAsia="Arial" w:hAnsi="Arial"/>
          <w:sz w:val="22"/>
          <w:szCs w:val="22"/>
        </w:rPr>
        <w:t xml:space="preserve">Lead investor: Tier 1 VC (Sequoia, a16z, Accel, Benchmark, Lightspeed, etc.) = strong signal. Tier 2/3 = higher scrutiny.</w:t>
      </w:r>
    </w:p>
    <w:p>
      <w:pPr>
        <w:pStyle w:val="ListParagraph"/>
        <w:numPr>
          <w:ilvl w:val="0"/>
          <w:numId w:val="2"/>
        </w:numPr>
        <w:spacing w:after="80" w:line="300"/>
      </w:pPr>
      <w:r>
        <w:rPr>
          <w:rFonts w:ascii="Arial" w:cs="Arial" w:eastAsia="Arial" w:hAnsi="Arial"/>
          <w:sz w:val="22"/>
          <w:szCs w:val="22"/>
        </w:rPr>
        <w:t xml:space="preserve">Dry powder: How much uncommitted capital remains in the fund? A fund with &lt;20% remaining is unlikely to bridge.</w:t>
      </w:r>
    </w:p>
    <w:p>
      <w:pPr>
        <w:pStyle w:val="ListParagraph"/>
        <w:numPr>
          <w:ilvl w:val="0"/>
          <w:numId w:val="2"/>
        </w:numPr>
        <w:spacing w:after="80" w:line="300"/>
      </w:pPr>
      <w:r>
        <w:rPr>
          <w:rFonts w:ascii="Arial" w:cs="Arial" w:eastAsia="Arial" w:hAnsi="Arial"/>
          <w:sz w:val="22"/>
          <w:szCs w:val="22"/>
        </w:rPr>
        <w:t xml:space="preserve">Follow-on track record: Ask for data on how many portfolio companies received emergency bridge financing in the last 3 years.</w:t>
      </w:r>
    </w:p>
    <w:p>
      <w:pPr>
        <w:pStyle w:val="ListParagraph"/>
        <w:numPr>
          <w:ilvl w:val="0"/>
          <w:numId w:val="2"/>
        </w:numPr>
        <w:spacing w:after="80" w:line="300"/>
      </w:pPr>
      <w:r>
        <w:rPr>
          <w:rFonts w:ascii="Arial" w:cs="Arial" w:eastAsia="Arial" w:hAnsi="Arial"/>
          <w:sz w:val="22"/>
          <w:szCs w:val="22"/>
        </w:rPr>
        <w:t xml:space="preserve">Cap table diversity: Multiple institutional investors = shared risk. Single investor = concentration.</w:t>
      </w:r>
    </w:p>
    <w:p>
      <w:pPr>
        <w:pStyle w:val="ListParagraph"/>
        <w:numPr>
          <w:ilvl w:val="0"/>
          <w:numId w:val="2"/>
        </w:numPr>
        <w:spacing w:after="80" w:line="300"/>
      </w:pPr>
      <w:r>
        <w:rPr>
          <w:rFonts w:ascii="Arial" w:cs="Arial" w:eastAsia="Arial" w:hAnsi="Arial"/>
          <w:sz w:val="22"/>
          <w:szCs w:val="22"/>
        </w:rPr>
        <w:t xml:space="preserve">Board governance: Active lead investor with board seat = oversight. Absentee investors = no governance.</w:t>
      </w:r>
    </w:p>
    <w:p>
      <w:pPr>
        <w:pStyle w:val="Heading3"/>
      </w:pPr>
      <w:r>
        <w:t xml:space="preserve">Pillar 2: Capital Structure &amp; Runway</w:t>
      </w:r>
    </w:p>
    <w:p>
      <w:pPr>
        <w:pStyle w:val="ListParagraph"/>
        <w:numPr>
          <w:ilvl w:val="0"/>
          <w:numId w:val="2"/>
        </w:numPr>
        <w:spacing w:after="80" w:line="300"/>
      </w:pPr>
      <w:r>
        <w:rPr>
          <w:rFonts w:ascii="Arial" w:cs="Arial" w:eastAsia="Arial" w:hAnsi="Arial"/>
          <w:sz w:val="22"/>
          <w:szCs w:val="22"/>
        </w:rPr>
        <w:t xml:space="preserve">Post-draw runway must exceed 12 months. Below 9 months = high risk.</w:t>
      </w:r>
    </w:p>
    <w:p>
      <w:pPr>
        <w:pStyle w:val="ListParagraph"/>
        <w:numPr>
          <w:ilvl w:val="0"/>
          <w:numId w:val="2"/>
        </w:numPr>
        <w:spacing w:after="80" w:line="300"/>
      </w:pPr>
      <w:r>
        <w:rPr>
          <w:rFonts w:ascii="Arial" w:cs="Arial" w:eastAsia="Arial" w:hAnsi="Arial"/>
          <w:sz w:val="22"/>
          <w:szCs w:val="22"/>
        </w:rPr>
        <w:t xml:space="preserve">LTV (loan/enterprise value) should be 5–15%. Above 20% = escalate.</w:t>
      </w:r>
    </w:p>
    <w:p>
      <w:pPr>
        <w:pStyle w:val="ListParagraph"/>
        <w:numPr>
          <w:ilvl w:val="0"/>
          <w:numId w:val="2"/>
        </w:numPr>
        <w:spacing w:after="80" w:line="300"/>
      </w:pPr>
      <w:r>
        <w:rPr>
          <w:rFonts w:ascii="Arial" w:cs="Arial" w:eastAsia="Arial" w:hAnsi="Arial"/>
          <w:sz w:val="22"/>
          <w:szCs w:val="22"/>
        </w:rPr>
        <w:t xml:space="preserve">Total debt-to-equity below 30–40%. Above 50% = over-leveraged.</w:t>
      </w:r>
    </w:p>
    <w:p>
      <w:pPr>
        <w:pStyle w:val="ListParagraph"/>
        <w:numPr>
          <w:ilvl w:val="0"/>
          <w:numId w:val="2"/>
        </w:numPr>
        <w:spacing w:after="80" w:line="300"/>
      </w:pPr>
      <w:r>
        <w:rPr>
          <w:rFonts w:ascii="Arial" w:cs="Arial" w:eastAsia="Arial" w:hAnsi="Arial"/>
          <w:sz w:val="22"/>
          <w:szCs w:val="22"/>
        </w:rPr>
        <w:t xml:space="preserve">Burn rate trend: accelerating burn without proportionate revenue growth = red flag.</w:t>
      </w:r>
    </w:p>
    <w:p>
      <w:pPr>
        <w:pStyle w:val="Heading3"/>
      </w:pPr>
      <w:r>
        <w:t xml:space="preserve">Pillar 3: Business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Healthy / Concerning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ARR Growth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&gt;50% (Series A), &gt;30% (Series B) / Decelerating QoQ</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Gross Margin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65–85% for SaaS / Below 60%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NRR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&gt;110% / Below 100%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Burn Multiple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&lt;2x efficient / &gt;3x concerning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LTV/CAC</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&gt;3x / &lt;2x</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Rule of 40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Revenue growth + EBITDA margin &gt; 40% / Below 30%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Customer Concentration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Top 5 &lt; 30% / Top 3 &gt; 50%</w:t>
            </w:r>
          </w:p>
        </w:tc>
      </w:tr>
    </w:tbl>
    <w:p>
      <w:pPr>
        <w:spacing w:after="100"/>
      </w:pPr>
    </w:p>
    <w:p>
      <w:pPr>
        <w:pStyle w:val="Heading3"/>
      </w:pPr>
      <w:r>
        <w:t xml:space="preserve">Pillar 4: Market &amp; Competitive</w:t>
      </w:r>
    </w:p>
    <w:p>
      <w:pPr>
        <w:pStyle w:val="ListParagraph"/>
        <w:numPr>
          <w:ilvl w:val="0"/>
          <w:numId w:val="2"/>
        </w:numPr>
        <w:spacing w:after="80" w:line="300"/>
      </w:pPr>
      <w:r>
        <w:rPr>
          <w:rFonts w:ascii="Arial" w:cs="Arial" w:eastAsia="Arial" w:hAnsi="Arial"/>
          <w:sz w:val="22"/>
          <w:szCs w:val="22"/>
        </w:rPr>
        <w:t xml:space="preserve">TAM: Large enough to support the company’s growth projections?</w:t>
      </w:r>
    </w:p>
    <w:p>
      <w:pPr>
        <w:pStyle w:val="ListParagraph"/>
        <w:numPr>
          <w:ilvl w:val="0"/>
          <w:numId w:val="2"/>
        </w:numPr>
        <w:spacing w:after="80" w:line="300"/>
      </w:pPr>
      <w:r>
        <w:rPr>
          <w:rFonts w:ascii="Arial" w:cs="Arial" w:eastAsia="Arial" w:hAnsi="Arial"/>
          <w:sz w:val="22"/>
          <w:szCs w:val="22"/>
        </w:rPr>
        <w:t xml:space="preserve">Defensibility: IP, network effects, switching costs, regulatory moats?</w:t>
      </w:r>
    </w:p>
    <w:p>
      <w:pPr>
        <w:pStyle w:val="ListParagraph"/>
        <w:numPr>
          <w:ilvl w:val="0"/>
          <w:numId w:val="2"/>
        </w:numPr>
        <w:spacing w:after="80" w:line="300"/>
      </w:pPr>
      <w:r>
        <w:rPr>
          <w:rFonts w:ascii="Arial" w:cs="Arial" w:eastAsia="Arial" w:hAnsi="Arial"/>
          <w:sz w:val="22"/>
          <w:szCs w:val="22"/>
        </w:rPr>
        <w:t xml:space="preserve">Sector health: Is the space attracting or losing investment?</w:t>
      </w:r>
    </w:p>
    <w:p>
      <w:pPr>
        <w:pStyle w:val="ListParagraph"/>
        <w:numPr>
          <w:ilvl w:val="0"/>
          <w:numId w:val="2"/>
        </w:numPr>
        <w:spacing w:after="80" w:line="300"/>
      </w:pPr>
      <w:r>
        <w:rPr>
          <w:rFonts w:ascii="Arial" w:cs="Arial" w:eastAsia="Arial" w:hAnsi="Arial"/>
          <w:sz w:val="22"/>
          <w:szCs w:val="22"/>
        </w:rPr>
        <w:t xml:space="preserve">Competitive dynamics: Is the company gaining or losing market share?</w:t>
      </w:r>
    </w:p>
    <w:p>
      <w:r>
        <w:br w:type="page"/>
      </w:r>
    </w:p>
    <w:p>
      <w:pPr>
        <w:pStyle w:val="Heading1"/>
      </w:pPr>
      <w:r>
        <w:t xml:space="preserve">PART 7: MONITORING, EARLY WARNING &amp; WORKOUT</w:t>
      </w:r>
    </w:p>
    <w:p>
      <w:pPr>
        <w:pStyle w:val="Heading2"/>
      </w:pPr>
      <w:r>
        <w:t xml:space="preserve">7.1 Monthly Monitoring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Item</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to Look For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Cash Balance / Runway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Months remaining. Alert &lt;6 months with no raise in progress.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Monthly Burn Rate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Trend direction. Accelerating without revenue growth = flag.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ARR/MRR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Growth trajectory. QoQ deceleration = product-market fit concerns.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NRR / Churn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NRR below 100% = customer base shrinking.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Covenant Compliance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Test all covenants. Document breaches and near-misses.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Investor Engagement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Board attendance, bridge discussions, follow-on signals.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Key Departures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C-suite changes, especially CFO/CTO.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Deposit Balances (if banking with HSBC)</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Declining deposits = real-time early warning.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Competitive Intel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Major competitor launches, pricing pressure.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Pipeline/Backlog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Declining pipeline signals future revenue shortfall.</w:t>
            </w:r>
          </w:p>
        </w:tc>
      </w:tr>
    </w:tbl>
    <w:p>
      <w:pPr>
        <w:spacing w:after="100"/>
      </w:pPr>
    </w:p>
    <w:p>
      <w:pPr>
        <w:pStyle w:val="Heading2"/>
      </w:pPr>
      <w:r>
        <w:t xml:space="preserve">7.2 Early Warning Triggers</w:t>
      </w:r>
    </w:p>
    <w:p>
      <w:pPr>
        <w:pStyle w:val="ListParagraph"/>
        <w:numPr>
          <w:ilvl w:val="0"/>
          <w:numId w:val="2"/>
        </w:numPr>
        <w:spacing w:after="80" w:line="300"/>
      </w:pPr>
      <w:r>
        <w:rPr>
          <w:rFonts w:ascii="Arial" w:cs="Arial" w:eastAsia="Arial" w:hAnsi="Arial"/>
          <w:b/>
          <w:bCs/>
          <w:color w:val="BF8B2E"/>
          <w:sz w:val="22"/>
          <w:szCs w:val="22"/>
        </w:rPr>
        <w:t xml:space="preserve">AMBER: </w:t>
      </w:r>
      <w:r>
        <w:rPr>
          <w:rFonts w:ascii="Arial" w:cs="Arial" w:eastAsia="Arial" w:hAnsi="Arial"/>
          <w:sz w:val="22"/>
          <w:szCs w:val="22"/>
        </w:rPr>
        <w:t xml:space="preserve">Runway drops below 9 months; minor covenant headroom erosion; single key hire departure; one quarter of ARR miss.</w:t>
      </w:r>
    </w:p>
    <w:p>
      <w:pPr>
        <w:pStyle w:val="ListParagraph"/>
        <w:numPr>
          <w:ilvl w:val="0"/>
          <w:numId w:val="2"/>
        </w:numPr>
        <w:spacing w:after="80" w:line="300"/>
      </w:pPr>
      <w:r>
        <w:rPr>
          <w:rFonts w:ascii="Arial" w:cs="Arial" w:eastAsia="Arial" w:hAnsi="Arial"/>
          <w:b/>
          <w:bCs/>
          <w:color w:val="C00000"/>
          <w:sz w:val="22"/>
          <w:szCs w:val="22"/>
        </w:rPr>
        <w:t xml:space="preserve">RED: </w:t>
      </w:r>
      <w:r>
        <w:rPr>
          <w:rFonts w:ascii="Arial" w:cs="Arial" w:eastAsia="Arial" w:hAnsi="Arial"/>
          <w:sz w:val="22"/>
          <w:szCs w:val="22"/>
        </w:rPr>
        <w:t xml:space="preserve">Runway below 6 months; covenant breach or waiver request; CEO/CFO departure; failed equity raise; major customer loss; down round by existing investors; repeated reporting delays.</w:t>
      </w:r>
    </w:p>
    <w:p>
      <w:pPr>
        <w:pStyle w:val="ListParagraph"/>
        <w:numPr>
          <w:ilvl w:val="0"/>
          <w:numId w:val="2"/>
        </w:numPr>
        <w:spacing w:after="80" w:line="300"/>
      </w:pPr>
      <w:r>
        <w:rPr>
          <w:rFonts w:ascii="Arial" w:cs="Arial" w:eastAsia="Arial" w:hAnsi="Arial"/>
          <w:b/>
          <w:bCs/>
          <w:color w:val="C00000"/>
          <w:sz w:val="22"/>
          <w:szCs w:val="22"/>
        </w:rPr>
        <w:t xml:space="preserve">ESCALATION: </w:t>
      </w:r>
      <w:r>
        <w:rPr>
          <w:rFonts w:ascii="Arial" w:cs="Arial" w:eastAsia="Arial" w:hAnsi="Arial"/>
          <w:sz w:val="22"/>
          <w:szCs w:val="22"/>
        </w:rPr>
        <w:t xml:space="preserve">Any RED trigger must be escalated to the IC within 48 hours with a proposed action plan.</w:t>
      </w:r>
    </w:p>
    <w:p>
      <w:pPr>
        <w:pStyle w:val="Heading2"/>
      </w:pPr>
      <w:r>
        <w:t xml:space="preserve">7.3 Workout and Recovery Playbook</w:t>
      </w:r>
    </w:p>
    <w:p>
      <w:pPr>
        <w:pStyle w:val="ListParagraph"/>
        <w:numPr>
          <w:ilvl w:val="0"/>
          <w:numId w:val="3"/>
        </w:numPr>
        <w:spacing w:after="80" w:line="300"/>
      </w:pPr>
      <w:r>
        <w:rPr>
          <w:rFonts w:ascii="Arial" w:cs="Arial" w:eastAsia="Arial" w:hAnsi="Arial"/>
          <w:b/>
          <w:bCs/>
          <w:sz w:val="22"/>
          <w:szCs w:val="22"/>
        </w:rPr>
        <w:t xml:space="preserve">Engage VC investors immediately. </w:t>
      </w:r>
      <w:r>
        <w:rPr>
          <w:rFonts w:ascii="Arial" w:cs="Arial" w:eastAsia="Arial" w:hAnsi="Arial"/>
          <w:sz w:val="22"/>
          <w:szCs w:val="22"/>
        </w:rPr>
        <w:t xml:space="preserve">They have the most to lose (equity value) and are the most likely source of rescue capital.</w:t>
      </w:r>
    </w:p>
    <w:p>
      <w:pPr>
        <w:pStyle w:val="ListParagraph"/>
        <w:numPr>
          <w:ilvl w:val="0"/>
          <w:numId w:val="3"/>
        </w:numPr>
        <w:spacing w:after="80" w:line="300"/>
      </w:pPr>
      <w:r>
        <w:rPr>
          <w:rFonts w:ascii="Arial" w:cs="Arial" w:eastAsia="Arial" w:hAnsi="Arial"/>
          <w:b/>
          <w:bCs/>
          <w:sz w:val="22"/>
          <w:szCs w:val="22"/>
        </w:rPr>
        <w:t xml:space="preserve">Assess the company’s M&amp;A value. </w:t>
      </w:r>
      <w:r>
        <w:rPr>
          <w:rFonts w:ascii="Arial" w:cs="Arial" w:eastAsia="Arial" w:hAnsi="Arial"/>
          <w:sz w:val="22"/>
          <w:szCs w:val="22"/>
        </w:rPr>
        <w:t xml:space="preserve">Many distressed startups have valuable tech, team, and customer base that an acquirer will pay for.</w:t>
      </w:r>
    </w:p>
    <w:p>
      <w:pPr>
        <w:pStyle w:val="ListParagraph"/>
        <w:numPr>
          <w:ilvl w:val="0"/>
          <w:numId w:val="3"/>
        </w:numPr>
        <w:spacing w:after="80" w:line="300"/>
      </w:pPr>
      <w:r>
        <w:rPr>
          <w:rFonts w:ascii="Arial" w:cs="Arial" w:eastAsia="Arial" w:hAnsi="Arial"/>
          <w:b/>
          <w:bCs/>
          <w:sz w:val="22"/>
          <w:szCs w:val="22"/>
        </w:rPr>
        <w:t xml:space="preserve">Consider covenant amendment vs acceleration. </w:t>
      </w:r>
      <w:r>
        <w:rPr>
          <w:rFonts w:ascii="Arial" w:cs="Arial" w:eastAsia="Arial" w:hAnsi="Arial"/>
          <w:sz w:val="22"/>
          <w:szCs w:val="22"/>
        </w:rPr>
        <w:t xml:space="preserve">Calling the loan almost never produces a good recovery. Work with the borrower to restructure if there is a viable path.</w:t>
      </w:r>
    </w:p>
    <w:p>
      <w:pPr>
        <w:pStyle w:val="ListParagraph"/>
        <w:numPr>
          <w:ilvl w:val="0"/>
          <w:numId w:val="3"/>
        </w:numPr>
        <w:spacing w:after="80" w:line="300"/>
      </w:pPr>
      <w:r>
        <w:rPr>
          <w:rFonts w:ascii="Arial" w:cs="Arial" w:eastAsia="Arial" w:hAnsi="Arial"/>
          <w:b/>
          <w:bCs/>
          <w:sz w:val="22"/>
          <w:szCs w:val="22"/>
        </w:rPr>
        <w:t xml:space="preserve">Coordinate with Innovation Banking. </w:t>
      </w:r>
      <w:r>
        <w:rPr>
          <w:rFonts w:ascii="Arial" w:cs="Arial" w:eastAsia="Arial" w:hAnsi="Arial"/>
          <w:sz w:val="22"/>
          <w:szCs w:val="22"/>
        </w:rPr>
        <w:t xml:space="preserve">The bank may have deposit exposure and client relationship considerations. Align on strategy.</w:t>
      </w:r>
    </w:p>
    <w:p>
      <w:pPr>
        <w:pStyle w:val="ListParagraph"/>
        <w:numPr>
          <w:ilvl w:val="0"/>
          <w:numId w:val="3"/>
        </w:numPr>
        <w:spacing w:after="80" w:line="300"/>
      </w:pPr>
      <w:r>
        <w:rPr>
          <w:rFonts w:ascii="Arial" w:cs="Arial" w:eastAsia="Arial" w:hAnsi="Arial"/>
          <w:b/>
          <w:bCs/>
          <w:sz w:val="22"/>
          <w:szCs w:val="22"/>
        </w:rPr>
        <w:t xml:space="preserve">IP seizure and liquidation is last resort. </w:t>
      </w:r>
      <w:r>
        <w:rPr>
          <w:rFonts w:ascii="Arial" w:cs="Arial" w:eastAsia="Arial" w:hAnsi="Arial"/>
          <w:sz w:val="22"/>
          <w:szCs w:val="22"/>
        </w:rPr>
        <w:t xml:space="preserve">Typically yields 5–15 cents on the dollar for software companies.</w:t>
      </w:r>
    </w:p>
    <w:p>
      <w:pPr>
        <w:pStyle w:val="ListParagraph"/>
        <w:numPr>
          <w:ilvl w:val="0"/>
          <w:numId w:val="3"/>
        </w:numPr>
        <w:spacing w:after="80" w:line="300"/>
      </w:pPr>
      <w:r>
        <w:rPr>
          <w:rFonts w:ascii="Arial" w:cs="Arial" w:eastAsia="Arial" w:hAnsi="Arial"/>
          <w:b/>
          <w:bCs/>
          <w:sz w:val="22"/>
          <w:szCs w:val="22"/>
        </w:rPr>
        <w:t xml:space="preserve">Document everything. </w:t>
      </w:r>
      <w:r>
        <w:rPr>
          <w:rFonts w:ascii="Arial" w:cs="Arial" w:eastAsia="Arial" w:hAnsi="Arial"/>
          <w:sz w:val="22"/>
          <w:szCs w:val="22"/>
        </w:rPr>
        <w:t xml:space="preserve">Every conversation with the borrower, every VC engagement, every waiver. This protects the AM’s fiduciary position.</w:t>
      </w:r>
    </w:p>
    <w:p>
      <w:r>
        <w:br w:type="page"/>
      </w:r>
    </w:p>
    <w:p>
      <w:pPr>
        <w:pStyle w:val="Heading1"/>
      </w:pPr>
      <w:r>
        <w:t xml:space="preserve">PART 8: VENTURE DEBT PORTFOLIO DASHBOARD — DESIGN FRAMEWORK</w:t>
      </w:r>
    </w:p>
    <w:p>
      <w:pPr>
        <w:spacing w:after="160" w:line="300"/>
      </w:pPr>
      <w:r>
        <w:rPr>
          <w:rFonts w:ascii="Arial" w:cs="Arial" w:eastAsia="Arial" w:hAnsi="Arial"/>
          <w:sz w:val="22"/>
          <w:szCs w:val="22"/>
        </w:rPr>
        <w:t xml:space="preserve">This section provides the complete blueprint for a dashboard that tracks your venture debt portfolio from high level (board/senior management view) down to individual deal detail. The dashboard should be structured in four tiers, each serving a different audience and purpose.</w:t>
      </w:r>
    </w:p>
    <w:p>
      <w:pPr>
        <w:pStyle w:val="Heading2"/>
      </w:pPr>
      <w:r>
        <w:t xml:space="preserve">8.1 Dashboard Architecture: Four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gridCol/>
        <w:gridCol/>
        <w:gridCol/>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Tier</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Audience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Refresh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Tier 1: Executive Summary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Board, CRO, CIO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Portfolio health at a glance. 1-page view. Go/no-go signal.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Monthly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Tier 2: Portfolio Analytics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IC, Portfolio Manager, Risk Head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Concentration, migration, performance attribution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Monthly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Tier 3: Deal-Level Monitor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Deal Lead, Risk Manager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Individual company health tracking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Monthly (some weekly)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Tier 4: Watchlist &amp; Action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IC, Workout Team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Distressed exposures with action plans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Weekly</w:t>
            </w:r>
          </w:p>
        </w:tc>
      </w:tr>
    </w:tbl>
    <w:p>
      <w:pPr>
        <w:spacing w:after="100"/>
      </w:pPr>
    </w:p>
    <w:p>
      <w:pPr>
        <w:pStyle w:val="Heading2"/>
      </w:pPr>
      <w:r>
        <w:t xml:space="preserve">8.2 Tier 1: Executive Summary (Board View)</w:t>
      </w:r>
    </w:p>
    <w:p>
      <w:pPr>
        <w:spacing w:after="160" w:line="300"/>
      </w:pPr>
      <w:r>
        <w:rPr>
          <w:rFonts w:ascii="Arial" w:cs="Arial" w:eastAsia="Arial" w:hAnsi="Arial"/>
          <w:sz w:val="22"/>
          <w:szCs w:val="22"/>
        </w:rPr>
        <w:t xml:space="preserve">One page. No detail. Designed for a 60-second scan by the CRO or board member. Every number should be contextualised with a traffic light and trend arrow.</w:t>
      </w:r>
    </w:p>
    <w:p>
      <w:pPr>
        <w:pStyle w:val="Heading3"/>
      </w:pPr>
      <w:r>
        <w:t xml:space="preserve">8.2.1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KPI</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Definition &amp; Display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Total Portfolio Committed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Sum of all facility commitments ($). Show as headline number with QoQ change.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Total Drawn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Sum of all drawn amounts ($). Critical: show utilisation rate (Drawn/Committed %).</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Number of Active Deals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Count of active facilities. Show by stage (Series A/B/C/Late).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Weighted Average Yield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All-in yield across the portfolio (interest + fees + estimated warrant yield). Benchmark vs target return.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Portfolio Risk Rating Distribution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Visual: stacked bar or pie showing % of portfolio by risk rating (e.g. 1–5 scale). Show migration vs prior quarter.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Expected Credit Loss (ECL)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Total ACL/provision as % of drawn exposure. Compare to budget and peer benchmarks.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Realised Losses (YTD)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Actual write-offs in the period. Compare to ECL budget and historical average.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Warrant Portfolio Value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Mark-to-market value of all warrants held. Unrealised gains/losses.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Watchlist Count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Number of deals on watchlist. Show as % of portfolio and trend.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Pipeline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Committed but not yet closed deals. Gives forward view of portfolio growth.</w:t>
            </w:r>
          </w:p>
        </w:tc>
      </w:tr>
    </w:tbl>
    <w:p>
      <w:pPr>
        <w:spacing w:after="100"/>
      </w:pPr>
    </w:p>
    <w:p>
      <w:pPr>
        <w:pStyle w:val="Heading3"/>
      </w:pPr>
      <w:r>
        <w:t xml:space="preserve">8.2.2 Traffic Light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Colour</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Criteria</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 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GREEN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KPIs within tolerance. No watchlist deals added. ECL within budget.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None — business as usual.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AMBER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1–2 KPIs trending toward limit. Watchlist increased. ECL approaching budget.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IC review at next scheduled meeting.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RED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Any KPI breached. Realised loss exceeds budget. Concentration limit exceeded.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Emergency IC within 48 hours.</w:t>
            </w:r>
          </w:p>
        </w:tc>
      </w:tr>
    </w:tbl>
    <w:p>
      <w:pPr>
        <w:spacing w:after="100"/>
      </w:pPr>
    </w:p>
    <w:p>
      <w:pPr>
        <w:pStyle w:val="Heading2"/>
      </w:pPr>
      <w:r>
        <w:t xml:space="preserve">8.3 Tier 2: Portfolio Analytics</w:t>
      </w:r>
    </w:p>
    <w:p>
      <w:pPr>
        <w:spacing w:after="160" w:line="300"/>
      </w:pPr>
      <w:r>
        <w:rPr>
          <w:rFonts w:ascii="Arial" w:cs="Arial" w:eastAsia="Arial" w:hAnsi="Arial"/>
          <w:sz w:val="22"/>
          <w:szCs w:val="22"/>
        </w:rPr>
        <w:t xml:space="preserve">This tier provides the analytical depth for the IC and portfolio management team. Updated monthly, presented at quarterly IC reviews.</w:t>
      </w:r>
    </w:p>
    <w:p>
      <w:pPr>
        <w:pStyle w:val="Heading3"/>
      </w:pPr>
      <w:r>
        <w:t xml:space="preserve">8.3.1 Concentration Analytics</w:t>
      </w:r>
    </w:p>
    <w:p>
      <w:pPr>
        <w:pStyle w:val="ListParagraph"/>
        <w:numPr>
          <w:ilvl w:val="0"/>
          <w:numId w:val="2"/>
        </w:numPr>
        <w:spacing w:after="80" w:line="300"/>
      </w:pPr>
      <w:r>
        <w:rPr>
          <w:rFonts w:ascii="Arial" w:cs="Arial" w:eastAsia="Arial" w:hAnsi="Arial"/>
          <w:b/>
          <w:bCs/>
          <w:sz w:val="22"/>
          <w:szCs w:val="22"/>
        </w:rPr>
        <w:t xml:space="preserve">By Sector: </w:t>
      </w:r>
      <w:r>
        <w:rPr>
          <w:rFonts w:ascii="Arial" w:cs="Arial" w:eastAsia="Arial" w:hAnsi="Arial"/>
          <w:sz w:val="22"/>
          <w:szCs w:val="22"/>
        </w:rPr>
        <w:t xml:space="preserve">Enterprise SaaS, Fintech, Healthtech/Biotech, AI/ML, Consumer, Climate/Clean, Other. Show $ and % of NAV. Heat map against limits.</w:t>
      </w:r>
    </w:p>
    <w:p>
      <w:pPr>
        <w:pStyle w:val="ListParagraph"/>
        <w:numPr>
          <w:ilvl w:val="0"/>
          <w:numId w:val="2"/>
        </w:numPr>
        <w:spacing w:after="80" w:line="300"/>
      </w:pPr>
      <w:r>
        <w:rPr>
          <w:rFonts w:ascii="Arial" w:cs="Arial" w:eastAsia="Arial" w:hAnsi="Arial"/>
          <w:b/>
          <w:bCs/>
          <w:sz w:val="22"/>
          <w:szCs w:val="22"/>
        </w:rPr>
        <w:t xml:space="preserve">By Stage: </w:t>
      </w:r>
      <w:r>
        <w:rPr>
          <w:rFonts w:ascii="Arial" w:cs="Arial" w:eastAsia="Arial" w:hAnsi="Arial"/>
          <w:sz w:val="22"/>
          <w:szCs w:val="22"/>
        </w:rPr>
        <w:t xml:space="preserve">Series A, B, C, Late/Growth. Show count and $ exposure.</w:t>
      </w:r>
    </w:p>
    <w:p>
      <w:pPr>
        <w:pStyle w:val="ListParagraph"/>
        <w:numPr>
          <w:ilvl w:val="0"/>
          <w:numId w:val="2"/>
        </w:numPr>
        <w:spacing w:after="80" w:line="300"/>
      </w:pPr>
      <w:r>
        <w:rPr>
          <w:rFonts w:ascii="Arial" w:cs="Arial" w:eastAsia="Arial" w:hAnsi="Arial"/>
          <w:b/>
          <w:bCs/>
          <w:sz w:val="22"/>
          <w:szCs w:val="22"/>
        </w:rPr>
        <w:t xml:space="preserve">By Lead Investor: </w:t>
      </w:r>
      <w:r>
        <w:rPr>
          <w:rFonts w:ascii="Arial" w:cs="Arial" w:eastAsia="Arial" w:hAnsi="Arial"/>
          <w:sz w:val="22"/>
          <w:szCs w:val="22"/>
        </w:rPr>
        <w:t xml:space="preserve">Top 10 VC firms by aggregate portfolio exposure. Flag any investor &gt;15% of NAV.</w:t>
      </w:r>
    </w:p>
    <w:p>
      <w:pPr>
        <w:pStyle w:val="ListParagraph"/>
        <w:numPr>
          <w:ilvl w:val="0"/>
          <w:numId w:val="2"/>
        </w:numPr>
        <w:spacing w:after="80" w:line="300"/>
      </w:pPr>
      <w:r>
        <w:rPr>
          <w:rFonts w:ascii="Arial" w:cs="Arial" w:eastAsia="Arial" w:hAnsi="Arial"/>
          <w:b/>
          <w:bCs/>
          <w:sz w:val="22"/>
          <w:szCs w:val="22"/>
        </w:rPr>
        <w:t xml:space="preserve">By Geography: </w:t>
      </w:r>
      <w:r>
        <w:rPr>
          <w:rFonts w:ascii="Arial" w:cs="Arial" w:eastAsia="Arial" w:hAnsi="Arial"/>
          <w:sz w:val="22"/>
          <w:szCs w:val="22"/>
        </w:rPr>
        <w:t xml:space="preserve">SF Bay Area, Boston, NYC, Other. Informational rather than limit-based.</w:t>
      </w:r>
    </w:p>
    <w:p>
      <w:pPr>
        <w:pStyle w:val="ListParagraph"/>
        <w:numPr>
          <w:ilvl w:val="0"/>
          <w:numId w:val="2"/>
        </w:numPr>
        <w:spacing w:after="80" w:line="300"/>
      </w:pPr>
      <w:r>
        <w:rPr>
          <w:rFonts w:ascii="Arial" w:cs="Arial" w:eastAsia="Arial" w:hAnsi="Arial"/>
          <w:b/>
          <w:bCs/>
          <w:sz w:val="22"/>
          <w:szCs w:val="22"/>
        </w:rPr>
        <w:t xml:space="preserve">By Vintage (origination quarter): </w:t>
      </w:r>
      <w:r>
        <w:rPr>
          <w:rFonts w:ascii="Arial" w:cs="Arial" w:eastAsia="Arial" w:hAnsi="Arial"/>
          <w:sz w:val="22"/>
          <w:szCs w:val="22"/>
        </w:rPr>
        <w:t xml:space="preserve">Show deal count and $ by origination quarter. Identify clustering.</w:t>
      </w:r>
    </w:p>
    <w:p>
      <w:pPr>
        <w:pStyle w:val="ListParagraph"/>
        <w:numPr>
          <w:ilvl w:val="0"/>
          <w:numId w:val="2"/>
        </w:numPr>
        <w:spacing w:after="80" w:line="300"/>
      </w:pPr>
      <w:r>
        <w:rPr>
          <w:rFonts w:ascii="Arial" w:cs="Arial" w:eastAsia="Arial" w:hAnsi="Arial"/>
          <w:b/>
          <w:bCs/>
          <w:sz w:val="22"/>
          <w:szCs w:val="22"/>
        </w:rPr>
        <w:t xml:space="preserve">Single Name: </w:t>
      </w:r>
      <w:r>
        <w:rPr>
          <w:rFonts w:ascii="Arial" w:cs="Arial" w:eastAsia="Arial" w:hAnsi="Arial"/>
          <w:sz w:val="22"/>
          <w:szCs w:val="22"/>
        </w:rPr>
        <w:t xml:space="preserve">Top 10 individual exposures as % of NAV. Flag any &gt;5%.</w:t>
      </w:r>
    </w:p>
    <w:p>
      <w:pPr>
        <w:pStyle w:val="Heading3"/>
      </w:pPr>
      <w:r>
        <w:t xml:space="preserve">8.3.2 Performance Attribution</w:t>
      </w:r>
    </w:p>
    <w:p>
      <w:pPr>
        <w:pStyle w:val="ListParagraph"/>
        <w:numPr>
          <w:ilvl w:val="0"/>
          <w:numId w:val="2"/>
        </w:numPr>
        <w:spacing w:after="80" w:line="300"/>
      </w:pPr>
      <w:r>
        <w:rPr>
          <w:rFonts w:ascii="Arial" w:cs="Arial" w:eastAsia="Arial" w:hAnsi="Arial"/>
          <w:b/>
          <w:bCs/>
          <w:sz w:val="22"/>
          <w:szCs w:val="22"/>
        </w:rPr>
        <w:t xml:space="preserve">Yield Attribution: </w:t>
      </w:r>
      <w:r>
        <w:rPr>
          <w:rFonts w:ascii="Arial" w:cs="Arial" w:eastAsia="Arial" w:hAnsi="Arial"/>
          <w:sz w:val="22"/>
          <w:szCs w:val="22"/>
        </w:rPr>
        <w:t xml:space="preserve">Break down portfolio yield into components: base rate (SOFR), credit spread, fees, warrant income. Show trend over time.</w:t>
      </w:r>
    </w:p>
    <w:p>
      <w:pPr>
        <w:pStyle w:val="ListParagraph"/>
        <w:numPr>
          <w:ilvl w:val="0"/>
          <w:numId w:val="2"/>
        </w:numPr>
        <w:spacing w:after="80" w:line="300"/>
      </w:pPr>
      <w:r>
        <w:rPr>
          <w:rFonts w:ascii="Arial" w:cs="Arial" w:eastAsia="Arial" w:hAnsi="Arial"/>
          <w:b/>
          <w:bCs/>
          <w:sz w:val="22"/>
          <w:szCs w:val="22"/>
        </w:rPr>
        <w:t xml:space="preserve">Risk Rating Migration Matrix: </w:t>
      </w:r>
      <w:r>
        <w:rPr>
          <w:rFonts w:ascii="Arial" w:cs="Arial" w:eastAsia="Arial" w:hAnsi="Arial"/>
          <w:sz w:val="22"/>
          <w:szCs w:val="22"/>
        </w:rPr>
        <w:t xml:space="preserve">Quarter-over-quarter migration showing how many deals moved between rating categories. Key metric: net downgrade rate.</w:t>
      </w:r>
    </w:p>
    <w:p>
      <w:pPr>
        <w:pStyle w:val="ListParagraph"/>
        <w:numPr>
          <w:ilvl w:val="0"/>
          <w:numId w:val="2"/>
        </w:numPr>
        <w:spacing w:after="80" w:line="300"/>
      </w:pPr>
      <w:r>
        <w:rPr>
          <w:rFonts w:ascii="Arial" w:cs="Arial" w:eastAsia="Arial" w:hAnsi="Arial"/>
          <w:b/>
          <w:bCs/>
          <w:sz w:val="22"/>
          <w:szCs w:val="22"/>
        </w:rPr>
        <w:t xml:space="preserve">Vintage Performance: </w:t>
      </w:r>
      <w:r>
        <w:rPr>
          <w:rFonts w:ascii="Arial" w:cs="Arial" w:eastAsia="Arial" w:hAnsi="Arial"/>
          <w:sz w:val="22"/>
          <w:szCs w:val="22"/>
        </w:rPr>
        <w:t xml:space="preserve">Cohort analysis — how do deals originated in Q1 2024 compare to Q3 2024 in terms of covenant compliance, drawdown timing, and early warning triggers?</w:t>
      </w:r>
    </w:p>
    <w:p>
      <w:pPr>
        <w:pStyle w:val="ListParagraph"/>
        <w:numPr>
          <w:ilvl w:val="0"/>
          <w:numId w:val="2"/>
        </w:numPr>
        <w:spacing w:after="80" w:line="300"/>
      </w:pPr>
      <w:r>
        <w:rPr>
          <w:rFonts w:ascii="Arial" w:cs="Arial" w:eastAsia="Arial" w:hAnsi="Arial"/>
          <w:b/>
          <w:bCs/>
          <w:sz w:val="22"/>
          <w:szCs w:val="22"/>
        </w:rPr>
        <w:t xml:space="preserve">Peer Benchmarking: </w:t>
      </w:r>
      <w:r>
        <w:rPr>
          <w:rFonts w:ascii="Arial" w:cs="Arial" w:eastAsia="Arial" w:hAnsi="Arial"/>
          <w:sz w:val="22"/>
          <w:szCs w:val="22"/>
        </w:rPr>
        <w:t xml:space="preserve">Compare portfolio performance to published BDC data (Hercules, TriplePoint) and market-level venture debt stats (PitchBook).</w:t>
      </w:r>
    </w:p>
    <w:p>
      <w:pPr>
        <w:pStyle w:val="Heading3"/>
      </w:pPr>
      <w:r>
        <w:t xml:space="preserve">8.3.3 Risk Analytics</w:t>
      </w:r>
    </w:p>
    <w:p>
      <w:pPr>
        <w:pStyle w:val="ListParagraph"/>
        <w:numPr>
          <w:ilvl w:val="0"/>
          <w:numId w:val="2"/>
        </w:numPr>
        <w:spacing w:after="80" w:line="300"/>
      </w:pPr>
      <w:r>
        <w:rPr>
          <w:rFonts w:ascii="Arial" w:cs="Arial" w:eastAsia="Arial" w:hAnsi="Arial"/>
          <w:b/>
          <w:bCs/>
          <w:sz w:val="22"/>
          <w:szCs w:val="22"/>
        </w:rPr>
        <w:t xml:space="preserve">ECL Bridge: </w:t>
      </w:r>
      <w:r>
        <w:rPr>
          <w:rFonts w:ascii="Arial" w:cs="Arial" w:eastAsia="Arial" w:hAnsi="Arial"/>
          <w:sz w:val="22"/>
          <w:szCs w:val="22"/>
        </w:rPr>
        <w:t xml:space="preserve">Walk from prior quarter ECL to current. Components: new deals, repayments, rating migration, macro scenario change, model parameter update.</w:t>
      </w:r>
    </w:p>
    <w:p>
      <w:pPr>
        <w:pStyle w:val="ListParagraph"/>
        <w:numPr>
          <w:ilvl w:val="0"/>
          <w:numId w:val="2"/>
        </w:numPr>
        <w:spacing w:after="80" w:line="300"/>
      </w:pPr>
      <w:r>
        <w:rPr>
          <w:rFonts w:ascii="Arial" w:cs="Arial" w:eastAsia="Arial" w:hAnsi="Arial"/>
          <w:b/>
          <w:bCs/>
          <w:sz w:val="22"/>
          <w:szCs w:val="22"/>
        </w:rPr>
        <w:t xml:space="preserve">Stress Test Results: </w:t>
      </w:r>
      <w:r>
        <w:rPr>
          <w:rFonts w:ascii="Arial" w:cs="Arial" w:eastAsia="Arial" w:hAnsi="Arial"/>
          <w:sz w:val="22"/>
          <w:szCs w:val="22"/>
        </w:rPr>
        <w:t xml:space="preserve">Portfolio loss under VC Winter, Rate Shock, and Sector Downturn scenarios. Show as additional ECL required.</w:t>
      </w:r>
    </w:p>
    <w:p>
      <w:pPr>
        <w:pStyle w:val="ListParagraph"/>
        <w:numPr>
          <w:ilvl w:val="0"/>
          <w:numId w:val="2"/>
        </w:numPr>
        <w:spacing w:after="80" w:line="300"/>
      </w:pPr>
      <w:r>
        <w:rPr>
          <w:rFonts w:ascii="Arial" w:cs="Arial" w:eastAsia="Arial" w:hAnsi="Arial"/>
          <w:b/>
          <w:bCs/>
          <w:sz w:val="22"/>
          <w:szCs w:val="22"/>
        </w:rPr>
        <w:t xml:space="preserve">Covenant Compliance Heatmap: </w:t>
      </w:r>
      <w:r>
        <w:rPr>
          <w:rFonts w:ascii="Arial" w:cs="Arial" w:eastAsia="Arial" w:hAnsi="Arial"/>
          <w:sz w:val="22"/>
          <w:szCs w:val="22"/>
        </w:rPr>
        <w:t xml:space="preserve">Traffic light for each deal’s covenant status. Show headroom as % above/below threshold.</w:t>
      </w:r>
    </w:p>
    <w:p>
      <w:pPr>
        <w:pStyle w:val="Heading2"/>
      </w:pPr>
      <w:r>
        <w:t xml:space="preserve">8.4 Tier 3: Deal-Level Monitor</w:t>
      </w:r>
    </w:p>
    <w:p>
      <w:pPr>
        <w:spacing w:after="160" w:line="300"/>
      </w:pPr>
      <w:r>
        <w:rPr>
          <w:rFonts w:ascii="Arial" w:cs="Arial" w:eastAsia="Arial" w:hAnsi="Arial"/>
          <w:sz w:val="22"/>
          <w:szCs w:val="22"/>
        </w:rPr>
        <w:t xml:space="preserve">One page per company. The deal lead updates monthly; risk manager reviews and challenges.</w:t>
      </w:r>
    </w:p>
    <w:p>
      <w:pPr>
        <w:pStyle w:val="Heading3"/>
      </w:pPr>
      <w:r>
        <w:t xml:space="preserve">8.4.1 Company Snapshot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Company Name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Sector / Sub-sector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Stage (Series A/B/C/Late)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Lead Investor(s)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Facility Size / Drawn Amount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Interest Rate (all-in)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Maturity Date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I/O Period End Date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Warrant Coverage / Strike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Risk Rating (current)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Risk Rating (prior quarter)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Watchlist Status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Yes/No + Reason</w:t>
            </w:r>
          </w:p>
        </w:tc>
      </w:tr>
    </w:tbl>
    <w:p>
      <w:pPr>
        <w:spacing w:after="100"/>
      </w:pPr>
    </w:p>
    <w:p>
      <w:pPr>
        <w:pStyle w:val="Heading3"/>
      </w:pPr>
      <w:r>
        <w:t xml:space="preserve">8.4.2 Monthly KPI Tracker (per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Display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Cash Balance ($)</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Actuals vs budget. 6-month trend line.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Runway (months)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Calculated from cash ÷ burn. Colour-coded: Green &gt;12, Amber 6–12, Red &lt;6.</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Monthly Burn Rate ($)</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Trend line. Flag if accelerating.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ARR ($) and Growth Rate (%)</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Current ARR, YoY growth, QoQ growth. Trend line.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NRR (%)</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Current vs prior quarter. Flag if &lt;100%.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Gross Margin (%)</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Current vs prior quarter. Flag if declining.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Burn Multiple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Net burn ÷ net new ARR. Flag if &gt;3x.</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Covenant Status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Pass/Fail for each covenant. Show headroom %.</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Last Equity Round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Date, amount, lead investor, valuation.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Next Equity Event (expected)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Estimated timeline and amount.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Key Management Changes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Any C-suite changes in the period.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Material Events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Litigation, regulatory, product launch/failure, major customer win/loss.</w:t>
            </w:r>
          </w:p>
        </w:tc>
      </w:tr>
    </w:tbl>
    <w:p>
      <w:pPr>
        <w:spacing w:after="100"/>
      </w:pPr>
    </w:p>
    <w:p>
      <w:pPr>
        <w:pStyle w:val="Heading2"/>
      </w:pPr>
      <w:r>
        <w:t xml:space="preserve">8.5 Tier 4: Watchlist &amp; Action Register</w:t>
      </w:r>
    </w:p>
    <w:p>
      <w:pPr>
        <w:spacing w:after="160" w:line="300"/>
      </w:pPr>
      <w:r>
        <w:rPr>
          <w:rFonts w:ascii="Arial" w:cs="Arial" w:eastAsia="Arial" w:hAnsi="Arial"/>
          <w:sz w:val="22"/>
          <w:szCs w:val="22"/>
        </w:rPr>
        <w:t xml:space="preserve">This is the most operationally important tier. It tracks distressed or at-risk exposures with specific action plans and deadlines.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Company Name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Watchlist Entry Date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When the deal was first flagged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Trigger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What caused the watchlist placement (failed raise, covenant breach, etc.)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Current Risk Rating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Exposure (Drawn + Undrawn)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Estimated ECL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Specific provision amount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Lead VC Response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Have they committed to bridge? If not, why?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Management Engagement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Are they responsive? Cooperating on restructuring?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Recovery Estimate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Best / Base / Worst case recovery scenarios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Action Plan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Specific steps with owners and deadlines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Next Review Date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 more than 2 weeks for RED items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Escalation Status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Has this been escalated to IC/CRO? Date.</w:t>
            </w:r>
          </w:p>
        </w:tc>
      </w:tr>
    </w:tbl>
    <w:p>
      <w:pPr>
        <w:spacing w:after="100"/>
      </w:pPr>
    </w:p>
    <w:p>
      <w:pPr>
        <w:pStyle w:val="Heading2"/>
      </w:pPr>
      <w:r>
        <w:t xml:space="preserve">8.6 Data Architecture for the Dashboard</w:t>
      </w:r>
    </w:p>
    <w:p>
      <w:pPr>
        <w:spacing w:after="160" w:line="300"/>
      </w:pPr>
      <w:r>
        <w:rPr>
          <w:rFonts w:ascii="Arial" w:cs="Arial" w:eastAsia="Arial" w:hAnsi="Arial"/>
          <w:sz w:val="22"/>
          <w:szCs w:val="22"/>
        </w:rPr>
        <w:t xml:space="preserve">To build this dashboard operationally, you need the following data sources:</w:t>
      </w:r>
    </w:p>
    <w:p>
      <w:pPr>
        <w:pStyle w:val="ListParagraph"/>
        <w:numPr>
          <w:ilvl w:val="0"/>
          <w:numId w:val="2"/>
        </w:numPr>
        <w:spacing w:after="80" w:line="300"/>
      </w:pPr>
      <w:r>
        <w:rPr>
          <w:rFonts w:ascii="Arial" w:cs="Arial" w:eastAsia="Arial" w:hAnsi="Arial"/>
          <w:b/>
          <w:bCs/>
          <w:sz w:val="22"/>
          <w:szCs w:val="22"/>
        </w:rPr>
        <w:t xml:space="preserve">Primary: </w:t>
      </w:r>
      <w:r>
        <w:rPr>
          <w:rFonts w:ascii="Arial" w:cs="Arial" w:eastAsia="Arial" w:hAnsi="Arial"/>
          <w:sz w:val="22"/>
          <w:szCs w:val="22"/>
        </w:rPr>
        <w:t xml:space="preserve">Monthly borrower reporting (financials, KPIs). This is your core data feed. Standardise the template across all borrowers.</w:t>
      </w:r>
    </w:p>
    <w:p>
      <w:pPr>
        <w:pStyle w:val="ListParagraph"/>
        <w:numPr>
          <w:ilvl w:val="0"/>
          <w:numId w:val="2"/>
        </w:numPr>
        <w:spacing w:after="80" w:line="300"/>
      </w:pPr>
      <w:r>
        <w:rPr>
          <w:rFonts w:ascii="Arial" w:cs="Arial" w:eastAsia="Arial" w:hAnsi="Arial"/>
          <w:b/>
          <w:bCs/>
          <w:sz w:val="22"/>
          <w:szCs w:val="22"/>
        </w:rPr>
        <w:t xml:space="preserve">Internal: </w:t>
      </w:r>
      <w:r>
        <w:rPr>
          <w:rFonts w:ascii="Arial" w:cs="Arial" w:eastAsia="Arial" w:hAnsi="Arial"/>
          <w:sz w:val="22"/>
          <w:szCs w:val="22"/>
        </w:rPr>
        <w:t xml:space="preserve">Loan booking system (facility details, drawdowns, repayments), risk rating system, covenant tracking module, warrant register.</w:t>
      </w:r>
    </w:p>
    <w:p>
      <w:pPr>
        <w:pStyle w:val="ListParagraph"/>
        <w:numPr>
          <w:ilvl w:val="0"/>
          <w:numId w:val="2"/>
        </w:numPr>
        <w:spacing w:after="80" w:line="300"/>
      </w:pPr>
      <w:r>
        <w:rPr>
          <w:rFonts w:ascii="Arial" w:cs="Arial" w:eastAsia="Arial" w:hAnsi="Arial"/>
          <w:b/>
          <w:bCs/>
          <w:sz w:val="22"/>
          <w:szCs w:val="22"/>
        </w:rPr>
        <w:t xml:space="preserve">Market: </w:t>
      </w:r>
      <w:r>
        <w:rPr>
          <w:rFonts w:ascii="Arial" w:cs="Arial" w:eastAsia="Arial" w:hAnsi="Arial"/>
          <w:sz w:val="22"/>
          <w:szCs w:val="22"/>
        </w:rPr>
        <w:t xml:space="preserve">PitchBook/Crunchbase (equity rounds, valuations), HSBC Innovation Banking deposit data (if borrower banks with HSBC), public BDC filings for peer benchmarking.</w:t>
      </w:r>
    </w:p>
    <w:p>
      <w:pPr>
        <w:pStyle w:val="ListParagraph"/>
        <w:numPr>
          <w:ilvl w:val="0"/>
          <w:numId w:val="2"/>
        </w:numPr>
        <w:spacing w:after="80" w:line="300"/>
      </w:pPr>
      <w:r>
        <w:rPr>
          <w:rFonts w:ascii="Arial" w:cs="Arial" w:eastAsia="Arial" w:hAnsi="Arial"/>
          <w:b/>
          <w:bCs/>
          <w:sz w:val="22"/>
          <w:szCs w:val="22"/>
        </w:rPr>
        <w:t xml:space="preserve">Derived: </w:t>
      </w:r>
      <w:r>
        <w:rPr>
          <w:rFonts w:ascii="Arial" w:cs="Arial" w:eastAsia="Arial" w:hAnsi="Arial"/>
          <w:sz w:val="22"/>
          <w:szCs w:val="22"/>
        </w:rPr>
        <w:t xml:space="preserve">ECL model output, stress test results, concentration calculations, warrant MTM.</w:t>
      </w:r>
    </w:p>
    <w:p>
      <w:pPr>
        <w:spacing w:after="160" w:line="300"/>
      </w:pPr>
      <w:r>
        <w:rPr>
          <w:rFonts w:ascii="Arial" w:cs="Arial" w:eastAsia="Arial" w:hAnsi="Arial"/>
          <w:b/>
          <w:bCs/>
          <w:sz w:val="22"/>
          <w:szCs w:val="22"/>
        </w:rPr>
        <w:t xml:space="preserve">Technology Recommendation: </w:t>
      </w:r>
      <w:r>
        <w:rPr>
          <w:rFonts w:ascii="Arial" w:cs="Arial" w:eastAsia="Arial" w:hAnsi="Arial"/>
          <w:sz w:val="22"/>
          <w:szCs w:val="22"/>
        </w:rPr>
        <w:t xml:space="preserve">Build on Power BI or Tableau connected to a centralised data warehouse. Ensure the monthly borrower reporting pack feeds directly into the dashboard data model. Avoid spreadsheet-based tracking — it does not scale past 20 deals and creates version control risks.</w:t>
      </w:r>
    </w:p>
    <w:p>
      <w:r>
        <w:br w:type="page"/>
      </w:r>
    </w:p>
    <w:p>
      <w:pPr>
        <w:pStyle w:val="Heading1"/>
      </w:pPr>
      <w:r>
        <w:t xml:space="preserve">PART 9: MARKET CONTEXT</w:t>
      </w:r>
    </w:p>
    <w:p>
      <w:pPr>
        <w:pStyle w:val="Heading2"/>
      </w:pPr>
      <w:r>
        <w:t xml:space="preserve">9.1 Post-SVB Landscape</w:t>
      </w:r>
    </w:p>
    <w:p>
      <w:pPr>
        <w:spacing w:after="160" w:line="300"/>
      </w:pPr>
      <w:r>
        <w:rPr>
          <w:rFonts w:ascii="Arial" w:cs="Arial" w:eastAsia="Arial" w:hAnsi="Arial"/>
          <w:sz w:val="22"/>
          <w:szCs w:val="22"/>
        </w:rPr>
        <w:t xml:space="preserve">SVB’s collapse in March 2023 left a $30+ billion annual venture debt market without its dominant lender. The aftermath:</w:t>
      </w:r>
    </w:p>
    <w:p>
      <w:pPr>
        <w:pStyle w:val="ListParagraph"/>
        <w:numPr>
          <w:ilvl w:val="0"/>
          <w:numId w:val="2"/>
        </w:numPr>
        <w:spacing w:after="80" w:line="300"/>
      </w:pPr>
      <w:r>
        <w:rPr>
          <w:rFonts w:ascii="Arial" w:cs="Arial" w:eastAsia="Arial" w:hAnsi="Arial"/>
          <w:sz w:val="22"/>
          <w:szCs w:val="22"/>
        </w:rPr>
        <w:t xml:space="preserve">Market fragmentation — no single lender replaced SVB. HSBC, JPMorgan, First Citizens/SVB, specialty BDCs, and private credit funds now share the market.</w:t>
      </w:r>
    </w:p>
    <w:p>
      <w:pPr>
        <w:pStyle w:val="ListParagraph"/>
        <w:numPr>
          <w:ilvl w:val="0"/>
          <w:numId w:val="2"/>
        </w:numPr>
        <w:spacing w:after="80" w:line="300"/>
      </w:pPr>
      <w:r>
        <w:rPr>
          <w:rFonts w:ascii="Arial" w:cs="Arial" w:eastAsia="Arial" w:hAnsi="Arial"/>
          <w:sz w:val="22"/>
          <w:szCs w:val="22"/>
        </w:rPr>
        <w:t xml:space="preserve">Tighter underwriting across all lenders, with heavier focus on later-stage companies with proven business models.</w:t>
      </w:r>
    </w:p>
    <w:p>
      <w:pPr>
        <w:pStyle w:val="ListParagraph"/>
        <w:numPr>
          <w:ilvl w:val="0"/>
          <w:numId w:val="2"/>
        </w:numPr>
        <w:spacing w:after="80" w:line="300"/>
      </w:pPr>
      <w:r>
        <w:rPr>
          <w:rFonts w:ascii="Arial" w:cs="Arial" w:eastAsia="Arial" w:hAnsi="Arial"/>
          <w:sz w:val="22"/>
          <w:szCs w:val="22"/>
        </w:rPr>
        <w:t xml:space="preserve">All-in rates rose from 7–10% to 10–13%, reflecting both higher base rates and post-SVB risk repricing.</w:t>
      </w:r>
    </w:p>
    <w:p>
      <w:pPr>
        <w:pStyle w:val="ListParagraph"/>
        <w:numPr>
          <w:ilvl w:val="0"/>
          <w:numId w:val="2"/>
        </w:numPr>
        <w:spacing w:after="80" w:line="300"/>
      </w:pPr>
      <w:r>
        <w:rPr>
          <w:rFonts w:ascii="Arial" w:cs="Arial" w:eastAsia="Arial" w:hAnsi="Arial"/>
          <w:sz w:val="22"/>
          <w:szCs w:val="22"/>
        </w:rPr>
        <w:t xml:space="preserve">AI dominance: approximately 42% of US VC went to AI companies in 2024, creating a two-tier market.</w:t>
      </w:r>
    </w:p>
    <w:p>
      <w:pPr>
        <w:pStyle w:val="ListParagraph"/>
        <w:numPr>
          <w:ilvl w:val="0"/>
          <w:numId w:val="2"/>
        </w:numPr>
        <w:spacing w:after="80" w:line="300"/>
      </w:pPr>
      <w:r>
        <w:rPr>
          <w:rFonts w:ascii="Arial" w:cs="Arial" w:eastAsia="Arial" w:hAnsi="Arial"/>
          <w:sz w:val="22"/>
          <w:szCs w:val="22"/>
        </w:rPr>
        <w:t xml:space="preserve">IPO backlog: 739 US unicorns as of October 2024, with limited exit capacity. Venture debt is increasingly used as a bridge.</w:t>
      </w:r>
    </w:p>
    <w:p>
      <w:pPr>
        <w:pStyle w:val="ListParagraph"/>
        <w:numPr>
          <w:ilvl w:val="0"/>
          <w:numId w:val="2"/>
        </w:numPr>
        <w:spacing w:after="80" w:line="300"/>
      </w:pPr>
      <w:r>
        <w:rPr>
          <w:rFonts w:ascii="Arial" w:cs="Arial" w:eastAsia="Arial" w:hAnsi="Arial"/>
          <w:sz w:val="22"/>
          <w:szCs w:val="22"/>
        </w:rPr>
        <w:t xml:space="preserve">HSBC Innovation Banking has 900+ bankers globally across 10 markets, seeing approximately 70% of global venture flows.</w:t>
      </w:r>
    </w:p>
    <w:p>
      <w:pPr>
        <w:pStyle w:val="Heading2"/>
      </w:pPr>
      <w:r>
        <w:t xml:space="preserve">9.2 HSBC’s Competitive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Competitor</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HSBC’s Edge / Risk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First Citizens/SVB</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HSBC has global network + cross-sell. Risk: SVB retains brand loyalty and existing loan docs.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JPMorgan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HSBC has specialist team from SVB. Risk: JPM has massive balance sheet and 60% of new startup accounts.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Hercules/TriplePoint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HSBC has lower cost of funds (bank deposits). Risk: BDCs are faster and more flexible.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Blackstone/BlackRock</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HSBC has origination platform. Risk: PE credit funds target same late-stage deals.</w:t>
            </w:r>
          </w:p>
        </w:tc>
      </w:tr>
    </w:tbl>
    <w:p>
      <w:pPr>
        <w:spacing w:after="100"/>
      </w:pPr>
    </w:p>
    <w:p>
      <w:r>
        <w:br w:type="page"/>
      </w:r>
    </w:p>
    <w:p>
      <w:pPr>
        <w:pStyle w:val="Heading1"/>
      </w:pPr>
      <w:r>
        <w:t xml:space="preserve">PART 10: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Term</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Definition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ARR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Annual Recurring Revenue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BDC</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Business Development Company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Burn Multiple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Net burn ÷ net new ARR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CECL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Current Expected Credit Loss (US accounting standard)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Covenant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Contractual condition borrower must comply with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Down Round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Equity raise at lower valuation than prior round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Dry Powder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Committed but undeployed VC fund capital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ECL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Expected Credit Loss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I/O Period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Interest-Only Period before principal amortisation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LTV</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Loan-to-Value (debt ÷ enterprise 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MAC</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Material Adverse Change clause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NRR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Net Revenue Retention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OCC</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Office of the Comptroller of the Currency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Original Issue Discount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PIK</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Payment-in-Kind interest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Rule of 40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Revenue growth % + EBITDA margin % should exceed 40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SOFR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Secured Overnight Financing Rate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UCC-1</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US filing that perfects a security interest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Warrant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Right to purchase equity at predetermined price</w:t>
            </w:r>
          </w:p>
        </w:tc>
      </w:tr>
    </w:tbl>
    <w:p>
      <w:pPr>
        <w:spacing w:after="100"/>
      </w:pPr>
    </w:p>
    <w:p>
      <w:r>
        <w:br w:type="page"/>
      </w:r>
    </w:p>
    <w:p>
      <w:pPr>
        <w:pStyle w:val="Heading1"/>
      </w:pPr>
      <w:r>
        <w:t xml:space="preserve">PART 11: QUICK REFERENCE — DECISION GATES</w:t>
      </w:r>
    </w:p>
    <w:p>
      <w:pPr>
        <w:spacing w:after="160" w:line="300"/>
      </w:pPr>
      <w:r>
        <w:rPr>
          <w:rFonts w:ascii="Arial" w:cs="Arial" w:eastAsia="Arial" w:hAnsi="Arial"/>
          <w:sz w:val="22"/>
          <w:szCs w:val="22"/>
        </w:rPr>
        <w:t xml:space="preserve">Before any deal reaches IC, it must pass these six gates. If any gate fails, the deal is declined or escalated to senior credit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Gate</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Pass Criteria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 Investor Quality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Lead investor is a recognised institutional VC with demonstrated follow-on commitment. NOT angels, family offices, or unknown funds.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 Recent Equity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Company raised institutional equity within the last 12 months. Older raises = higher risk of stale valuation.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 Runway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Post-drawdown cash runway exceeds 12 months at current burn rate. Below 9 months = decline.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 LTV</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Proposed facility is below 15% of last-round enterprise value. Above 20% = escalate.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 Sector &amp; ESG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Company operates in a sector within HSBC’s appetite. No reputational red flags. ESG screen passed.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6. Concentration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Deal does not push any portfolio concentration limit (sector, investor, stage, single name).</w:t>
            </w:r>
          </w:p>
        </w:tc>
      </w:tr>
    </w:tbl>
    <w:p>
      <w:pPr>
        <w:spacing w:after="100"/>
      </w:pPr>
    </w:p>
    <w:p>
      <w:pPr>
        <w:spacing w:after="100"/>
      </w:pPr>
    </w:p>
    <w:p>
      <w:pPr>
        <w:pBdr>
          <w:top w:val="single" w:color="2E75B6" w:sz="6" w:space="8"/>
        </w:pBdr>
        <w:spacing w:after="200" w:before="400"/>
      </w:pPr>
      <w:r>
        <w:rPr>
          <w:rFonts w:ascii="Arial" w:cs="Arial" w:eastAsia="Arial" w:hAnsi="Arial"/>
          <w:b/>
          <w:bCs/>
          <w:color w:val="1F4E79"/>
          <w:sz w:val="24"/>
          <w:szCs w:val="24"/>
        </w:rPr>
        <w:t xml:space="preserve">END OF DOCUMENT</w:t>
      </w:r>
    </w:p>
    <w:p>
      <w:pPr>
        <w:spacing w:after="160" w:line="300"/>
      </w:pPr>
      <w:r>
        <w:rPr>
          <w:rFonts w:ascii="Arial" w:cs="Arial" w:eastAsia="Arial" w:hAnsi="Arial"/>
          <w:i/>
          <w:iCs/>
          <w:color w:val="888888"/>
          <w:sz w:val="18"/>
          <w:szCs w:val="18"/>
        </w:rPr>
        <w:t xml:space="preserve">This document is for internal use only. It does not constitute legal, regulatory, or investment advice. All venture debt decisions must comply with HSBC’s credit policies, risk appetite framework, fund mandate, and applicable regulatory requirements.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HSBC AM Venture Debt — Risk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Roman"/>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2026-04-11T16:30:43.080Z</dcterms:created>
  <dcterms:modified xsi:type="dcterms:W3CDTF">2026-04-11T16:30:43.081Z</dcterms:modified>
</cp:coreProperties>
</file>

<file path=docProps/custom.xml><?xml version="1.0" encoding="utf-8"?>
<Properties xmlns="http://schemas.openxmlformats.org/officeDocument/2006/custom-properties" xmlns:vt="http://schemas.openxmlformats.org/officeDocument/2006/docPropsVTypes"/>
</file>