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F4E79"/>
          <w:sz w:val="52"/>
          <w:szCs w:val="52"/>
        </w:rPr>
        <w:t xml:space="preserve">MANAGEMENT ACTION TRIGGERS</w:t>
      </w:r>
    </w:p>
    <w:p>
      <w:pPr>
        <w:spacing w:after="60"/>
        <w:jc w:val="center"/>
      </w:pPr>
      <w:r>
        <w:rPr>
          <w:rFonts w:ascii="Arial" w:cs="Arial" w:eastAsia="Arial" w:hAnsi="Arial"/>
          <w:color w:val="2E75B6"/>
          <w:sz w:val="36"/>
          <w:szCs w:val="36"/>
        </w:rPr>
        <w:t xml:space="preserve">Framework for Venture Debt Funds</w:t>
      </w:r>
    </w:p>
    <w:p>
      <w:pPr>
        <w:pBdr>
          <w:bottom w:val="single" w:color="2E75B6" w:sz="6" w:space="8"/>
        </w:pBdr>
        <w:spacing w:after="600"/>
        <w:jc w:val="center"/>
      </w:pPr>
      <w:r>
        <w:rPr>
          <w:rFonts w:ascii="Arial" w:cs="Arial" w:eastAsia="Arial" w:hAnsi="Arial"/>
          <w:color w:val="666666"/>
          <w:sz w:val="24"/>
          <w:szCs w:val="24"/>
        </w:rPr>
        <w:t xml:space="preserve">Philosophy, Design Principles &amp; Operational Playbook</w:t>
      </w:r>
    </w:p>
    <w:p>
      <w:pPr>
        <w:spacing w:after="100"/>
      </w:pPr>
    </w:p>
    <w:p>
      <w:pPr>
        <w:spacing w:after="100"/>
      </w:pPr>
    </w:p>
    <w:p>
      <w:pPr>
        <w:jc w:val="center"/>
      </w:pPr>
      <w:r>
        <w:rPr>
          <w:rFonts w:ascii="Arial" w:cs="Arial" w:eastAsia="Arial" w:hAnsi="Arial"/>
          <w:b/>
          <w:bCs/>
          <w:color w:val="1F4E79"/>
          <w:sz w:val="24"/>
          <w:szCs w:val="24"/>
        </w:rPr>
        <w:t xml:space="preserve">HSBC Asset Management — Innovation Credit</w:t>
      </w:r>
    </w:p>
    <w:p>
      <w:pPr>
        <w:spacing w:after="40"/>
        <w:jc w:val="center"/>
      </w:pPr>
      <w:r>
        <w:rPr>
          <w:rFonts w:ascii="Arial" w:cs="Arial" w:eastAsia="Arial" w:hAnsi="Arial"/>
          <w:color w:val="666666"/>
          <w:sz w:val="22"/>
          <w:szCs w:val="22"/>
        </w:rPr>
        <w:t xml:space="preserve">Risk Management Division</w:t>
      </w:r>
    </w:p>
    <w:p>
      <w:pPr>
        <w:spacing w:after="100"/>
      </w:pPr>
    </w:p>
    <w:p>
      <w:pPr>
        <w:jc w:val="center"/>
      </w:pPr>
      <w:r>
        <w:rPr>
          <w:rFonts w:ascii="Arial" w:cs="Arial" w:eastAsia="Arial" w:hAnsi="Arial"/>
          <w:b/>
          <w:bCs/>
          <w:color w:val="CC0000"/>
          <w:sz w:val="20"/>
          <w:szCs w:val="20"/>
        </w:rPr>
        <w:t xml:space="preserve">CONFIDENTIAL — INTERNAL USE ONLY</w:t>
      </w:r>
    </w:p>
    <w:p>
      <w:pPr>
        <w:spacing w:after="100"/>
      </w:pPr>
    </w:p>
    <w:p>
      <w:pPr>
        <w:spacing w:after="100"/>
      </w:pPr>
    </w:p>
    <w:p>
      <w:pPr>
        <w:spacing w:after="100"/>
      </w:pPr>
    </w:p>
    <w:p>
      <w:pPr>
        <w:jc w:val="center"/>
      </w:pPr>
      <w:r>
        <w:rPr>
          <w:rFonts w:ascii="Arial" w:cs="Arial" w:eastAsia="Arial" w:hAnsi="Arial"/>
          <w:color w:val="888888"/>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WHY MATs — THE THOUGHT PROCESS</w:t>
      </w:r>
    </w:p>
    <w:p>
      <w:pPr>
        <w:pStyle w:val="Heading2"/>
      </w:pPr>
      <w:r>
        <w:t xml:space="preserve">1.1 The Problem MATs Solve</w:t>
      </w:r>
    </w:p>
    <w:p>
      <w:pPr>
        <w:spacing w:after="160" w:line="300"/>
      </w:pPr>
      <w:r>
        <w:rPr>
          <w:rFonts w:ascii="Arial" w:cs="Arial" w:eastAsia="Arial" w:hAnsi="Arial"/>
          <w:sz w:val="22"/>
          <w:szCs w:val="22"/>
        </w:rPr>
        <w:t xml:space="preserve">Covenants are contractual. They exist in the loan agreement with the borrower. When a covenant breaches, you are already in a crisis — the borrower has already deteriorated to the point where a legal trigger has fired. You are now reactive. Your negotiating position is weakened because the problem is public, the borrower knows you know, and the VC investors are already in damage-control mode.</w:t>
      </w:r>
    </w:p>
    <w:p>
      <w:pPr>
        <w:spacing w:after="160" w:line="300"/>
      </w:pPr>
      <w:r>
        <w:rPr>
          <w:rFonts w:ascii="Arial" w:cs="Arial" w:eastAsia="Arial" w:hAnsi="Arial"/>
          <w:sz w:val="22"/>
          <w:szCs w:val="22"/>
        </w:rPr>
        <w:t xml:space="preserve">Management Action Triggers are different. They are internal to HSBC AM. The borrower never sees them. They exist inside your own risk governance framework, and they fire before covenants breach. They detect the trajectory toward trouble, not the arrival at trouble.</w:t>
      </w:r>
    </w:p>
    <w:p>
      <w:pPr>
        <w:pBdr>
          <w:left w:val="single" w:color="1F4E79" w:sz="12" w:space="8"/>
        </w:pBdr>
        <w:spacing w:after="200" w:before="200"/>
        <w:ind w:left="200"/>
      </w:pPr>
      <w:r>
        <w:rPr>
          <w:rFonts w:ascii="Arial" w:cs="Arial" w:eastAsia="Arial" w:hAnsi="Arial"/>
          <w:b/>
          <w:bCs/>
          <w:color w:val="1F4E79"/>
          <w:sz w:val="22"/>
          <w:szCs w:val="22"/>
        </w:rPr>
        <w:t xml:space="preserve">THE CORE IDEA  </w:t>
      </w:r>
      <w:r>
        <w:rPr>
          <w:rFonts w:ascii="Arial" w:cs="Arial" w:eastAsia="Arial" w:hAnsi="Arial"/>
          <w:sz w:val="22"/>
          <w:szCs w:val="22"/>
        </w:rPr>
        <w:t xml:space="preserve">Covenants tell you the patient is sick. MATs detect that the patient’s vital signs are trending toward sickness — while there is still time to intervene. A covenant breach is a diagnosis. A MAT firing is an abnormal test result that triggers further investigation.</w:t>
      </w:r>
    </w:p>
    <w:p>
      <w:pPr>
        <w:pStyle w:val="Heading2"/>
      </w:pPr>
      <w:r>
        <w:t xml:space="preserve">1.2 Five Design Principles</w:t>
      </w:r>
    </w:p>
    <w:p>
      <w:pPr>
        <w:spacing w:after="160" w:line="300"/>
      </w:pPr>
      <w:r>
        <w:rPr>
          <w:rFonts w:ascii="Arial" w:cs="Arial" w:eastAsia="Arial" w:hAnsi="Arial"/>
          <w:sz w:val="22"/>
          <w:szCs w:val="22"/>
        </w:rPr>
        <w:t xml:space="preserve">Every MAT in this framework is built on five principles:</w:t>
      </w:r>
    </w:p>
    <w:p>
      <w:pPr>
        <w:spacing w:after="160" w:line="300"/>
      </w:pPr>
      <w:r>
        <w:rPr>
          <w:rFonts w:ascii="Arial" w:cs="Arial" w:eastAsia="Arial" w:hAnsi="Arial"/>
          <w:b/>
          <w:bCs/>
          <w:sz w:val="22"/>
          <w:szCs w:val="22"/>
        </w:rPr>
        <w:t xml:space="preserve">Principle 1: Measure Velocity, Not Just Position. </w:t>
      </w:r>
      <w:r>
        <w:rPr>
          <w:rFonts w:ascii="Arial" w:cs="Arial" w:eastAsia="Arial" w:hAnsi="Arial"/>
          <w:sz w:val="22"/>
          <w:szCs w:val="22"/>
        </w:rPr>
        <w:t xml:space="preserve">Most risk frameworks measure snapshots: cash is $X, ARR is $Y. But in venture debt, the rate of change is more dangerous than the level. A company with $10M cash burning $500K/month has 20 months of runway — comfortable. The same company burning $2M/month and accelerating is 5 months from death. MATs must capture not just where a metric is, but how fast and in which direction it is moving.</w:t>
      </w:r>
    </w:p>
    <w:p>
      <w:pPr>
        <w:spacing w:after="160" w:line="300"/>
      </w:pPr>
      <w:r>
        <w:rPr>
          <w:rFonts w:ascii="Arial" w:cs="Arial" w:eastAsia="Arial" w:hAnsi="Arial"/>
          <w:b/>
          <w:bCs/>
          <w:sz w:val="22"/>
          <w:szCs w:val="22"/>
        </w:rPr>
        <w:t xml:space="preserve">Principle 2: Lead, Don’t Lag. </w:t>
      </w:r>
      <w:r>
        <w:rPr>
          <w:rFonts w:ascii="Arial" w:cs="Arial" w:eastAsia="Arial" w:hAnsi="Arial"/>
          <w:sz w:val="22"/>
          <w:szCs w:val="22"/>
        </w:rPr>
        <w:t xml:space="preserve">Financial covenants (ARR, cash balance, DSCR) are lagging indicators — they report what already happened. MATs should incorporate leading indicators: pipeline contraction, hiring freezes, VC sentiment shifts, product delays, competitive moves. By the time ARR decelerates, the sales pipeline dried up 6 months ago. The MAT should have fired on the pipeline.</w:t>
      </w:r>
    </w:p>
    <w:p>
      <w:pPr>
        <w:spacing w:after="160" w:line="300"/>
      </w:pPr>
      <w:r>
        <w:rPr>
          <w:rFonts w:ascii="Arial" w:cs="Arial" w:eastAsia="Arial" w:hAnsi="Arial"/>
          <w:b/>
          <w:bCs/>
          <w:sz w:val="22"/>
          <w:szCs w:val="22"/>
        </w:rPr>
        <w:t xml:space="preserve">Principle 3: Quantitative + Qualitative. </w:t>
      </w:r>
      <w:r>
        <w:rPr>
          <w:rFonts w:ascii="Arial" w:cs="Arial" w:eastAsia="Arial" w:hAnsi="Arial"/>
          <w:sz w:val="22"/>
          <w:szCs w:val="22"/>
        </w:rPr>
        <w:t xml:space="preserve">Not every risk signal is a number. A CEO who stops returning calls is a MAT. A VC that cancels a board meeting is a MAT. A company that suddenly changes auditors or law firms is a MAT. The framework must accommodate soft signals alongside hard metrics.</w:t>
      </w:r>
    </w:p>
    <w:p>
      <w:pPr>
        <w:spacing w:after="160" w:line="300"/>
      </w:pPr>
      <w:r>
        <w:rPr>
          <w:rFonts w:ascii="Arial" w:cs="Arial" w:eastAsia="Arial" w:hAnsi="Arial"/>
          <w:b/>
          <w:bCs/>
          <w:sz w:val="22"/>
          <w:szCs w:val="22"/>
        </w:rPr>
        <w:t xml:space="preserve">Principle 4: Graduated Response. </w:t>
      </w:r>
      <w:r>
        <w:rPr>
          <w:rFonts w:ascii="Arial" w:cs="Arial" w:eastAsia="Arial" w:hAnsi="Arial"/>
          <w:sz w:val="22"/>
          <w:szCs w:val="22"/>
        </w:rPr>
        <w:t xml:space="preserve">Not every MAT firing is a crisis. The framework must differentiate between “increase monitoring frequency” and “call an emergency IC.” Three severity levels: WATCH (enhanced monitoring), ESCALATE (IC notification within 5 business days), ACT (emergency IC within 48 hours + formal action plan).</w:t>
      </w:r>
    </w:p>
    <w:p>
      <w:pPr>
        <w:spacing w:after="160" w:line="300"/>
      </w:pPr>
      <w:r>
        <w:rPr>
          <w:rFonts w:ascii="Arial" w:cs="Arial" w:eastAsia="Arial" w:hAnsi="Arial"/>
          <w:b/>
          <w:bCs/>
          <w:sz w:val="22"/>
          <w:szCs w:val="22"/>
        </w:rPr>
        <w:t xml:space="preserve">Principle 5: Portfolio-Aware. </w:t>
      </w:r>
      <w:r>
        <w:rPr>
          <w:rFonts w:ascii="Arial" w:cs="Arial" w:eastAsia="Arial" w:hAnsi="Arial"/>
          <w:sz w:val="22"/>
          <w:szCs w:val="22"/>
        </w:rPr>
        <w:t xml:space="preserve">Deal-level MATs catch individual company problems. But portfolio-level MATs catch systemic risks that no single deal’s MATs would fire on: correlated VC exposure, sector crowding, vintage clustering, market regime changes. The framework must operate at both levels simultaneously.</w:t>
      </w:r>
    </w:p>
    <w:p>
      <w:pPr>
        <w:pStyle w:val="Heading2"/>
      </w:pPr>
      <w:r>
        <w:t xml:space="preserve">1.3 How MATs Interact with Covenants</w:t>
      </w:r>
    </w:p>
    <w:p>
      <w:pPr>
        <w:spacing w:after="160" w:line="300"/>
      </w:pPr>
      <w:r>
        <w:rPr>
          <w:rFonts w:ascii="Arial" w:cs="Arial" w:eastAsia="Arial" w:hAnsi="Arial"/>
          <w:sz w:val="22"/>
          <w:szCs w:val="22"/>
        </w:rPr>
        <w:t xml:space="preserve">Think of the defence system as three concentric rings:</w:t>
      </w:r>
    </w:p>
    <w:p>
      <w:pPr>
        <w:pBdr>
          <w:left w:val="single" w:color="2D7D46" w:sz="12" w:space="8"/>
        </w:pBdr>
        <w:spacing w:after="200" w:before="200"/>
        <w:ind w:left="200"/>
      </w:pPr>
      <w:r>
        <w:rPr>
          <w:rFonts w:ascii="Arial" w:cs="Arial" w:eastAsia="Arial" w:hAnsi="Arial"/>
          <w:b/>
          <w:bCs/>
          <w:color w:val="2D7D46"/>
          <w:sz w:val="22"/>
          <w:szCs w:val="22"/>
        </w:rPr>
        <w:t xml:space="preserve">RING 1 — MATs (Internal, Early)  </w:t>
      </w:r>
      <w:r>
        <w:rPr>
          <w:rFonts w:ascii="Arial" w:cs="Arial" w:eastAsia="Arial" w:hAnsi="Arial"/>
          <w:sz w:val="22"/>
          <w:szCs w:val="22"/>
        </w:rPr>
        <w:t xml:space="preserve">Fire 3–6 months before covenants would breach. Trigger internal actions: enhanced monitoring, IC discussions, proactive engagement with borrower and VC investors. The borrower does not know a MAT has fired.</w:t>
      </w:r>
    </w:p>
    <w:p>
      <w:pPr>
        <w:pBdr>
          <w:left w:val="single" w:color="BF8B2E" w:sz="12" w:space="8"/>
        </w:pBdr>
        <w:spacing w:after="200" w:before="200"/>
        <w:ind w:left="200"/>
      </w:pPr>
      <w:r>
        <w:rPr>
          <w:rFonts w:ascii="Arial" w:cs="Arial" w:eastAsia="Arial" w:hAnsi="Arial"/>
          <w:b/>
          <w:bCs/>
          <w:color w:val="BF8B2E"/>
          <w:sz w:val="22"/>
          <w:szCs w:val="22"/>
        </w:rPr>
        <w:t xml:space="preserve">RING 2 — Covenants (Contractual, Mid)  </w:t>
      </w:r>
      <w:r>
        <w:rPr>
          <w:rFonts w:ascii="Arial" w:cs="Arial" w:eastAsia="Arial" w:hAnsi="Arial"/>
          <w:sz w:val="22"/>
          <w:szCs w:val="22"/>
        </w:rPr>
        <w:t xml:space="preserve">Fire when specific thresholds in the loan agreement are breached. Trigger formal lender rights: waiver negotiations, amendment discussions, default notice. The borrower and their legal counsel are now involved.</w:t>
      </w:r>
    </w:p>
    <w:p>
      <w:pPr>
        <w:pBdr>
          <w:left w:val="single" w:color="C00000" w:sz="12" w:space="8"/>
        </w:pBdr>
        <w:spacing w:after="200" w:before="200"/>
        <w:ind w:left="200"/>
      </w:pPr>
      <w:r>
        <w:rPr>
          <w:rFonts w:ascii="Arial" w:cs="Arial" w:eastAsia="Arial" w:hAnsi="Arial"/>
          <w:b/>
          <w:bCs/>
          <w:color w:val="C00000"/>
          <w:sz w:val="22"/>
          <w:szCs w:val="22"/>
        </w:rPr>
        <w:t xml:space="preserve">RING 3 — Default / Acceleration (Legal, Late)  </w:t>
      </w:r>
      <w:r>
        <w:rPr>
          <w:rFonts w:ascii="Arial" w:cs="Arial" w:eastAsia="Arial" w:hAnsi="Arial"/>
          <w:sz w:val="22"/>
          <w:szCs w:val="22"/>
        </w:rPr>
        <w:t xml:space="preserve">The loan is formally in default. Lender can accelerate, seize collateral, initiate workout. This is the cliff edge. By this point, recovery rates are already compromised.</w:t>
      </w:r>
    </w:p>
    <w:p>
      <w:pPr>
        <w:spacing w:after="160" w:line="300"/>
      </w:pPr>
      <w:r>
        <w:rPr>
          <w:rFonts w:ascii="Arial" w:cs="Arial" w:eastAsia="Arial" w:hAnsi="Arial"/>
          <w:sz w:val="22"/>
          <w:szCs w:val="22"/>
        </w:rPr>
        <w:t xml:space="preserve">The goal of the MAT framework is to ensure that Ring 1 fires reliably enough that you rarely reach Ring 2, and almost never reach Ring 3.</w:t>
      </w:r>
    </w:p>
    <w:p>
      <w:r>
        <w:br w:type="page"/>
      </w:r>
    </w:p>
    <w:p>
      <w:pPr>
        <w:pStyle w:val="Heading1"/>
      </w:pPr>
      <w:r>
        <w:t xml:space="preserve">PART 2: FRAMEWORK ARCHITECTURE</w:t>
      </w:r>
    </w:p>
    <w:p>
      <w:pPr>
        <w:pStyle w:val="Heading2"/>
      </w:pPr>
      <w:r>
        <w:t xml:space="preserve">2.1 Four Layers of MATs</w:t>
      </w:r>
    </w:p>
    <w:p>
      <w:pPr>
        <w:spacing w:after="160" w:line="300"/>
      </w:pPr>
      <w:r>
        <w:rPr>
          <w:rFonts w:ascii="Arial" w:cs="Arial" w:eastAsia="Arial" w:hAnsi="Arial"/>
          <w:sz w:val="22"/>
          <w:szCs w:val="22"/>
        </w:rPr>
        <w:t xml:space="preserve">The MAT framework operates across four layers. Each layer addresses a different level of risk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Monitors</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Owns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Layer 1: Deal-Level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Individual company health, trajectory, and early warning signals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Deal Lead + Risk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Layer 2: Portfolio-Level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Aggregate concentrations, correlations, and systemic patterns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Portfolio Manager + CRO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Layer 3: Fund-Level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Fund operations, liquidity, performance, LP obligations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Fund Manager + COO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Layer 4: Market-Level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Macro/systemic conditions that affect the entire venture debt asset class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CIO + Risk Committee</w:t>
            </w:r>
          </w:p>
        </w:tc>
      </w:tr>
    </w:tbl>
    <w:p>
      <w:pPr>
        <w:spacing w:after="100"/>
      </w:pPr>
    </w:p>
    <w:p>
      <w:pPr>
        <w:pStyle w:val="Heading2"/>
      </w:pPr>
      <w:r>
        <w:t xml:space="preserve">2.2 Three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WATCH (Amber)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leading indicator is trending toward concern. No immediate threat, but trajectory is unfavourable. Enhanced monitoring is required.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Increase monitoring to bi-weekly. Deal lead prepares a brief update memo for the next scheduled IC. Risk manager reviews within 10 business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ESCALATE (Orange)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metric has crossed a pre-defined threshold or a qualitative signal is confirmed. Material risk of covenant breach within 3–6 months if trend continues.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IC notification within 5 business days. Formal risk assessment memo. Proactive engagement with borrower management and/or lead VC. Consider pre-emptive restructuring.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ACT (Red)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Imminent risk of covenant breach, payment default, or material adverse event. The deal is in or approaching distress.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Emergency IC within 48 hours. Formal action plan with named owners and deadlines. Legal counsel engaged. Workout team activated if needed. CRO briefed.</w:t>
            </w:r>
          </w:p>
        </w:tc>
      </w:tr>
    </w:tbl>
    <w:p>
      <w:pPr>
        <w:spacing w:after="100"/>
      </w:pPr>
    </w:p>
    <w:p>
      <w:r>
        <w:br w:type="page"/>
      </w:r>
    </w:p>
    <w:p>
      <w:pPr>
        <w:pStyle w:val="Heading1"/>
      </w:pPr>
      <w:r>
        <w:t xml:space="preserve">PART 3: LAYER 1 — DEAL-LEVEL MATs</w:t>
      </w:r>
    </w:p>
    <w:p>
      <w:pPr>
        <w:spacing w:after="160" w:line="300"/>
      </w:pPr>
      <w:r>
        <w:rPr>
          <w:rFonts w:ascii="Arial" w:cs="Arial" w:eastAsia="Arial" w:hAnsi="Arial"/>
          <w:sz w:val="22"/>
          <w:szCs w:val="22"/>
        </w:rPr>
        <w:t xml:space="preserve">These MATs apply to every individual venture debt exposure in the portfolio. They are tested monthly at minimum, with some tested in real-time or weekly.</w:t>
      </w:r>
    </w:p>
    <w:p>
      <w:pPr>
        <w:pStyle w:val="Heading2"/>
      </w:pPr>
      <w:r>
        <w:t xml:space="preserve">3.1 Quantitative MATs — Financial Trajectory</w:t>
      </w:r>
    </w:p>
    <w:p>
      <w:pPr>
        <w:spacing w:after="160" w:line="300"/>
      </w:pPr>
      <w:r>
        <w:rPr>
          <w:rFonts w:ascii="Arial" w:cs="Arial" w:eastAsia="Arial" w:hAnsi="Arial"/>
          <w:sz w:val="22"/>
          <w:szCs w:val="22"/>
        </w:rPr>
        <w:t xml:space="preserve">These are the hard numbers. Each MAT has a WATCH and an ACT threshold. The key innovation is that they measure velocity (rate of change) alongside position (absolute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MAT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WATCH Threshold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 Threshold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Runway erosion velocity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Runway drops below 9 months OR declines by &gt;2 months in a single reporting period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Runway drops below 6 months OR declines by &gt;3 months in a single period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Burn rate acceleration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 burn increases &gt;15% vs 3-month trailing average without proportionate revenue increase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 burn increases &gt;30% vs 3-month trailing average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Covenant headroom compression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Headroom on any financial covenant narrows to &lt;40% of threshold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Headroom narrows to &lt;20% OR projected breach within 3 months at current trajectory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ARR deceleration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QoQ ARR growth rate declines for 2 consecutive quarters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QoQ ARR growth rate turns negative OR YoY growth drops below 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NRR deterioration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NRR drops below 105% (from a baseline above 110%)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NRR drops below 100% (net customer base is shrinking)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Gross margin erosion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Gross margin declines &gt;300bps in a single quarter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Gross margin drops below 55% for SaaS or below sector norm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Burn multiple spike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Burn multiple exceeds 3x for a single quarter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Burn multiple exceeds 3x for 2 consecutive quarters OR exceeds 5x in any quarter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LTV creep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LTV rises above 15% due to valuation decline or additional draws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LTV exceeds 25% OR enterprise value declines below 4x total debt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Customer concentration increase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Single customer exceeds 25% of revenue OR top 3 exceed 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Single customer exceeds 40% OR top 3 exceed 65%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Drawdown pattern anomaly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Borrower draws &gt;50% of facility in a single tranche ahead of schedule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Borrower draws full facility outside of agreed drawdown schedule (desperation draw)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Real-time</w:t>
            </w:r>
          </w:p>
        </w:tc>
      </w:tr>
    </w:tbl>
    <w:p>
      <w:pPr>
        <w:spacing w:after="100"/>
      </w:pPr>
    </w:p>
    <w:p>
      <w:pPr>
        <w:pStyle w:val="Heading2"/>
      </w:pPr>
      <w:r>
        <w:t xml:space="preserve">3.2 Quantitative MATs — Capital Structure &amp; Investor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MAT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WATCH Threshold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 Threshold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Equity raise delay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Planned equity raise is &gt;3 months behind the timeline communicated at underwriting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Planned equity raise is &gt;6 months behind OR has been formally abandoned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Down round signal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Any secondary sale of company shares at a price below last round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Formal equity round closes at valuation &gt;25% below last round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Investor bridge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Bridge round from existing investors with punitive terms (&gt;1.5x liquidation preference, heavy ratchets)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No investor willing to provide bridge capital when requested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Additional debt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Company takes on additional debt from another lender without prior notification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New debt is senior or pari passu to our facility, or total debt-to-equity exceeds 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Deposit balance decline (if banking with HSBC)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Operating account balance declines &gt;30% MoM without corresponding revenue seasonality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Operating account balance drops below 2 months of operating expenses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Weekly</w:t>
            </w:r>
          </w:p>
        </w:tc>
      </w:tr>
    </w:tbl>
    <w:p>
      <w:pPr>
        <w:spacing w:after="100"/>
      </w:pPr>
    </w:p>
    <w:p>
      <w:pPr>
        <w:pStyle w:val="Heading2"/>
      </w:pPr>
      <w:r>
        <w:t xml:space="preserve">3.3 Qualitative MATs — Soft Signals</w:t>
      </w:r>
    </w:p>
    <w:p>
      <w:pPr>
        <w:spacing w:after="160" w:line="300"/>
      </w:pPr>
      <w:r>
        <w:rPr>
          <w:rFonts w:ascii="Arial" w:cs="Arial" w:eastAsia="Arial" w:hAnsi="Arial"/>
          <w:sz w:val="22"/>
          <w:szCs w:val="22"/>
        </w:rPr>
        <w:t xml:space="preserve">These are the signals that don’t show up in a spreadsheet but experienced risk managers know matter enormously. Each requires judgement, which is why they are assessed by the deal lead and validated by the risk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MAT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WATCH Threshold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 Threshold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Management responsiveness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Management is slow to respond to information requests (&gt;5 business days) OR provides incomplete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Management becomes unresponsive (&gt;10 business days) OR refuses to provide requested information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Ongoing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C-suite departure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Any VP-level or above departure outside of planned succession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CEO, CFO, or CTO departure. Multiple C-suite departures within 6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Board engagement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Lead VC partner reduces board attendance or sends junior delegates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Lead VC partner resigns from board OR board meetings are cancelled/postponed repeatedly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Auditor / legal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Company changes auditor outside of normal rotation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Company changes both auditor and legal counsel within 12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Employee 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Glassdoor/Blind sentiment drops sharply OR significant workforce reduction (&gt;15%)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Multiple rounds of layoffs within 12 months OR engineering team attrition exceeds 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Product / roadmap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Significant product delay (&gt;6 months) OR pivot away from core product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Complete product failure, abandonment of primary product line, or loss of critical technology partnership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Competitive displacement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Major competitor launches directly competing product OR enters the borrower’s core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Borrower loses &gt;10% market share in a single year OR key customers switch to competitor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Regulatory / legal event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Receipt of regulatory inquiry or non-routine audit. Filing of material litigation against the company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Formal enforcement action, consent order, or material litigation where damages exceed 20% of enterprise value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Negative media / reputation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Material negative press coverage that could affect customer acquisition or investor sentiment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Regulatory investigation made public OR media coverage that triggers customer churn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Ongoing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Related party transactions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Discovery of material related-party transactions not disclosed at underwriting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Related-party transactions that suggest self-dealing, conflicts of interest, or fund misuse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DL-30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Strategic pivot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Company announces pivot to materially different business model or target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Pivot renders the underwriting thesis invalid (e.g., SaaS company pivots to hardware)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bl>
    <w:p>
      <w:pPr>
        <w:spacing w:after="100"/>
      </w:pPr>
    </w:p>
    <w:p>
      <w:pPr>
        <w:pStyle w:val="Heading2"/>
      </w:pPr>
      <w:r>
        <w:t xml:space="preserve">3.4 The Velocity Dashboard — Measuring Rate of Change</w:t>
      </w:r>
    </w:p>
    <w:p>
      <w:pPr>
        <w:spacing w:after="160" w:line="300"/>
      </w:pPr>
      <w:r>
        <w:rPr>
          <w:rFonts w:ascii="Arial" w:cs="Arial" w:eastAsia="Arial" w:hAnsi="Arial"/>
          <w:sz w:val="22"/>
          <w:szCs w:val="22"/>
        </w:rPr>
        <w:t xml:space="preserve">For each quantitative MAT, maintain a velocity metric alongside the absolute level. The velocity tells you how fast the situation is deteriorating: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Velocity Calculation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Cash Runway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Change in runway (months) vs prior month. Positive = improving. Negative = deteriorating. Track 3-month rolling average to smooth noise.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Burn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Month-over-month change in net burn as a %. &gt;10% acceleration for 2 consecutive months = WATCH.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 Growth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Quarter-over-quarter change in growth rate (not absolute ARR). Decelerating growth is the leading indicator; flat or declining ARR is the lagging confirmation.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Covenant Headroom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Rate of headroom compression in months. If headroom was 60% 3 months ago and is 35% now, the compression rate projects a breach in approximately 4 months.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Cash Balance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rate of cash consumption vs the budget presented at underwriting. Actual/Budget ratio below 0.85 for 2 months = WATCH.</w:t>
            </w:r>
          </w:p>
        </w:tc>
      </w:tr>
    </w:tbl>
    <w:p>
      <w:pPr>
        <w:spacing w:after="100"/>
      </w:pPr>
    </w:p>
    <w:p>
      <w:r>
        <w:br w:type="page"/>
      </w:r>
    </w:p>
    <w:p>
      <w:pPr>
        <w:pStyle w:val="Heading1"/>
      </w:pPr>
      <w:r>
        <w:t xml:space="preserve">PART 4: LAYER 2 — PORTFOLIO-LEVEL MATs</w:t>
      </w:r>
    </w:p>
    <w:p>
      <w:pPr>
        <w:spacing w:after="160" w:line="300"/>
      </w:pPr>
      <w:r>
        <w:rPr>
          <w:rFonts w:ascii="Arial" w:cs="Arial" w:eastAsia="Arial" w:hAnsi="Arial"/>
          <w:sz w:val="22"/>
          <w:szCs w:val="22"/>
        </w:rPr>
        <w:t xml:space="preserve">These MATs monitor aggregate portfolio health. They catch systemic risks that no individual deal MAT would fire on. A portfolio where 3 deals are each individually just below WATCH threshold is a portfolio in trouble — even though no single MAT has fired.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MAT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WATCH Threshold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 Threshold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Portfolio watchlist density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15% of NAV is on watchlist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25% of NAV is on watchlist OR more than 30% of deal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Sector concentration breach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Any single sub-sector exceeds 25% of NAV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Any single sub-sector exceeds 35% of NAV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VC investor concentration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Any single VC is lead investor in deals comprising &gt;15% of NAV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Any single VC is lead in &gt;25% of NAV OR the VC shows signs of distress (fund underperformance, partner departures)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Stage concentration tilt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Early-stage (Series A/B) exceeds 50% of NAV without offsetting late-stage anchor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Early-stage exceeds 60% AND average portfolio runway is below 12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Correlated downgrade wave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 or more deals downgraded in the same quarter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or more deals downgraded in the same quarter OR &gt;20% of portfolio downgrades simultaneously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ECL budget utilisation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Realised + expected losses reach 70% of annual ECL budget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Realised + expected losses exceed 90% of annual ECL 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Vintage clustering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40% of NAV originated in a single quarter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50% of NAV originated in a single quarter AND that vintage shows above-average MAT firing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Portfolio-wide runway compression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Average portfolio runway drops below 12 months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Average portfolio runway drops below 9 months OR median runway drops below 8 months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Covenant breach clustering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 or more covenant breaches in the same quarter across different deals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3 or more breaches in the same quarter OR breaches affecting &gt;15% of NAV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PL-10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Near-miss clustering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20% of deals have at least one WATCH-level MAT active simultaneously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30% of deals at WATCH AND at least 10% at ESCALATE simultaneously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bl>
    <w:p>
      <w:pPr>
        <w:spacing w:after="100"/>
      </w:pPr>
    </w:p>
    <w:p>
      <w:r>
        <w:br w:type="page"/>
      </w:r>
    </w:p>
    <w:p>
      <w:pPr>
        <w:pStyle w:val="Heading1"/>
      </w:pPr>
      <w:r>
        <w:t xml:space="preserve">PART 5: LAYER 3 — FUND-LEVEL MATs</w:t>
      </w:r>
    </w:p>
    <w:p>
      <w:pPr>
        <w:spacing w:after="160" w:line="300"/>
      </w:pPr>
      <w:r>
        <w:rPr>
          <w:rFonts w:ascii="Arial" w:cs="Arial" w:eastAsia="Arial" w:hAnsi="Arial"/>
          <w:sz w:val="22"/>
          <w:szCs w:val="22"/>
        </w:rPr>
        <w:t xml:space="preserve">These MATs monitor the fund’s own operational health, liquidity, and performance against LP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MAT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WATCH Threshold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 Threshold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Fund performance vs target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Rolling 12-month net return falls below target return minus 200bps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Rolling 12-month net return falls below target return minus 400bps OR turns negative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Fund liquidity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Committed but undrawn LP capital falls below 15% of total commitments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Committed but undrawn falls below 10% OR a significant LP defaults on a capital call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Deployment pace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Deployment pace is &gt;30% ahead of plan (over-deploying) OR &gt;30% behind (missing opportunities or being too conservative)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Deployment exceeds 90% of total commitment with &gt;2 years of fund life remaining (concentration in early vintages)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Maturity wall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30% of NAV matures within the same 6-month window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More than 50% of NAV matures within the same 6-month window AND &gt;20% of those borrowers have active WATCH/ESCALATE MATs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Origination dependency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Innovation Banking deal flow declines &gt;25% QoQ</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Innovation Banking deal flow declines &gt;50% QoQ OR key origination personnel depart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Co-lending friction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Disagreement between AM and Innovation Banking on deal terms or allocation on 2+ deals in a quarter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Formal dispute between AM and bank on workout strategy or allocation fairness. Potential fiduciary concern.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FL-07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LP sentiment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Any LP raises formal concerns about fund performance, risk management, or reporting quality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Multiple LPs raise concerns OR any LP initiates redemption/transfer discussions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bl>
    <w:p>
      <w:pPr>
        <w:spacing w:after="100"/>
      </w:pPr>
    </w:p>
    <w:p>
      <w:r>
        <w:br w:type="page"/>
      </w:r>
    </w:p>
    <w:p>
      <w:pPr>
        <w:pStyle w:val="Heading1"/>
      </w:pPr>
      <w:r>
        <w:t xml:space="preserve">PART 6: LAYER 4 — MARKET-LEVEL MATs</w:t>
      </w:r>
    </w:p>
    <w:p>
      <w:pPr>
        <w:spacing w:after="160" w:line="300"/>
      </w:pPr>
      <w:r>
        <w:rPr>
          <w:rFonts w:ascii="Arial" w:cs="Arial" w:eastAsia="Arial" w:hAnsi="Arial"/>
          <w:sz w:val="22"/>
          <w:szCs w:val="22"/>
        </w:rPr>
        <w:t xml:space="preserve">These MATs monitor macro and systemic conditions that affect the entire venture debt asset class. They are the external environment triggers that no amount of deal-level diligence can protect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60"/>
        <w:gridCol w:w="1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MAT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WATCH Threshold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 Threshold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ML-01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VC funding volume decline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 US VC investment declines &gt;25% YoY (PitchBook/NVCA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 US VC declines &gt;40% YoY for 2 consecutive quarters (a VC winter)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ML-02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IPO window closure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US tech IPO count drops &gt;50% vs trailing 4-quarter average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IPO market is effectively closed for 2+ consecutive quarters AND unicorn backlog exceeds 750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Quarterly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ML-03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Credit market stress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SOFR exceeds 5.5% OR credit spreads on high-yield widen &gt;200bps from recent tightAND venture debt repricing is visible in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SOFR exceeds 6.5% OR credit market dislocation similar to March 2023 banking stress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Monthly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ML-04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Sector-specific shock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Regulatory announcement, technological disruption, or competitive event that materially threatens a sector representing &gt;20% of our portfolio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Formal regulatory action, major company failure, or market consensus shift against a sector representing &gt;20% of portfolio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ML-05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Peer fund distress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 comparable venture debt fund (BDC, private credit) reports significantly elevated defaults or markdowns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 comparable fund fails, suspends redemptions, or is placed in workout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ML-06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Systemic bank stress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Regional bank failures or stress affecting the innovation economy banking sector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Major lender to innovation economy fails (SVB-type event) causing market-wide disruption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Event-driven</w:t>
            </w:r>
          </w:p>
        </w:tc>
      </w:tr>
    </w:tbl>
    <w:p>
      <w:pPr>
        <w:spacing w:after="100"/>
      </w:pPr>
    </w:p>
    <w:p>
      <w:r>
        <w:br w:type="page"/>
      </w:r>
    </w:p>
    <w:p>
      <w:pPr>
        <w:pStyle w:val="Heading1"/>
      </w:pPr>
      <w:r>
        <w:t xml:space="preserve">PART 7: RESPONSE PLAYBOOKS</w:t>
      </w:r>
    </w:p>
    <w:p>
      <w:pPr>
        <w:spacing w:after="160" w:line="300"/>
      </w:pPr>
      <w:r>
        <w:rPr>
          <w:rFonts w:ascii="Arial" w:cs="Arial" w:eastAsia="Arial" w:hAnsi="Arial"/>
          <w:sz w:val="22"/>
          <w:szCs w:val="22"/>
        </w:rPr>
        <w:t xml:space="preserve">Each MAT firing triggers a specific, documented response. This section defines who does what, by when.</w:t>
      </w:r>
    </w:p>
    <w:p>
      <w:pPr>
        <w:pStyle w:val="Heading2"/>
      </w:pPr>
      <w:r>
        <w:t xml:space="preserve">7.1 WATCH Response Playbook</w:t>
      </w:r>
    </w:p>
    <w:p>
      <w:pPr>
        <w:pStyle w:val="ListParagraph"/>
        <w:numPr>
          <w:ilvl w:val="0"/>
          <w:numId w:val="2"/>
        </w:numPr>
        <w:spacing w:after="80" w:line="300"/>
      </w:pPr>
      <w:r>
        <w:rPr>
          <w:rFonts w:ascii="Arial" w:cs="Arial" w:eastAsia="Arial" w:hAnsi="Arial"/>
          <w:b/>
          <w:bCs/>
          <w:sz w:val="22"/>
          <w:szCs w:val="22"/>
        </w:rPr>
        <w:t xml:space="preserve">Deal lead notified automatically. </w:t>
      </w:r>
      <w:r>
        <w:rPr>
          <w:rFonts w:ascii="Arial" w:cs="Arial" w:eastAsia="Arial" w:hAnsi="Arial"/>
          <w:sz w:val="22"/>
          <w:szCs w:val="22"/>
        </w:rPr>
        <w:t xml:space="preserve">Within 1 business day of the MAT data being received.</w:t>
      </w:r>
    </w:p>
    <w:p>
      <w:pPr>
        <w:pStyle w:val="ListParagraph"/>
        <w:numPr>
          <w:ilvl w:val="0"/>
          <w:numId w:val="2"/>
        </w:numPr>
        <w:spacing w:after="80" w:line="300"/>
      </w:pPr>
      <w:r>
        <w:rPr>
          <w:rFonts w:ascii="Arial" w:cs="Arial" w:eastAsia="Arial" w:hAnsi="Arial"/>
          <w:b/>
          <w:bCs/>
          <w:sz w:val="22"/>
          <w:szCs w:val="22"/>
        </w:rPr>
        <w:t xml:space="preserve">Risk manager validates the trigger. </w:t>
      </w:r>
      <w:r>
        <w:rPr>
          <w:rFonts w:ascii="Arial" w:cs="Arial" w:eastAsia="Arial" w:hAnsi="Arial"/>
          <w:sz w:val="22"/>
          <w:szCs w:val="22"/>
        </w:rPr>
        <w:t xml:space="preserve">Confirm the data is accurate, rule out reporting errors. Within 3 business days.</w:t>
      </w:r>
    </w:p>
    <w:p>
      <w:pPr>
        <w:pStyle w:val="ListParagraph"/>
        <w:numPr>
          <w:ilvl w:val="0"/>
          <w:numId w:val="2"/>
        </w:numPr>
        <w:spacing w:after="80" w:line="300"/>
      </w:pPr>
      <w:r>
        <w:rPr>
          <w:rFonts w:ascii="Arial" w:cs="Arial" w:eastAsia="Arial" w:hAnsi="Arial"/>
          <w:b/>
          <w:bCs/>
          <w:sz w:val="22"/>
          <w:szCs w:val="22"/>
        </w:rPr>
        <w:t xml:space="preserve">Monitoring frequency increases to bi-weekly. </w:t>
      </w:r>
      <w:r>
        <w:rPr>
          <w:rFonts w:ascii="Arial" w:cs="Arial" w:eastAsia="Arial" w:hAnsi="Arial"/>
          <w:sz w:val="22"/>
          <w:szCs w:val="22"/>
        </w:rPr>
        <w:t xml:space="preserve">Next data point from the borrower must be received and reviewed within 15 days.</w:t>
      </w:r>
    </w:p>
    <w:p>
      <w:pPr>
        <w:pStyle w:val="ListParagraph"/>
        <w:numPr>
          <w:ilvl w:val="0"/>
          <w:numId w:val="2"/>
        </w:numPr>
        <w:spacing w:after="80" w:line="300"/>
      </w:pPr>
      <w:r>
        <w:rPr>
          <w:rFonts w:ascii="Arial" w:cs="Arial" w:eastAsia="Arial" w:hAnsi="Arial"/>
          <w:b/>
          <w:bCs/>
          <w:sz w:val="22"/>
          <w:szCs w:val="22"/>
        </w:rPr>
        <w:t xml:space="preserve">Brief update memo prepared for next scheduled IC. </w:t>
      </w:r>
      <w:r>
        <w:rPr>
          <w:rFonts w:ascii="Arial" w:cs="Arial" w:eastAsia="Arial" w:hAnsi="Arial"/>
          <w:sz w:val="22"/>
          <w:szCs w:val="22"/>
        </w:rPr>
        <w:t xml:space="preserve">One page: what triggered, current trajectory, expected resolution, recommended action.</w:t>
      </w:r>
    </w:p>
    <w:p>
      <w:pPr>
        <w:pStyle w:val="ListParagraph"/>
        <w:numPr>
          <w:ilvl w:val="0"/>
          <w:numId w:val="2"/>
        </w:numPr>
        <w:spacing w:after="80" w:line="300"/>
      </w:pPr>
      <w:r>
        <w:rPr>
          <w:rFonts w:ascii="Arial" w:cs="Arial" w:eastAsia="Arial" w:hAnsi="Arial"/>
          <w:b/>
          <w:bCs/>
          <w:sz w:val="22"/>
          <w:szCs w:val="22"/>
        </w:rPr>
        <w:t xml:space="preserve">No borrower contact required at this stage. </w:t>
      </w:r>
      <w:r>
        <w:rPr>
          <w:rFonts w:ascii="Arial" w:cs="Arial" w:eastAsia="Arial" w:hAnsi="Arial"/>
          <w:sz w:val="22"/>
          <w:szCs w:val="22"/>
        </w:rPr>
        <w:t xml:space="preserve">Internal assessment only. Do not tip off the borrower to enhanced scrutiny unless engagement is strategically necessary.</w:t>
      </w:r>
    </w:p>
    <w:p>
      <w:pPr>
        <w:pStyle w:val="Heading2"/>
      </w:pPr>
      <w:r>
        <w:t xml:space="preserve">7.2 ESCALATE Response Playbook</w:t>
      </w:r>
    </w:p>
    <w:p>
      <w:pPr>
        <w:pStyle w:val="ListParagraph"/>
        <w:numPr>
          <w:ilvl w:val="0"/>
          <w:numId w:val="2"/>
        </w:numPr>
        <w:spacing w:after="80" w:line="300"/>
      </w:pPr>
      <w:r>
        <w:rPr>
          <w:rFonts w:ascii="Arial" w:cs="Arial" w:eastAsia="Arial" w:hAnsi="Arial"/>
          <w:b/>
          <w:bCs/>
          <w:sz w:val="22"/>
          <w:szCs w:val="22"/>
        </w:rPr>
        <w:t xml:space="preserve">IC notification within 5 business days. </w:t>
      </w:r>
      <w:r>
        <w:rPr>
          <w:rFonts w:ascii="Arial" w:cs="Arial" w:eastAsia="Arial" w:hAnsi="Arial"/>
          <w:sz w:val="22"/>
          <w:szCs w:val="22"/>
        </w:rPr>
        <w:t xml:space="preserve">Formal memo to all IC members with risk assessment and recommended action.</w:t>
      </w:r>
    </w:p>
    <w:p>
      <w:pPr>
        <w:pStyle w:val="ListParagraph"/>
        <w:numPr>
          <w:ilvl w:val="0"/>
          <w:numId w:val="2"/>
        </w:numPr>
        <w:spacing w:after="80" w:line="300"/>
      </w:pPr>
      <w:r>
        <w:rPr>
          <w:rFonts w:ascii="Arial" w:cs="Arial" w:eastAsia="Arial" w:hAnsi="Arial"/>
          <w:b/>
          <w:bCs/>
          <w:sz w:val="22"/>
          <w:szCs w:val="22"/>
        </w:rPr>
        <w:t xml:space="preserve">Risk manager prepares updated scenario analysis. </w:t>
      </w:r>
      <w:r>
        <w:rPr>
          <w:rFonts w:ascii="Arial" w:cs="Arial" w:eastAsia="Arial" w:hAnsi="Arial"/>
          <w:sz w:val="22"/>
          <w:szCs w:val="22"/>
        </w:rPr>
        <w:t xml:space="preserve">Re-run Base/Downside/Severe scenarios with current data. Calculate projected covenant breach dates.</w:t>
      </w:r>
    </w:p>
    <w:p>
      <w:pPr>
        <w:pStyle w:val="ListParagraph"/>
        <w:numPr>
          <w:ilvl w:val="0"/>
          <w:numId w:val="2"/>
        </w:numPr>
        <w:spacing w:after="80" w:line="300"/>
      </w:pPr>
      <w:r>
        <w:rPr>
          <w:rFonts w:ascii="Arial" w:cs="Arial" w:eastAsia="Arial" w:hAnsi="Arial"/>
          <w:b/>
          <w:bCs/>
          <w:sz w:val="22"/>
          <w:szCs w:val="22"/>
        </w:rPr>
        <w:t xml:space="preserve">Proactive engagement with borrower management. </w:t>
      </w:r>
      <w:r>
        <w:rPr>
          <w:rFonts w:ascii="Arial" w:cs="Arial" w:eastAsia="Arial" w:hAnsi="Arial"/>
          <w:sz w:val="22"/>
          <w:szCs w:val="22"/>
        </w:rPr>
        <w:t xml:space="preserve">Call with CEO/CFO to understand the situation, hear their mitigation plan, and assess management credibility.</w:t>
      </w:r>
    </w:p>
    <w:p>
      <w:pPr>
        <w:pStyle w:val="ListParagraph"/>
        <w:numPr>
          <w:ilvl w:val="0"/>
          <w:numId w:val="2"/>
        </w:numPr>
        <w:spacing w:after="80" w:line="300"/>
      </w:pPr>
      <w:r>
        <w:rPr>
          <w:rFonts w:ascii="Arial" w:cs="Arial" w:eastAsia="Arial" w:hAnsi="Arial"/>
          <w:b/>
          <w:bCs/>
          <w:sz w:val="22"/>
          <w:szCs w:val="22"/>
        </w:rPr>
        <w:t xml:space="preserve">VC investor engagement. </w:t>
      </w:r>
      <w:r>
        <w:rPr>
          <w:rFonts w:ascii="Arial" w:cs="Arial" w:eastAsia="Arial" w:hAnsi="Arial"/>
          <w:sz w:val="22"/>
          <w:szCs w:val="22"/>
        </w:rPr>
        <w:t xml:space="preserve">Contact the lead VC partner to assess their continued commitment. Ask directly: will you bridge if needed?</w:t>
      </w:r>
    </w:p>
    <w:p>
      <w:pPr>
        <w:pStyle w:val="ListParagraph"/>
        <w:numPr>
          <w:ilvl w:val="0"/>
          <w:numId w:val="2"/>
        </w:numPr>
        <w:spacing w:after="80" w:line="300"/>
      </w:pPr>
      <w:r>
        <w:rPr>
          <w:rFonts w:ascii="Arial" w:cs="Arial" w:eastAsia="Arial" w:hAnsi="Arial"/>
          <w:b/>
          <w:bCs/>
          <w:sz w:val="22"/>
          <w:szCs w:val="22"/>
        </w:rPr>
        <w:t xml:space="preserve">Legal counsel put on standby. </w:t>
      </w:r>
      <w:r>
        <w:rPr>
          <w:rFonts w:ascii="Arial" w:cs="Arial" w:eastAsia="Arial" w:hAnsi="Arial"/>
          <w:sz w:val="22"/>
          <w:szCs w:val="22"/>
        </w:rPr>
        <w:t xml:space="preserve">Brief external counsel on the situation. Review loan documentation for key rights and protections.</w:t>
      </w:r>
    </w:p>
    <w:p>
      <w:pPr>
        <w:pStyle w:val="ListParagraph"/>
        <w:numPr>
          <w:ilvl w:val="0"/>
          <w:numId w:val="2"/>
        </w:numPr>
        <w:spacing w:after="80" w:line="300"/>
      </w:pPr>
      <w:r>
        <w:rPr>
          <w:rFonts w:ascii="Arial" w:cs="Arial" w:eastAsia="Arial" w:hAnsi="Arial"/>
          <w:b/>
          <w:bCs/>
          <w:sz w:val="22"/>
          <w:szCs w:val="22"/>
        </w:rPr>
        <w:t xml:space="preserve">Co-lending coordination. </w:t>
      </w:r>
      <w:r>
        <w:rPr>
          <w:rFonts w:ascii="Arial" w:cs="Arial" w:eastAsia="Arial" w:hAnsi="Arial"/>
          <w:sz w:val="22"/>
          <w:szCs w:val="22"/>
        </w:rPr>
        <w:t xml:space="preserve">If Innovation Banking holds a parallel position, align on assessment and strategy. Document any disagreements.</w:t>
      </w:r>
    </w:p>
    <w:p>
      <w:pPr>
        <w:pStyle w:val="ListParagraph"/>
        <w:numPr>
          <w:ilvl w:val="0"/>
          <w:numId w:val="2"/>
        </w:numPr>
        <w:spacing w:after="80" w:line="300"/>
      </w:pPr>
      <w:r>
        <w:rPr>
          <w:rFonts w:ascii="Arial" w:cs="Arial" w:eastAsia="Arial" w:hAnsi="Arial"/>
          <w:b/>
          <w:bCs/>
          <w:sz w:val="22"/>
          <w:szCs w:val="22"/>
        </w:rPr>
        <w:t xml:space="preserve">IC decision required within 15 business days. </w:t>
      </w:r>
      <w:r>
        <w:rPr>
          <w:rFonts w:ascii="Arial" w:cs="Arial" w:eastAsia="Arial" w:hAnsi="Arial"/>
          <w:sz w:val="22"/>
          <w:szCs w:val="22"/>
        </w:rPr>
        <w:t xml:space="preserve">Maintain enhanced monitoring / Downgrade risk rating / Begin pre-workout engagement / Other.</w:t>
      </w:r>
    </w:p>
    <w:p>
      <w:pPr>
        <w:pStyle w:val="Heading2"/>
      </w:pPr>
      <w:r>
        <w:t xml:space="preserve">7.3 ACT Response Playbook</w:t>
      </w:r>
    </w:p>
    <w:p>
      <w:pPr>
        <w:pStyle w:val="ListParagraph"/>
        <w:numPr>
          <w:ilvl w:val="0"/>
          <w:numId w:val="2"/>
        </w:numPr>
        <w:spacing w:after="80" w:line="300"/>
      </w:pPr>
      <w:r>
        <w:rPr>
          <w:rFonts w:ascii="Arial" w:cs="Arial" w:eastAsia="Arial" w:hAnsi="Arial"/>
          <w:b/>
          <w:bCs/>
          <w:sz w:val="22"/>
          <w:szCs w:val="22"/>
        </w:rPr>
        <w:t xml:space="preserve">Emergency IC convened within 48 hours. </w:t>
      </w:r>
      <w:r>
        <w:rPr>
          <w:rFonts w:ascii="Arial" w:cs="Arial" w:eastAsia="Arial" w:hAnsi="Arial"/>
          <w:sz w:val="22"/>
          <w:szCs w:val="22"/>
        </w:rPr>
        <w:t xml:space="preserve">All IC members, Risk Manager, Legal, Portfolio Manager. Deal lead presents the situation.</w:t>
      </w:r>
    </w:p>
    <w:p>
      <w:pPr>
        <w:pStyle w:val="ListParagraph"/>
        <w:numPr>
          <w:ilvl w:val="0"/>
          <w:numId w:val="2"/>
        </w:numPr>
        <w:spacing w:after="80" w:line="300"/>
      </w:pPr>
      <w:r>
        <w:rPr>
          <w:rFonts w:ascii="Arial" w:cs="Arial" w:eastAsia="Arial" w:hAnsi="Arial"/>
          <w:b/>
          <w:bCs/>
          <w:sz w:val="22"/>
          <w:szCs w:val="22"/>
        </w:rPr>
        <w:t xml:space="preserve">CRO briefed immediately. </w:t>
      </w:r>
      <w:r>
        <w:rPr>
          <w:rFonts w:ascii="Arial" w:cs="Arial" w:eastAsia="Arial" w:hAnsi="Arial"/>
          <w:sz w:val="22"/>
          <w:szCs w:val="22"/>
        </w:rPr>
        <w:t xml:space="preserve">Summary email to CRO within 24 hours of the MAT firing. Include exposure amount, estimated loss, and recommended action.</w:t>
      </w:r>
    </w:p>
    <w:p>
      <w:pPr>
        <w:pStyle w:val="ListParagraph"/>
        <w:numPr>
          <w:ilvl w:val="0"/>
          <w:numId w:val="2"/>
        </w:numPr>
        <w:spacing w:after="80" w:line="300"/>
      </w:pPr>
      <w:r>
        <w:rPr>
          <w:rFonts w:ascii="Arial" w:cs="Arial" w:eastAsia="Arial" w:hAnsi="Arial"/>
          <w:b/>
          <w:bCs/>
          <w:sz w:val="22"/>
          <w:szCs w:val="22"/>
        </w:rPr>
        <w:t xml:space="preserve">Formal action plan with named owners and deadlines. </w:t>
      </w:r>
      <w:r>
        <w:rPr>
          <w:rFonts w:ascii="Arial" w:cs="Arial" w:eastAsia="Arial" w:hAnsi="Arial"/>
          <w:sz w:val="22"/>
          <w:szCs w:val="22"/>
        </w:rPr>
        <w:t xml:space="preserve">Who is doing what, by when. Updated weekly until resolution.</w:t>
      </w:r>
    </w:p>
    <w:p>
      <w:pPr>
        <w:pStyle w:val="ListParagraph"/>
        <w:numPr>
          <w:ilvl w:val="0"/>
          <w:numId w:val="2"/>
        </w:numPr>
        <w:spacing w:after="80" w:line="300"/>
      </w:pPr>
      <w:r>
        <w:rPr>
          <w:rFonts w:ascii="Arial" w:cs="Arial" w:eastAsia="Arial" w:hAnsi="Arial"/>
          <w:b/>
          <w:bCs/>
          <w:sz w:val="22"/>
          <w:szCs w:val="22"/>
        </w:rPr>
        <w:t xml:space="preserve">Workout team activated. </w:t>
      </w:r>
      <w:r>
        <w:rPr>
          <w:rFonts w:ascii="Arial" w:cs="Arial" w:eastAsia="Arial" w:hAnsi="Arial"/>
          <w:sz w:val="22"/>
          <w:szCs w:val="22"/>
        </w:rPr>
        <w:t xml:space="preserve">Dedicated workout lead assigned. External legal and valuation advisors engaged as needed.</w:t>
      </w:r>
    </w:p>
    <w:p>
      <w:pPr>
        <w:pStyle w:val="ListParagraph"/>
        <w:numPr>
          <w:ilvl w:val="0"/>
          <w:numId w:val="2"/>
        </w:numPr>
        <w:spacing w:after="80" w:line="300"/>
      </w:pPr>
      <w:r>
        <w:rPr>
          <w:rFonts w:ascii="Arial" w:cs="Arial" w:eastAsia="Arial" w:hAnsi="Arial"/>
          <w:b/>
          <w:bCs/>
          <w:sz w:val="22"/>
          <w:szCs w:val="22"/>
        </w:rPr>
        <w:t xml:space="preserve">Borrower engagement at board level. </w:t>
      </w:r>
      <w:r>
        <w:rPr>
          <w:rFonts w:ascii="Arial" w:cs="Arial" w:eastAsia="Arial" w:hAnsi="Arial"/>
          <w:sz w:val="22"/>
          <w:szCs w:val="22"/>
        </w:rPr>
        <w:t xml:space="preserve">Direct communication with the borrower’s board of directors, not just management. Formal notice if required under the loan agreement.</w:t>
      </w:r>
    </w:p>
    <w:p>
      <w:pPr>
        <w:pStyle w:val="ListParagraph"/>
        <w:numPr>
          <w:ilvl w:val="0"/>
          <w:numId w:val="2"/>
        </w:numPr>
        <w:spacing w:after="80" w:line="300"/>
      </w:pPr>
      <w:r>
        <w:rPr>
          <w:rFonts w:ascii="Arial" w:cs="Arial" w:eastAsia="Arial" w:hAnsi="Arial"/>
          <w:b/>
          <w:bCs/>
          <w:sz w:val="22"/>
          <w:szCs w:val="22"/>
        </w:rPr>
        <w:t xml:space="preserve">Recovery assessment. </w:t>
      </w:r>
      <w:r>
        <w:rPr>
          <w:rFonts w:ascii="Arial" w:cs="Arial" w:eastAsia="Arial" w:hAnsi="Arial"/>
          <w:sz w:val="22"/>
          <w:szCs w:val="22"/>
        </w:rPr>
        <w:t xml:space="preserve">Independent valuation of collateral, enterprise value, and M&amp;A prospects. Engage investment banking if a structured sale is a viable path.</w:t>
      </w:r>
    </w:p>
    <w:p>
      <w:pPr>
        <w:pStyle w:val="ListParagraph"/>
        <w:numPr>
          <w:ilvl w:val="0"/>
          <w:numId w:val="2"/>
        </w:numPr>
        <w:spacing w:after="80" w:line="300"/>
      </w:pPr>
      <w:r>
        <w:rPr>
          <w:rFonts w:ascii="Arial" w:cs="Arial" w:eastAsia="Arial" w:hAnsi="Arial"/>
          <w:b/>
          <w:bCs/>
          <w:sz w:val="22"/>
          <w:szCs w:val="22"/>
        </w:rPr>
        <w:t xml:space="preserve">LP communication assessment. </w:t>
      </w:r>
      <w:r>
        <w:rPr>
          <w:rFonts w:ascii="Arial" w:cs="Arial" w:eastAsia="Arial" w:hAnsi="Arial"/>
          <w:sz w:val="22"/>
          <w:szCs w:val="22"/>
        </w:rPr>
        <w:t xml:space="preserve">Determine if the situation is material enough to warrant proactive LP notification. If in doubt, notify.</w:t>
      </w:r>
    </w:p>
    <w:p>
      <w:r>
        <w:br w:type="page"/>
      </w:r>
    </w:p>
    <w:p>
      <w:pPr>
        <w:pStyle w:val="Heading1"/>
      </w:pPr>
      <w:r>
        <w:t xml:space="preserve">PART 8: GOVERNANCE AND OPERATIONS</w:t>
      </w:r>
    </w:p>
    <w:p>
      <w:pPr>
        <w:pStyle w:val="Heading2"/>
      </w:pPr>
      <w:r>
        <w:t xml:space="preserve">8.1 Who Owns the 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Deal Lead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owner of deal-level MATs. Responsible for data collection, monthly assessment, and first-line validation. Flags any MAT that is trending toward or at a threshold.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Risk Manager (You)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Second-line validation of all deal-level MATs. Owner of portfolio-level and fund-level MATs. Challenges the deal lead’s assessment. Reports to IC and CRO.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Portfolio Manager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Co-owner of portfolio-level MATs. Responsible for concentration management and deployment pace.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Ultimate escalation point. Receives all ACT-level notifications. Approves action plans for distressed situations.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IC (Investment Committee)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Receives all ESCALATE and ACT notifications. Approves restructuring, waivers, and workout strategies.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Fund Operations / COO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Owner of fund-level operational MATs (liquidity, LP capital calls, deployment pace).</w:t>
            </w:r>
          </w:p>
        </w:tc>
      </w:tr>
    </w:tbl>
    <w:p>
      <w:pPr>
        <w:spacing w:after="100"/>
      </w:pPr>
    </w:p>
    <w:p>
      <w:pPr>
        <w:pStyle w:val="Heading2"/>
      </w:pPr>
      <w:r>
        <w:t xml:space="preserve">8.2 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Report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Cadence and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 Status Dashboard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One-page summary of all active MATs across all layers. Traffic-light status for every deal and the portfolio overall. Distributed to IC and CRO.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Deal-Level MAT Report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per deal. Prepared by deal lead, reviewed by risk manager. Documents each MAT metric, trend, and any threshold breaches or near-misses.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Portfolio MAT Heatmap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Grid showing every deal (rows) vs every MAT (columns). Colour-coded GREEN/AMBER/RED. Enables pattern detection across the portfolio.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Quarterly MAT 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Quarterly. Deep review by IC. Includes: MAT calibration assessment (are thresholds appropriate?), false positive/negative analysis, framework enhancements.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Annual MAT Recalibration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Annual. Full review and recalibration of all MAT thresholds based on portfolio experience, market conditions, and peer benchmarking.</w:t>
            </w:r>
          </w:p>
        </w:tc>
      </w:tr>
    </w:tbl>
    <w:p>
      <w:pPr>
        <w:spacing w:after="100"/>
      </w:pPr>
    </w:p>
    <w:p>
      <w:pPr>
        <w:pStyle w:val="Heading2"/>
      </w:pPr>
      <w:r>
        <w:t xml:space="preserve">8.3 Data Infrastructure</w:t>
      </w:r>
    </w:p>
    <w:p>
      <w:pPr>
        <w:spacing w:after="160" w:line="300"/>
      </w:pPr>
      <w:r>
        <w:rPr>
          <w:rFonts w:ascii="Arial" w:cs="Arial" w:eastAsia="Arial" w:hAnsi="Arial"/>
          <w:sz w:val="22"/>
          <w:szCs w:val="22"/>
        </w:rPr>
        <w:t xml:space="preserve">MATs are only as good as the data that feeds them. Required data sources:</w:t>
      </w:r>
    </w:p>
    <w:p>
      <w:pPr>
        <w:pStyle w:val="ListParagraph"/>
        <w:numPr>
          <w:ilvl w:val="0"/>
          <w:numId w:val="3"/>
        </w:numPr>
        <w:spacing w:after="80" w:line="300"/>
      </w:pPr>
      <w:r>
        <w:rPr>
          <w:rFonts w:ascii="Arial" w:cs="Arial" w:eastAsia="Arial" w:hAnsi="Arial"/>
          <w:b/>
          <w:bCs/>
          <w:sz w:val="22"/>
          <w:szCs w:val="22"/>
        </w:rPr>
        <w:t xml:space="preserve">Primary: </w:t>
      </w:r>
      <w:r>
        <w:rPr>
          <w:rFonts w:ascii="Arial" w:cs="Arial" w:eastAsia="Arial" w:hAnsi="Arial"/>
          <w:sz w:val="22"/>
          <w:szCs w:val="22"/>
        </w:rPr>
        <w:t xml:space="preserve">Standardised monthly borrower reporting pack (P&amp;L, balance sheet, cash flow, KPI pack). Non-negotiable — every borrower must provide this in a consistent format. Late reporting (&gt;10 business days after month-end) is itself a MAT trigger (DL-20).</w:t>
      </w:r>
    </w:p>
    <w:p>
      <w:pPr>
        <w:pStyle w:val="ListParagraph"/>
        <w:numPr>
          <w:ilvl w:val="0"/>
          <w:numId w:val="3"/>
        </w:numPr>
        <w:spacing w:after="80" w:line="300"/>
      </w:pPr>
      <w:r>
        <w:rPr>
          <w:rFonts w:ascii="Arial" w:cs="Arial" w:eastAsia="Arial" w:hAnsi="Arial"/>
          <w:b/>
          <w:bCs/>
          <w:sz w:val="22"/>
          <w:szCs w:val="22"/>
        </w:rPr>
        <w:t xml:space="preserve">HSBC Internal: </w:t>
      </w:r>
      <w:r>
        <w:rPr>
          <w:rFonts w:ascii="Arial" w:cs="Arial" w:eastAsia="Arial" w:hAnsi="Arial"/>
          <w:sz w:val="22"/>
          <w:szCs w:val="22"/>
        </w:rPr>
        <w:t xml:space="preserve">Deposit account data from Innovation Banking (if borrower banks with HSBC). Real-time cash balance visibility. This is your information edge — use it.</w:t>
      </w:r>
    </w:p>
    <w:p>
      <w:pPr>
        <w:pStyle w:val="ListParagraph"/>
        <w:numPr>
          <w:ilvl w:val="0"/>
          <w:numId w:val="3"/>
        </w:numPr>
        <w:spacing w:after="80" w:line="300"/>
      </w:pPr>
      <w:r>
        <w:rPr>
          <w:rFonts w:ascii="Arial" w:cs="Arial" w:eastAsia="Arial" w:hAnsi="Arial"/>
          <w:b/>
          <w:bCs/>
          <w:sz w:val="22"/>
          <w:szCs w:val="22"/>
        </w:rPr>
        <w:t xml:space="preserve">Market Data: </w:t>
      </w:r>
      <w:r>
        <w:rPr>
          <w:rFonts w:ascii="Arial" w:cs="Arial" w:eastAsia="Arial" w:hAnsi="Arial"/>
          <w:sz w:val="22"/>
          <w:szCs w:val="22"/>
        </w:rPr>
        <w:t xml:space="preserve">PitchBook/Crunchbase for equity rounds, valuations, and VC activity. NVCA for VC funding volumes. SEC/EDGAR for BDC peer data.</w:t>
      </w:r>
    </w:p>
    <w:p>
      <w:pPr>
        <w:pStyle w:val="ListParagraph"/>
        <w:numPr>
          <w:ilvl w:val="0"/>
          <w:numId w:val="3"/>
        </w:numPr>
        <w:spacing w:after="80" w:line="300"/>
      </w:pPr>
      <w:r>
        <w:rPr>
          <w:rFonts w:ascii="Arial" w:cs="Arial" w:eastAsia="Arial" w:hAnsi="Arial"/>
          <w:b/>
          <w:bCs/>
          <w:sz w:val="22"/>
          <w:szCs w:val="22"/>
        </w:rPr>
        <w:t xml:space="preserve">Qualitative Sources: </w:t>
      </w:r>
      <w:r>
        <w:rPr>
          <w:rFonts w:ascii="Arial" w:cs="Arial" w:eastAsia="Arial" w:hAnsi="Arial"/>
          <w:sz w:val="22"/>
          <w:szCs w:val="22"/>
        </w:rPr>
        <w:t xml:space="preserve">Board meeting materials (request observer rights where possible), Glassdoor/Blind for employee sentiment, news monitoring (set Google Alerts for every portfolio company), LinkedIn for tracking employee departures.</w:t>
      </w:r>
    </w:p>
    <w:p>
      <w:pPr>
        <w:pStyle w:val="Heading2"/>
      </w:pPr>
      <w:r>
        <w:t xml:space="preserve">8.4 Avoiding False Positives</w:t>
      </w:r>
    </w:p>
    <w:p>
      <w:pPr>
        <w:spacing w:after="160" w:line="300"/>
      </w:pPr>
      <w:r>
        <w:rPr>
          <w:rFonts w:ascii="Arial" w:cs="Arial" w:eastAsia="Arial" w:hAnsi="Arial"/>
          <w:sz w:val="22"/>
          <w:szCs w:val="22"/>
        </w:rPr>
        <w:t xml:space="preserve">A MAT framework that fires too often will be ignored. Calibration matters:</w:t>
      </w:r>
    </w:p>
    <w:p>
      <w:pPr>
        <w:pStyle w:val="ListParagraph"/>
        <w:numPr>
          <w:ilvl w:val="0"/>
          <w:numId w:val="3"/>
        </w:numPr>
        <w:spacing w:after="80" w:line="300"/>
      </w:pPr>
      <w:r>
        <w:rPr>
          <w:rFonts w:ascii="Arial" w:cs="Arial" w:eastAsia="Arial" w:hAnsi="Arial"/>
          <w:b/>
          <w:bCs/>
          <w:sz w:val="22"/>
          <w:szCs w:val="22"/>
        </w:rPr>
        <w:t xml:space="preserve">Context before panic: </w:t>
      </w:r>
      <w:r>
        <w:rPr>
          <w:rFonts w:ascii="Arial" w:cs="Arial" w:eastAsia="Arial" w:hAnsi="Arial"/>
          <w:sz w:val="22"/>
          <w:szCs w:val="22"/>
        </w:rPr>
        <w:t xml:space="preserve">A single month of elevated burn during a planned product launch is not a MAT. Require 2 consecutive data points for most quantitative MATs (exception: desperation draw is immediate).</w:t>
      </w:r>
    </w:p>
    <w:p>
      <w:pPr>
        <w:pStyle w:val="ListParagraph"/>
        <w:numPr>
          <w:ilvl w:val="0"/>
          <w:numId w:val="3"/>
        </w:numPr>
        <w:spacing w:after="80" w:line="300"/>
      </w:pPr>
      <w:r>
        <w:rPr>
          <w:rFonts w:ascii="Arial" w:cs="Arial" w:eastAsia="Arial" w:hAnsi="Arial"/>
          <w:b/>
          <w:bCs/>
          <w:sz w:val="22"/>
          <w:szCs w:val="22"/>
        </w:rPr>
        <w:t xml:space="preserve">Planned vs unplanned: </w:t>
      </w:r>
      <w:r>
        <w:rPr>
          <w:rFonts w:ascii="Arial" w:cs="Arial" w:eastAsia="Arial" w:hAnsi="Arial"/>
          <w:sz w:val="22"/>
          <w:szCs w:val="22"/>
        </w:rPr>
        <w:t xml:space="preserve">If the borrower communicated a planned acceleration in spending at the last board meeting, and their burn increases accordingly, that is not a MAT. MATs fire on unplanned or unexplained deviations.</w:t>
      </w:r>
    </w:p>
    <w:p>
      <w:pPr>
        <w:pStyle w:val="ListParagraph"/>
        <w:numPr>
          <w:ilvl w:val="0"/>
          <w:numId w:val="3"/>
        </w:numPr>
        <w:spacing w:after="80" w:line="300"/>
      </w:pPr>
      <w:r>
        <w:rPr>
          <w:rFonts w:ascii="Arial" w:cs="Arial" w:eastAsia="Arial" w:hAnsi="Arial"/>
          <w:b/>
          <w:bCs/>
          <w:sz w:val="22"/>
          <w:szCs w:val="22"/>
        </w:rPr>
        <w:t xml:space="preserve">Seasonal adjustment: </w:t>
      </w:r>
      <w:r>
        <w:rPr>
          <w:rFonts w:ascii="Arial" w:cs="Arial" w:eastAsia="Arial" w:hAnsi="Arial"/>
          <w:sz w:val="22"/>
          <w:szCs w:val="22"/>
        </w:rPr>
        <w:t xml:space="preserve">Some metrics have natural seasonality (Q4 enterprise sales cycle, summer hiring slowdowns). Build seasonal expectations into baseline and measure deviations from seasonally adjusted trends, not raw numbers.</w:t>
      </w:r>
    </w:p>
    <w:p>
      <w:pPr>
        <w:pStyle w:val="ListParagraph"/>
        <w:numPr>
          <w:ilvl w:val="0"/>
          <w:numId w:val="3"/>
        </w:numPr>
        <w:spacing w:after="80" w:line="300"/>
      </w:pPr>
      <w:r>
        <w:rPr>
          <w:rFonts w:ascii="Arial" w:cs="Arial" w:eastAsia="Arial" w:hAnsi="Arial"/>
          <w:b/>
          <w:bCs/>
          <w:sz w:val="22"/>
          <w:szCs w:val="22"/>
        </w:rPr>
        <w:t xml:space="preserve">Override with documentation: </w:t>
      </w:r>
      <w:r>
        <w:rPr>
          <w:rFonts w:ascii="Arial" w:cs="Arial" w:eastAsia="Arial" w:hAnsi="Arial"/>
          <w:sz w:val="22"/>
          <w:szCs w:val="22"/>
        </w:rPr>
        <w:t xml:space="preserve">The deal lead may override a MAT firing if they can provide documented evidence that the trigger is a false positive. Overrides must be approved by the risk manager and recorded in the MAT log.</w:t>
      </w:r>
    </w:p>
    <w:p>
      <w:pPr>
        <w:pStyle w:val="Heading2"/>
      </w:pPr>
      <w:r>
        <w:t xml:space="preserve">8.5 Avoiding False Negatives</w:t>
      </w:r>
    </w:p>
    <w:p>
      <w:pPr>
        <w:spacing w:after="160" w:line="300"/>
      </w:pPr>
      <w:r>
        <w:rPr>
          <w:rFonts w:ascii="Arial" w:cs="Arial" w:eastAsia="Arial" w:hAnsi="Arial"/>
          <w:sz w:val="22"/>
          <w:szCs w:val="22"/>
        </w:rPr>
        <w:t xml:space="preserve">More dangerous than false positives. A MAT that fails to fire when it should is a catastrophic failure:</w:t>
      </w:r>
    </w:p>
    <w:p>
      <w:pPr>
        <w:pStyle w:val="ListParagraph"/>
        <w:numPr>
          <w:ilvl w:val="0"/>
          <w:numId w:val="3"/>
        </w:numPr>
        <w:spacing w:after="80" w:line="300"/>
      </w:pPr>
      <w:r>
        <w:rPr>
          <w:rFonts w:ascii="Arial" w:cs="Arial" w:eastAsia="Arial" w:hAnsi="Arial"/>
          <w:b/>
          <w:bCs/>
          <w:sz w:val="22"/>
          <w:szCs w:val="22"/>
        </w:rPr>
        <w:t xml:space="preserve">No single-metric dependence: </w:t>
      </w:r>
      <w:r>
        <w:rPr>
          <w:rFonts w:ascii="Arial" w:cs="Arial" w:eastAsia="Arial" w:hAnsi="Arial"/>
          <w:sz w:val="22"/>
          <w:szCs w:val="22"/>
        </w:rPr>
        <w:t xml:space="preserve">Every material risk should be covered by at least 2 MATs from different data sources. If the borrower can game one metric, the other should catch it.</w:t>
      </w:r>
    </w:p>
    <w:p>
      <w:pPr>
        <w:pStyle w:val="ListParagraph"/>
        <w:numPr>
          <w:ilvl w:val="0"/>
          <w:numId w:val="3"/>
        </w:numPr>
        <w:spacing w:after="80" w:line="300"/>
      </w:pPr>
      <w:r>
        <w:rPr>
          <w:rFonts w:ascii="Arial" w:cs="Arial" w:eastAsia="Arial" w:hAnsi="Arial"/>
          <w:b/>
          <w:bCs/>
          <w:sz w:val="22"/>
          <w:szCs w:val="22"/>
        </w:rPr>
        <w:t xml:space="preserve">Qualitative triggers are non-optional: </w:t>
      </w:r>
      <w:r>
        <w:rPr>
          <w:rFonts w:ascii="Arial" w:cs="Arial" w:eastAsia="Arial" w:hAnsi="Arial"/>
          <w:sz w:val="22"/>
          <w:szCs w:val="22"/>
        </w:rPr>
        <w:t xml:space="preserve">The temptation is to rely only on quantitative MATs because they are objective. Resist this. The CEO who stops returning calls is the most reliable early warning signal in venture debt. Qualitative MATs require judgment, but they catch what numbers miss.</w:t>
      </w:r>
    </w:p>
    <w:p>
      <w:pPr>
        <w:pStyle w:val="ListParagraph"/>
        <w:numPr>
          <w:ilvl w:val="0"/>
          <w:numId w:val="3"/>
        </w:numPr>
        <w:spacing w:after="80" w:line="300"/>
      </w:pPr>
      <w:r>
        <w:rPr>
          <w:rFonts w:ascii="Arial" w:cs="Arial" w:eastAsia="Arial" w:hAnsi="Arial"/>
          <w:b/>
          <w:bCs/>
          <w:sz w:val="22"/>
          <w:szCs w:val="22"/>
        </w:rPr>
        <w:t xml:space="preserve">Aggregate patterns: </w:t>
      </w:r>
      <w:r>
        <w:rPr>
          <w:rFonts w:ascii="Arial" w:cs="Arial" w:eastAsia="Arial" w:hAnsi="Arial"/>
          <w:sz w:val="22"/>
          <w:szCs w:val="22"/>
        </w:rPr>
        <w:t xml:space="preserve">PL-10 (near-miss clustering) exists specifically to catch the scenario where 5 deals are each one notch below WATCH individually but collectively signal a portfolio-wide problem.</w:t>
      </w:r>
    </w:p>
    <w:p>
      <w:r>
        <w:br w:type="page"/>
      </w:r>
    </w:p>
    <w:p>
      <w:pPr>
        <w:pStyle w:val="Heading1"/>
      </w:pPr>
      <w:r>
        <w:t xml:space="preserve">PART 9: CALIBRATION AND CONTINUOUS IMPROVEMENT</w:t>
      </w:r>
    </w:p>
    <w:p>
      <w:pPr>
        <w:pStyle w:val="Heading2"/>
      </w:pPr>
      <w:r>
        <w:t xml:space="preserve">9.1 Initial Calibration</w:t>
      </w:r>
    </w:p>
    <w:p>
      <w:pPr>
        <w:spacing w:after="160" w:line="300"/>
      </w:pPr>
      <w:r>
        <w:rPr>
          <w:rFonts w:ascii="Arial" w:cs="Arial" w:eastAsia="Arial" w:hAnsi="Arial"/>
          <w:sz w:val="22"/>
          <w:szCs w:val="22"/>
        </w:rPr>
        <w:t xml:space="preserve">The thresholds in this framework are starting points based on market experience and industry benchmarks. They must be calibrated to HSBC AM’s specific portfolio as data accumulates:</w:t>
      </w:r>
    </w:p>
    <w:p>
      <w:pPr>
        <w:pStyle w:val="ListParagraph"/>
        <w:numPr>
          <w:ilvl w:val="0"/>
          <w:numId w:val="3"/>
        </w:numPr>
        <w:spacing w:after="80" w:line="300"/>
      </w:pPr>
      <w:r>
        <w:rPr>
          <w:rFonts w:ascii="Arial" w:cs="Arial" w:eastAsia="Arial" w:hAnsi="Arial"/>
          <w:sz w:val="22"/>
          <w:szCs w:val="22"/>
        </w:rPr>
        <w:t xml:space="preserve">After 12 months of operation, conduct a full back-test: for every deal that experienced distress, did the relevant MATs fire in time? How much lead time did they provide before the covenant breach?</w:t>
      </w:r>
    </w:p>
    <w:p>
      <w:pPr>
        <w:pStyle w:val="ListParagraph"/>
        <w:numPr>
          <w:ilvl w:val="0"/>
          <w:numId w:val="3"/>
        </w:numPr>
        <w:spacing w:after="80" w:line="300"/>
      </w:pPr>
      <w:r>
        <w:rPr>
          <w:rFonts w:ascii="Arial" w:cs="Arial" w:eastAsia="Arial" w:hAnsi="Arial"/>
          <w:sz w:val="22"/>
          <w:szCs w:val="22"/>
        </w:rPr>
        <w:t xml:space="preserve">Identify any false negatives (distress events that no MAT predicted) and add new MATs or tighten existing thresholds.</w:t>
      </w:r>
    </w:p>
    <w:p>
      <w:pPr>
        <w:pStyle w:val="ListParagraph"/>
        <w:numPr>
          <w:ilvl w:val="0"/>
          <w:numId w:val="3"/>
        </w:numPr>
        <w:spacing w:after="80" w:line="300"/>
      </w:pPr>
      <w:r>
        <w:rPr>
          <w:rFonts w:ascii="Arial" w:cs="Arial" w:eastAsia="Arial" w:hAnsi="Arial"/>
          <w:sz w:val="22"/>
          <w:szCs w:val="22"/>
        </w:rPr>
        <w:t xml:space="preserve">Identify excessive false positives (MATs that fired repeatedly without distress following) and either widen thresholds or add contextual filters.</w:t>
      </w:r>
    </w:p>
    <w:p>
      <w:pPr>
        <w:pStyle w:val="Heading2"/>
      </w:pPr>
      <w:r>
        <w:t xml:space="preserve">9.2 Benchmarking</w:t>
      </w:r>
    </w:p>
    <w:p>
      <w:pPr>
        <w:spacing w:after="160" w:line="300"/>
      </w:pPr>
      <w:r>
        <w:rPr>
          <w:rFonts w:ascii="Arial" w:cs="Arial" w:eastAsia="Arial" w:hAnsi="Arial"/>
          <w:sz w:val="22"/>
          <w:szCs w:val="22"/>
        </w:rPr>
        <w:t xml:space="preserve">Compare MAT effectiveness against:</w:t>
      </w:r>
    </w:p>
    <w:p>
      <w:pPr>
        <w:pStyle w:val="ListParagraph"/>
        <w:numPr>
          <w:ilvl w:val="0"/>
          <w:numId w:val="3"/>
        </w:numPr>
        <w:spacing w:after="80" w:line="300"/>
      </w:pPr>
      <w:r>
        <w:rPr>
          <w:rFonts w:ascii="Arial" w:cs="Arial" w:eastAsia="Arial" w:hAnsi="Arial"/>
          <w:sz w:val="22"/>
          <w:szCs w:val="22"/>
        </w:rPr>
        <w:t xml:space="preserve">Published BDC data: Hercules Capital, TriplePoint, and Western Technology Investment all publish quarterly portfolio statistics. Use their watchlist and non-accrual rates to benchmark whether your MATs are calibrated appropriately.</w:t>
      </w:r>
    </w:p>
    <w:p>
      <w:pPr>
        <w:pStyle w:val="ListParagraph"/>
        <w:numPr>
          <w:ilvl w:val="0"/>
          <w:numId w:val="3"/>
        </w:numPr>
        <w:spacing w:after="80" w:line="300"/>
      </w:pPr>
      <w:r>
        <w:rPr>
          <w:rFonts w:ascii="Arial" w:cs="Arial" w:eastAsia="Arial" w:hAnsi="Arial"/>
          <w:sz w:val="22"/>
          <w:szCs w:val="22"/>
        </w:rPr>
        <w:t xml:space="preserve">Historical SVB data: Pete Scott’s 28 years at SVB Capital is a direct source of institutional memory. His input on what signals predicted defaults vs false alarms is invaluable for calibration.</w:t>
      </w:r>
    </w:p>
    <w:p>
      <w:pPr>
        <w:pStyle w:val="ListParagraph"/>
        <w:numPr>
          <w:ilvl w:val="0"/>
          <w:numId w:val="3"/>
        </w:numPr>
        <w:spacing w:after="80" w:line="300"/>
      </w:pPr>
      <w:r>
        <w:rPr>
          <w:rFonts w:ascii="Arial" w:cs="Arial" w:eastAsia="Arial" w:hAnsi="Arial"/>
          <w:sz w:val="22"/>
          <w:szCs w:val="22"/>
        </w:rPr>
        <w:t xml:space="preserve">Market loss rates: the historical venture debt loss rate of approximately 0.25% for top-tier lenders is the long-run average. In stress periods, losses can reach 3–5%. Calibrate ACT thresholds to fire before stress-period losses materialise.</w:t>
      </w:r>
    </w:p>
    <w:p>
      <w:pPr>
        <w:pStyle w:val="Heading2"/>
      </w:pPr>
      <w:r>
        <w:t xml:space="preserve">9.3 Annual Review Checklist</w:t>
      </w:r>
    </w:p>
    <w:p>
      <w:pPr>
        <w:pStyle w:val="ListParagraph"/>
        <w:numPr>
          <w:ilvl w:val="0"/>
          <w:numId w:val="2"/>
        </w:numPr>
        <w:spacing w:after="80" w:line="300"/>
      </w:pPr>
      <w:r>
        <w:rPr>
          <w:rFonts w:ascii="Arial" w:cs="Arial" w:eastAsia="Arial" w:hAnsi="Arial"/>
          <w:sz w:val="22"/>
          <w:szCs w:val="22"/>
        </w:rPr>
        <w:t xml:space="preserve">Are the absolute thresholds still appropriate given current market conditions (rate environment, VC activity, sector dynamics)?</w:t>
      </w:r>
    </w:p>
    <w:p>
      <w:pPr>
        <w:pStyle w:val="ListParagraph"/>
        <w:numPr>
          <w:ilvl w:val="0"/>
          <w:numId w:val="2"/>
        </w:numPr>
        <w:spacing w:after="80" w:line="300"/>
      </w:pPr>
      <w:r>
        <w:rPr>
          <w:rFonts w:ascii="Arial" w:cs="Arial" w:eastAsia="Arial" w:hAnsi="Arial"/>
          <w:sz w:val="22"/>
          <w:szCs w:val="22"/>
        </w:rPr>
        <w:t xml:space="preserve">Should any new MATs be added based on portfolio experience?</w:t>
      </w:r>
    </w:p>
    <w:p>
      <w:pPr>
        <w:pStyle w:val="ListParagraph"/>
        <w:numPr>
          <w:ilvl w:val="0"/>
          <w:numId w:val="2"/>
        </w:numPr>
        <w:spacing w:after="80" w:line="300"/>
      </w:pPr>
      <w:r>
        <w:rPr>
          <w:rFonts w:ascii="Arial" w:cs="Arial" w:eastAsia="Arial" w:hAnsi="Arial"/>
          <w:sz w:val="22"/>
          <w:szCs w:val="22"/>
        </w:rPr>
        <w:t xml:space="preserve">Should any MATs be retired or consolidated?</w:t>
      </w:r>
    </w:p>
    <w:p>
      <w:pPr>
        <w:pStyle w:val="ListParagraph"/>
        <w:numPr>
          <w:ilvl w:val="0"/>
          <w:numId w:val="2"/>
        </w:numPr>
        <w:spacing w:after="80" w:line="300"/>
      </w:pPr>
      <w:r>
        <w:rPr>
          <w:rFonts w:ascii="Arial" w:cs="Arial" w:eastAsia="Arial" w:hAnsi="Arial"/>
          <w:sz w:val="22"/>
          <w:szCs w:val="22"/>
        </w:rPr>
        <w:t xml:space="preserve">Is the severity calibration (WATCH vs ESCALATE vs ACT) appropriate? Are too many triggers landing at WATCH without progressing?</w:t>
      </w:r>
    </w:p>
    <w:p>
      <w:pPr>
        <w:pStyle w:val="ListParagraph"/>
        <w:numPr>
          <w:ilvl w:val="0"/>
          <w:numId w:val="2"/>
        </w:numPr>
        <w:spacing w:after="80" w:line="300"/>
      </w:pPr>
      <w:r>
        <w:rPr>
          <w:rFonts w:ascii="Arial" w:cs="Arial" w:eastAsia="Arial" w:hAnsi="Arial"/>
          <w:sz w:val="22"/>
          <w:szCs w:val="22"/>
        </w:rPr>
        <w:t xml:space="preserve">Is the response playbook being followed consistently? Are there gaps in execution?</w:t>
      </w:r>
    </w:p>
    <w:p>
      <w:pPr>
        <w:pStyle w:val="ListParagraph"/>
        <w:numPr>
          <w:ilvl w:val="0"/>
          <w:numId w:val="2"/>
        </w:numPr>
        <w:spacing w:after="80" w:line="300"/>
      </w:pPr>
      <w:r>
        <w:rPr>
          <w:rFonts w:ascii="Arial" w:cs="Arial" w:eastAsia="Arial" w:hAnsi="Arial"/>
          <w:sz w:val="22"/>
          <w:szCs w:val="22"/>
        </w:rPr>
        <w:t xml:space="preserve">Are the data feeds reliable? Any reporting gaps or delays that compromise MAT effectiveness?</w:t>
      </w:r>
    </w:p>
    <w:p>
      <w:r>
        <w:br w:type="page"/>
      </w:r>
    </w:p>
    <w:p>
      <w:pPr>
        <w:pStyle w:val="Heading1"/>
      </w:pPr>
      <w:r>
        <w:t xml:space="preserve">PART 10: MASTER MAT REGISTER — QUICK REFERENCE</w:t>
      </w:r>
    </w:p>
    <w:p>
      <w:pPr>
        <w:spacing w:after="160" w:line="300"/>
      </w:pPr>
      <w:r>
        <w:rPr>
          <w:rFonts w:ascii="Arial" w:cs="Arial" w:eastAsia="Arial" w:hAnsi="Arial"/>
          <w:sz w:val="22"/>
          <w:szCs w:val="22"/>
        </w:rPr>
        <w:t xml:space="preserve">The complete list of all MATs in this framework for operational reference. Post this in the portfolio monitoring room.</w:t>
      </w:r>
    </w:p>
    <w:p>
      <w:pPr>
        <w:pStyle w:val="Heading3"/>
      </w:pPr>
      <w:r>
        <w:t xml:space="preserve">Deal-Level Quantitative (DL-01 to DL-15)</w:t>
      </w:r>
    </w:p>
    <w:p>
      <w:pPr>
        <w:spacing w:after="160" w:line="300"/>
      </w:pPr>
      <w:r>
        <w:rPr>
          <w:rFonts w:ascii="Arial" w:cs="Arial" w:eastAsia="Arial" w:hAnsi="Arial"/>
          <w:sz w:val="22"/>
          <w:szCs w:val="22"/>
        </w:rPr>
        <w:t xml:space="preserve">DL-01 Runway erosion • DL-02 Burn acceleration • DL-03 Covenant headroom compression • DL-04 ARR deceleration • DL-05 NRR deterioration • DL-06 Gross margin erosion • DL-07 Burn multiple spike • DL-08 LTV creep • DL-09 Customer concentration • DL-10 Drawdown anomaly • DL-11 Equity raise delay • DL-12 Down round signal • DL-13 Bridge quality • DL-14 Additional debt • DL-15 Deposit balance decline</w:t>
      </w:r>
    </w:p>
    <w:p>
      <w:pPr>
        <w:pStyle w:val="Heading3"/>
      </w:pPr>
      <w:r>
        <w:t xml:space="preserve">Deal-Level Qualitative (DL-20 to DL-30)</w:t>
      </w:r>
    </w:p>
    <w:p>
      <w:pPr>
        <w:spacing w:after="160" w:line="300"/>
      </w:pPr>
      <w:r>
        <w:rPr>
          <w:rFonts w:ascii="Arial" w:cs="Arial" w:eastAsia="Arial" w:hAnsi="Arial"/>
          <w:sz w:val="22"/>
          <w:szCs w:val="22"/>
        </w:rPr>
        <w:t xml:space="preserve">DL-20 Management responsiveness • DL-21 C-suite departure • DL-22 Board engagement • DL-23 Auditor/legal change • DL-24 Employee signals • DL-25 Product/roadmap • DL-26 Competitive displacement • DL-27 Regulatory/legal event • DL-28 Negative media • DL-29 Related party transactions • DL-30 Strategic pivot</w:t>
      </w:r>
    </w:p>
    <w:p>
      <w:pPr>
        <w:pStyle w:val="Heading3"/>
      </w:pPr>
      <w:r>
        <w:t xml:space="preserve">Portfolio-Level (PL-01 to PL-10)</w:t>
      </w:r>
    </w:p>
    <w:p>
      <w:pPr>
        <w:spacing w:after="160" w:line="300"/>
      </w:pPr>
      <w:r>
        <w:rPr>
          <w:rFonts w:ascii="Arial" w:cs="Arial" w:eastAsia="Arial" w:hAnsi="Arial"/>
          <w:sz w:val="22"/>
          <w:szCs w:val="22"/>
        </w:rPr>
        <w:t xml:space="preserve">PL-01 Watchlist density • PL-02 Sector concentration • PL-03 VC investor concentration • PL-04 Stage tilt • PL-05 Correlated downgrades • PL-06 ECL budget utilisation • PL-07 Vintage clustering • PL-08 Portfolio-wide runway • PL-09 Covenant breach clustering • PL-10 Near-miss clustering</w:t>
      </w:r>
    </w:p>
    <w:p>
      <w:pPr>
        <w:pStyle w:val="Heading3"/>
      </w:pPr>
      <w:r>
        <w:t xml:space="preserve">Fund-Level (FL-01 to FL-07)</w:t>
      </w:r>
    </w:p>
    <w:p>
      <w:pPr>
        <w:spacing w:after="160" w:line="300"/>
      </w:pPr>
      <w:r>
        <w:rPr>
          <w:rFonts w:ascii="Arial" w:cs="Arial" w:eastAsia="Arial" w:hAnsi="Arial"/>
          <w:sz w:val="22"/>
          <w:szCs w:val="22"/>
        </w:rPr>
        <w:t xml:space="preserve">FL-01 Performance vs target • FL-02 Fund liquidity • FL-03 Deployment pace • FL-04 Maturity wall • FL-05 Origination dependency • FL-06 Co-lending friction • FL-07 LP sentiment</w:t>
      </w:r>
    </w:p>
    <w:p>
      <w:pPr>
        <w:pStyle w:val="Heading3"/>
      </w:pPr>
      <w:r>
        <w:t xml:space="preserve">Market-Level (ML-01 to ML-06)</w:t>
      </w:r>
    </w:p>
    <w:p>
      <w:pPr>
        <w:spacing w:after="160" w:line="300"/>
      </w:pPr>
      <w:r>
        <w:rPr>
          <w:rFonts w:ascii="Arial" w:cs="Arial" w:eastAsia="Arial" w:hAnsi="Arial"/>
          <w:sz w:val="22"/>
          <w:szCs w:val="22"/>
        </w:rPr>
        <w:t xml:space="preserve">ML-01 VC funding decline • ML-02 IPO window closure • ML-03 Credit market stress • ML-04 Sector shock • ML-05 Peer fund distress • ML-06 Systemic bank stress</w:t>
      </w:r>
    </w:p>
    <w:p>
      <w:pPr>
        <w:spacing w:after="100"/>
      </w:pPr>
    </w:p>
    <w:p>
      <w:pPr>
        <w:pBdr>
          <w:top w:val="single" w:color="2E75B6" w:sz="6" w:space="8"/>
        </w:pBdr>
        <w:spacing w:after="200" w:before="400"/>
      </w:pPr>
      <w:r>
        <w:rPr>
          <w:rFonts w:ascii="Arial" w:cs="Arial" w:eastAsia="Arial" w:hAnsi="Arial"/>
          <w:b/>
          <w:bCs/>
          <w:color w:val="1F4E79"/>
          <w:sz w:val="24"/>
          <w:szCs w:val="24"/>
        </w:rPr>
        <w:t xml:space="preserve">END OF DOCUMENT</w:t>
      </w:r>
    </w:p>
    <w:p>
      <w:pPr>
        <w:spacing w:after="160" w:line="300"/>
      </w:pPr>
      <w:r>
        <w:rPr>
          <w:rFonts w:ascii="Arial" w:cs="Arial" w:eastAsia="Arial" w:hAnsi="Arial"/>
          <w:i/>
          <w:iCs/>
          <w:color w:val="888888"/>
          <w:sz w:val="18"/>
          <w:szCs w:val="18"/>
        </w:rPr>
        <w:t xml:space="preserve">This framework is a living document. It must be recalibrated quarterly and fully reviewed annually. Thresholds are starting points, not permanent fixtures. The goal is not to predict the future but to detect the present early enough to 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HSBC AM — MAT Framework for Venture Debt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2026-04-13T03:50:14.149Z</dcterms:created>
  <dcterms:modified xsi:type="dcterms:W3CDTF">2026-04-13T03:50:14.150Z</dcterms:modified>
</cp:coreProperties>
</file>

<file path=docProps/custom.xml><?xml version="1.0" encoding="utf-8"?>
<Properties xmlns="http://schemas.openxmlformats.org/officeDocument/2006/custom-properties" xmlns:vt="http://schemas.openxmlformats.org/officeDocument/2006/docPropsVTypes"/>
</file>