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20"/>
        <w:jc w:val="center"/>
      </w:pPr>
      <w:r>
        <w:rPr>
          <w:rFonts w:ascii="Arial" w:cs="Arial" w:eastAsia="Arial" w:hAnsi="Arial"/>
          <w:b/>
          <w:bCs/>
          <w:color w:val="0a2540"/>
          <w:sz w:val="36"/>
          <w:szCs w:val="36"/>
        </w:rPr>
        <w:t xml:space="preserve">Subscription &amp; Services Agreement</w:t>
      </w:r>
    </w:p>
    <w:p>
      <w:pPr>
        <w:spacing w:after="60" w:before="0"/>
        <w:jc w:val="center"/>
      </w:pPr>
      <w:r>
        <w:rPr>
          <w:rFonts w:ascii="Arial" w:cs="Arial" w:eastAsia="Arial" w:hAnsi="Arial"/>
          <w:i/>
          <w:iCs/>
          <w:color w:val="7a94ac"/>
          <w:sz w:val="21"/>
          <w:szCs w:val="21"/>
        </w:rPr>
        <w:t xml:space="preserve">Effective Date: September 12, 2026</w:t>
      </w:r>
    </w:p>
    <w:p>
      <w:pPr>
        <w:spacing w:after="280" w:before="0"/>
        <w:jc w:val="center"/>
      </w:pPr>
      <w:r>
        <w:rPr>
          <w:rFonts w:ascii="Arial" w:cs="Arial" w:eastAsia="Arial" w:hAnsi="Arial"/>
          <w:i/>
          <w:iCs/>
          <w:color w:val="9aaabb"/>
          <w:sz w:val="19"/>
          <w:szCs w:val="19"/>
        </w:rPr>
        <w:t xml:space="preserve">Document Reference: KAI-SSA-2026-001</w:t>
      </w:r>
    </w:p>
    <w:p>
      <w:pPr>
        <w:pBdr>
          <w:bottom w:val="single" w:color="10b981" w:sz="8" w:space="2"/>
        </w:pBdr>
        <w:spacing w:after="360" w:before="0"/>
      </w:pPr>
    </w:p>
    <w:p>
      <w:pPr>
        <w:pBdr>
          <w:bottom w:val="single" w:color="10b981" w:sz="4" w:space="4"/>
        </w:pBdr>
        <w:spacing w:after="160" w:before="420"/>
      </w:pPr>
      <w:r>
        <w:rPr>
          <w:rFonts w:ascii="Arial" w:cs="Arial" w:eastAsia="Arial" w:hAnsi="Arial"/>
          <w:b/>
          <w:bCs/>
          <w:color w:val="0a2540"/>
          <w:sz w:val="28"/>
          <w:szCs w:val="28"/>
        </w:rPr>
        <w:t xml:space="preserve">HOW THIS AGREEMENT IS ACCEPTED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6"/>
              <w:left w:val="single" w:color="10b981" w:sz="18"/>
              <w:bottom w:val="single" w:color="10b981" w:sz="6"/>
              <w:right w:val="single" w:color="10b981" w:sz="6"/>
            </w:tcBorders>
            <w:shd w:fill="e8f7f2" w:color="e8f7f2" w:val="clear"/>
            <w:tcMar>
              <w:top w:type="dxa" w:w="120"/>
              <w:left w:type="dxa" w:w="200"/>
              <w:bottom w:type="dxa" w:w="120"/>
              <w:right w:type="dxa" w:w="200"/>
            </w:tcMar>
          </w:tcPr>
          <w:p>
            <w:pPr>
              <w:spacing w:after="60" w:before="60"/>
            </w:pPr>
            <w:r>
              <w:rPr>
                <w:rFonts w:ascii="Arial" w:cs="Arial" w:eastAsia="Arial" w:hAnsi="Arial"/>
                <w:b/>
                <w:bCs/>
                <w:color w:val="0a2540"/>
                <w:sz w:val="22"/>
                <w:szCs w:val="22"/>
              </w:rPr>
              <w:t xml:space="preserve">NO HANDWRITTEN OR ELECTRONIC SIGNATURE IS REQUIRED.</w:t>
            </w:r>
          </w:p>
          <w:p>
            <w:pPr>
              <w:spacing w:after="60" w:before="60"/>
            </w:pPr>
            <w:r>
              <w:rPr>
                <w:rFonts w:ascii="Arial" w:cs="Arial" w:eastAsia="Arial" w:hAnsi="Arial"/>
                <w:b w:val="false"/>
                <w:bCs w:val="false"/>
                <w:color w:val="0a2540"/>
                <w:sz w:val="21"/>
                <w:szCs w:val="21"/>
              </w:rPr>
              <w:t xml:space="preserve"/>
            </w:r>
          </w:p>
          <w:p>
            <w:pPr>
              <w:spacing w:after="60" w:before="60"/>
            </w:pPr>
            <w:r>
              <w:rPr>
                <w:rFonts w:ascii="Arial" w:cs="Arial" w:eastAsia="Arial" w:hAnsi="Arial"/>
                <w:b w:val="false"/>
                <w:bCs w:val="false"/>
                <w:color w:val="2a3a4a"/>
                <w:sz w:val="21"/>
                <w:szCs w:val="21"/>
              </w:rPr>
              <w:t xml:space="preserve">This Agreement becomes legally binding when Subscriber replies to the Karyva.AI proposal or order email with the word "Agreed" or "Confirmed" — or any email reply that clearly expresses acceptance of these terms.</w:t>
            </w:r>
          </w:p>
          <w:p>
            <w:pPr>
              <w:spacing w:after="60" w:before="60"/>
            </w:pPr>
            <w:r>
              <w:rPr>
                <w:rFonts w:ascii="Arial" w:cs="Arial" w:eastAsia="Arial" w:hAnsi="Arial"/>
                <w:b w:val="false"/>
                <w:bCs w:val="false"/>
                <w:color w:val="0a2540"/>
                <w:sz w:val="21"/>
                <w:szCs w:val="21"/>
              </w:rPr>
              <w:t xml:space="preserve"/>
            </w:r>
          </w:p>
          <w:p>
            <w:pPr>
              <w:spacing w:after="60" w:before="60"/>
            </w:pPr>
            <w:r>
              <w:rPr>
                <w:rFonts w:ascii="Arial" w:cs="Arial" w:eastAsia="Arial" w:hAnsi="Arial"/>
                <w:b w:val="false"/>
                <w:bCs w:val="false"/>
                <w:color w:val="3a5a6a"/>
                <w:sz w:val="20"/>
                <w:szCs w:val="20"/>
              </w:rPr>
              <w:t xml:space="preserve">Such reply constitutes a valid electronic signature under the E-SIGN Act (15 U.S.C. § 7001 et seq.) and California UETA (Cal. Com. Code § 1633.1 et seq.), legally equivalent to a handwritten signature.</w:t>
            </w:r>
          </w:p>
        </w:tc>
      </w:tr>
    </w:tbl>
    <w:p>
      <w:pPr>
        <w:spacing w:after="60" w:before="60"/>
      </w:pPr>
    </w:p>
    <w:p>
      <w:pPr>
        <w:spacing w:after="120" w:before="300"/>
      </w:pPr>
      <w:r>
        <w:rPr>
          <w:rFonts w:ascii="Arial" w:cs="Arial" w:eastAsia="Arial" w:hAnsi="Arial"/>
          <w:b/>
          <w:bCs/>
          <w:color w:val="1264a3"/>
          <w:sz w:val="24"/>
          <w:szCs w:val="24"/>
        </w:rPr>
        <w:t xml:space="preserve">Acceptance Process</w:t>
      </w:r>
    </w:p>
    <w:p>
      <w:pPr>
        <w:spacing w:after="100" w:before="80"/>
        <w:jc w:val="both"/>
      </w:pPr>
      <w:r>
        <w:rPr>
          <w:rFonts w:ascii="Arial" w:cs="Arial" w:eastAsia="Arial" w:hAnsi="Arial"/>
          <w:b w:val="false"/>
          <w:bCs w:val="false"/>
          <w:color w:val="2a3a4a"/>
          <w:sz w:val="21"/>
          <w:szCs w:val="21"/>
        </w:rPr>
        <w:t xml:space="preserve">1.  Provider sends this Agreement and Order details to Subscriber's designated email address.</w:t>
      </w:r>
    </w:p>
    <w:p>
      <w:pPr>
        <w:spacing w:after="100" w:before="80"/>
        <w:jc w:val="both"/>
      </w:pPr>
      <w:r>
        <w:rPr>
          <w:rFonts w:ascii="Arial" w:cs="Arial" w:eastAsia="Arial" w:hAnsi="Arial"/>
          <w:b w:val="false"/>
          <w:bCs w:val="false"/>
          <w:color w:val="2a3a4a"/>
          <w:sz w:val="21"/>
          <w:szCs w:val="21"/>
        </w:rPr>
        <w:t xml:space="preserve">2.  Subscriber reviews the Agreement in full.</w:t>
      </w:r>
    </w:p>
    <w:p>
      <w:pPr>
        <w:spacing w:after="100" w:before="80"/>
        <w:jc w:val="both"/>
      </w:pPr>
      <w:r>
        <w:rPr>
          <w:rFonts w:ascii="Arial" w:cs="Arial" w:eastAsia="Arial" w:hAnsi="Arial"/>
          <w:b w:val="false"/>
          <w:bCs w:val="false"/>
          <w:color w:val="2a3a4a"/>
          <w:sz w:val="21"/>
          <w:szCs w:val="21"/>
        </w:rPr>
        <w:t xml:space="preserve">3.  Subscriber replies with "Agreed", "Confirmed", or equivalent affirmative language.</w:t>
      </w:r>
    </w:p>
    <w:p>
      <w:pPr>
        <w:spacing w:after="100" w:before="80"/>
        <w:jc w:val="both"/>
      </w:pPr>
      <w:r>
        <w:rPr>
          <w:rFonts w:ascii="Arial" w:cs="Arial" w:eastAsia="Arial" w:hAnsi="Arial"/>
          <w:b w:val="false"/>
          <w:bCs w:val="false"/>
          <w:color w:val="2a3a4a"/>
          <w:sz w:val="21"/>
          <w:szCs w:val="21"/>
        </w:rPr>
        <w:t xml:space="preserve">4.  Provider sends a confirmation email — this serves as the binding executed copy of the Agreement.</w:t>
      </w:r>
    </w:p>
    <w:p>
      <w:pPr>
        <w:spacing w:after="100" w:before="80"/>
        <w:jc w:val="both"/>
      </w:pPr>
      <w:r>
        <w:rPr>
          <w:rFonts w:ascii="Arial" w:cs="Arial" w:eastAsia="Arial" w:hAnsi="Arial"/>
          <w:b w:val="false"/>
          <w:bCs w:val="false"/>
          <w:color w:val="2a3a4a"/>
          <w:sz w:val="21"/>
          <w:szCs w:val="21"/>
        </w:rPr>
        <w:t xml:space="preserve">5.  Provider's email records (timestamps, sender addresses, content) are the official record of contract formation, admissible as evidence of Subscriber's intent to be bound.</w:t>
      </w:r>
    </w:p>
    <w:p>
      <w:pPr>
        <w:spacing w:after="60" w:before="60"/>
      </w:pPr>
    </w:p>
    <w:p>
      <w:pPr>
        <w:spacing w:after="120" w:before="300"/>
      </w:pPr>
      <w:r>
        <w:rPr>
          <w:rFonts w:ascii="Arial" w:cs="Arial" w:eastAsia="Arial" w:hAnsi="Arial"/>
          <w:b/>
          <w:bCs/>
          <w:color w:val="1264a3"/>
          <w:sz w:val="24"/>
          <w:szCs w:val="24"/>
        </w:rPr>
        <w:t xml:space="preserve">Authorized Acceptor</w:t>
      </w:r>
    </w:p>
    <w:p>
      <w:pPr>
        <w:spacing w:after="100" w:before="80"/>
        <w:jc w:val="both"/>
      </w:pPr>
      <w:r>
        <w:rPr>
          <w:rFonts w:ascii="Arial" w:cs="Arial" w:eastAsia="Arial" w:hAnsi="Arial"/>
          <w:b w:val="false"/>
          <w:bCs w:val="false"/>
          <w:color w:val="2a3a4a"/>
          <w:sz w:val="21"/>
          <w:szCs w:val="21"/>
        </w:rPr>
        <w:t xml:space="preserve">The individual sending the acceptance email represents and warrants they have authority to bind Subscriber. If not, Subscriber remains bound under principles of apparent authority and ratification.</w:t>
      </w:r>
    </w:p>
    <w:p>
      <w:pPr>
        <w:spacing w:after="60" w:before="60"/>
      </w:pPr>
    </w:p>
    <w:p>
      <w:pPr>
        <w:spacing w:after="120" w:before="300"/>
      </w:pPr>
      <w:r>
        <w:rPr>
          <w:rFonts w:ascii="Arial" w:cs="Arial" w:eastAsia="Arial" w:hAnsi="Arial"/>
          <w:b/>
          <w:bCs/>
          <w:color w:val="1264a3"/>
          <w:sz w:val="24"/>
          <w:szCs w:val="24"/>
        </w:rPr>
        <w:t xml:space="preserve">Example Acceptance Email</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264a3" w:sz="4"/>
              <w:left w:val="single" w:color="1264a3" w:sz="12"/>
              <w:bottom w:val="single" w:color="1264a3" w:sz="4"/>
              <w:right w:val="single" w:color="1264a3" w:sz="4"/>
            </w:tcBorders>
            <w:shd w:fill="f0f4fa" w:color="f0f4fa" w:val="clear"/>
            <w:tcMar>
              <w:top w:type="dxa" w:w="120"/>
              <w:left w:type="dxa" w:w="200"/>
              <w:bottom w:type="dxa" w:w="120"/>
              <w:right w:type="dxa" w:w="200"/>
            </w:tcMar>
          </w:tcPr>
          <w:p>
            <w:pPr>
              <w:spacing w:after="40" w:before="40"/>
            </w:pPr>
            <w:r>
              <w:rPr>
                <w:rFonts w:ascii="Courier New" w:cs="Courier New" w:eastAsia="Courier New" w:hAnsi="Courier New"/>
                <w:b w:val="false"/>
                <w:bCs w:val="false"/>
                <w:i w:val="false"/>
                <w:iCs w:val="false"/>
                <w:color w:val="2a3a4a"/>
                <w:sz w:val="20"/>
                <w:szCs w:val="20"/>
              </w:rPr>
              <w:t xml:space="preserve">From:    [Subscriber Authorized Representative]</w:t>
            </w:r>
          </w:p>
          <w:p>
            <w:pPr>
              <w:spacing w:after="40" w:before="40"/>
            </w:pPr>
            <w:r>
              <w:rPr>
                <w:rFonts w:ascii="Courier New" w:cs="Courier New" w:eastAsia="Courier New" w:hAnsi="Courier New"/>
                <w:b w:val="false"/>
                <w:bCs w:val="false"/>
                <w:i w:val="false"/>
                <w:iCs w:val="false"/>
                <w:color w:val="2a3a4a"/>
                <w:sz w:val="20"/>
                <w:szCs w:val="20"/>
              </w:rPr>
              <w:t xml:space="preserve">To:      agreements@karyva.ai</w:t>
            </w:r>
          </w:p>
          <w:p>
            <w:pPr>
              <w:spacing w:after="40" w:before="40"/>
            </w:pPr>
            <w:r>
              <w:rPr>
                <w:rFonts w:ascii="Courier New" w:cs="Courier New" w:eastAsia="Courier New" w:hAnsi="Courier New"/>
                <w:b w:val="false"/>
                <w:bCs w:val="false"/>
                <w:i w:val="false"/>
                <w:iCs w:val="false"/>
                <w:color w:val="2a3a4a"/>
                <w:sz w:val="20"/>
                <w:szCs w:val="20"/>
              </w:rPr>
              <w:t xml:space="preserve">Subject: RE: Karyva.AI Subscription Agreement — {{company}}</w:t>
            </w:r>
          </w:p>
          <w:p>
            <w:pPr>
              <w:spacing w:after="40" w:before="40"/>
            </w:pPr>
            <w:r>
              <w:rPr>
                <w:rFonts w:ascii="Courier New" w:cs="Courier New" w:eastAsia="Courier New" w:hAnsi="Courier New"/>
                <w:b w:val="false"/>
                <w:bCs w:val="false"/>
                <w:i w:val="false"/>
                <w:iCs w:val="false"/>
                <w:color w:val="2a3a4a"/>
                <w:sz w:val="20"/>
                <w:szCs w:val="20"/>
              </w:rPr>
              <w:t xml:space="preserve"/>
            </w:r>
          </w:p>
          <w:p>
            <w:pPr>
              <w:spacing w:after="40" w:before="40"/>
            </w:pPr>
            <w:r>
              <w:rPr>
                <w:rFonts w:ascii="Courier New" w:cs="Courier New" w:eastAsia="Courier New" w:hAnsi="Courier New"/>
                <w:b/>
                <w:bCs/>
                <w:i w:val="false"/>
                <w:iCs w:val="false"/>
                <w:color w:val="059669"/>
                <w:sz w:val="20"/>
                <w:szCs w:val="20"/>
              </w:rPr>
              <w:t xml:space="preserve">Agreed.</w:t>
            </w:r>
          </w:p>
          <w:p>
            <w:pPr>
              <w:spacing w:after="40" w:before="40"/>
            </w:pPr>
            <w:r>
              <w:rPr>
                <w:rFonts w:ascii="Courier New" w:cs="Courier New" w:eastAsia="Courier New" w:hAnsi="Courier New"/>
                <w:b w:val="false"/>
                <w:bCs w:val="false"/>
                <w:i w:val="false"/>
                <w:iCs w:val="false"/>
                <w:color w:val="2a3a4a"/>
                <w:sz w:val="20"/>
                <w:szCs w:val="20"/>
              </w:rPr>
              <w:t xml:space="preserve"/>
            </w:r>
          </w:p>
          <w:p>
            <w:pPr>
              <w:spacing w:after="40" w:before="40"/>
            </w:pPr>
            <w:r>
              <w:rPr>
                <w:rFonts w:ascii="Courier New" w:cs="Courier New" w:eastAsia="Courier New" w:hAnsi="Courier New"/>
                <w:b w:val="false"/>
                <w:bCs w:val="false"/>
                <w:i/>
                <w:iCs/>
                <w:color w:val="2a3a4a"/>
                <w:sz w:val="20"/>
                <w:szCs w:val="20"/>
              </w:rPr>
              <w:t xml:space="preserve">[Name], [Title]</w:t>
            </w:r>
          </w:p>
          <w:p>
            <w:pPr>
              <w:spacing w:after="40" w:before="40"/>
            </w:pPr>
            <w:r>
              <w:rPr>
                <w:rFonts w:ascii="Courier New" w:cs="Courier New" w:eastAsia="Courier New" w:hAnsi="Courier New"/>
                <w:b w:val="false"/>
                <w:bCs w:val="false"/>
                <w:i/>
                <w:iCs/>
                <w:color w:val="2a3a4a"/>
                <w:sz w:val="20"/>
                <w:szCs w:val="20"/>
              </w:rPr>
              <w:t xml:space="preserve">[Company Name]</w:t>
            </w:r>
          </w:p>
        </w:tc>
      </w:tr>
    </w:tbl>
    <w:p>
      <w:pPr>
        <w:spacing w:after="60" w:before="60"/>
      </w:pPr>
    </w:p>
    <w:p>
      <w:pPr>
        <w:spacing w:after="100" w:before="80"/>
        <w:jc w:val="both"/>
      </w:pPr>
      <w:r>
        <w:rPr>
          <w:rFonts w:ascii="Arial" w:cs="Arial" w:eastAsia="Arial" w:hAnsi="Arial"/>
          <w:b w:val="false"/>
          <w:bCs w:val="false"/>
          <w:color w:val="5a7a92"/>
          <w:sz w:val="21"/>
          <w:szCs w:val="21"/>
        </w:rPr>
        <w:t xml:space="preserve">Replies such as "Confirmed", "I accept", "We agree to the terms", or any reply reasonably communicating affirmative assent equally constitute binding acceptance.</w:t>
      </w:r>
    </w:p>
    <w:p>
      <w:pPr>
        <w:spacing w:after="60" w:before="60"/>
      </w:pPr>
    </w:p>
    <w:p>
      <w:pPr>
        <w:spacing w:after="120" w:before="300"/>
      </w:pPr>
      <w:r>
        <w:rPr>
          <w:rFonts w:ascii="Arial" w:cs="Arial" w:eastAsia="Arial" w:hAnsi="Arial"/>
          <w:b/>
          <w:bCs/>
          <w:color w:val="1264a3"/>
          <w:sz w:val="24"/>
          <w:szCs w:val="24"/>
        </w:rPr>
        <w:t xml:space="preserve">Record Retention</w:t>
      </w:r>
    </w:p>
    <w:p>
      <w:pPr>
        <w:spacing w:after="100" w:before="80"/>
        <w:jc w:val="both"/>
      </w:pPr>
      <w:r>
        <w:rPr>
          <w:rFonts w:ascii="Arial" w:cs="Arial" w:eastAsia="Arial" w:hAnsi="Arial"/>
          <w:b w:val="false"/>
          <w:bCs w:val="false"/>
          <w:color w:val="2a3a4a"/>
          <w:sz w:val="21"/>
          <w:szCs w:val="21"/>
        </w:rPr>
        <w:t xml:space="preserve">Provider retains a timestamped copy of the acceptance email thread for the Agreement term plus seven (7) years. Copies available on request at legal@karyva.ai.</w:t>
      </w:r>
    </w:p>
    <w:p>
      <w:pPr>
        <w:spacing w:after="60" w:before="60"/>
      </w:pPr>
    </w:p>
    <w:p>
      <w:pPr>
        <w:pBdr>
          <w:bottom w:val="single" w:color="e2eaf3" w:sz="3" w:space="2"/>
        </w:pBdr>
        <w:spacing w:after="200" w:before="200"/>
      </w:pPr>
    </w:p>
    <w:p>
      <w:pPr>
        <w:pBdr>
          <w:bottom w:val="single" w:color="10b981" w:sz="4" w:space="4"/>
        </w:pBdr>
        <w:spacing w:after="160" w:before="420"/>
      </w:pPr>
      <w:r>
        <w:rPr>
          <w:rFonts w:ascii="Arial" w:cs="Arial" w:eastAsia="Arial" w:hAnsi="Arial"/>
          <w:b/>
          <w:bCs/>
          <w:color w:val="0a2540"/>
          <w:sz w:val="28"/>
          <w:szCs w:val="28"/>
        </w:rPr>
        <w:t xml:space="preserve">PARTIES</w:t>
      </w:r>
    </w:p>
    <w:p>
      <w:pPr>
        <w:spacing w:after="100" w:before="80"/>
        <w:jc w:val="both"/>
      </w:pPr>
      <w:r>
        <w:rPr>
          <w:rFonts w:ascii="Arial" w:cs="Arial" w:eastAsia="Arial" w:hAnsi="Arial"/>
          <w:b w:val="false"/>
          <w:bCs w:val="false"/>
          <w:color w:val="2a3a4a"/>
          <w:sz w:val="21"/>
          <w:szCs w:val="21"/>
        </w:rPr>
        <w:t xml:space="preserve">This Agreement is entered into as of the date of Subscriber's email acceptance, by and between:</w:t>
      </w:r>
    </w:p>
    <w:p>
      <w:pPr>
        <w:spacing w:after="60" w:before="60"/>
      </w:pPr>
    </w:p>
    <w:p>
      <w:pPr>
        <w:spacing w:after="100" w:before="80"/>
        <w:jc w:val="both"/>
      </w:pPr>
      <w:r>
        <w:rPr>
          <w:rFonts w:ascii="Arial" w:cs="Arial" w:eastAsia="Arial" w:hAnsi="Arial"/>
          <w:b w:val="false"/>
          <w:bCs w:val="false"/>
          <w:color w:val="2a3a4a"/>
          <w:sz w:val="21"/>
          <w:szCs w:val="21"/>
        </w:rPr>
        <w:t xml:space="preserve">Karyva.AI, Inc., a corporation with its principal place of business in the San Francisco Bay Area, California ("Provider", "we", "us", or "our");</w:t>
      </w:r>
    </w:p>
    <w:p>
      <w:pPr>
        <w:spacing w:after="60" w:before="60"/>
      </w:pPr>
    </w:p>
    <w:p>
      <w:pPr>
        <w:spacing w:after="100" w:before="80"/>
        <w:jc w:val="both"/>
      </w:pPr>
      <w:r>
        <w:rPr>
          <w:rFonts w:ascii="Arial" w:cs="Arial" w:eastAsia="Arial" w:hAnsi="Arial"/>
          <w:b w:val="false"/>
          <w:bCs w:val="false"/>
          <w:color w:val="2a3a4a"/>
          <w:sz w:val="21"/>
          <w:szCs w:val="21"/>
        </w:rPr>
        <w:t xml:space="preserve">AND</w:t>
      </w:r>
    </w:p>
    <w:p>
      <w:pPr>
        <w:spacing w:after="60" w:before="60"/>
      </w:pPr>
    </w:p>
    <w:p>
      <w:pPr>
        <w:spacing w:after="100" w:before="80"/>
        <w:jc w:val="both"/>
      </w:pPr>
      <w:r>
        <w:rPr>
          <w:rFonts w:ascii="Arial" w:cs="Arial" w:eastAsia="Arial" w:hAnsi="Arial"/>
          <w:b w:val="false"/>
          <w:bCs w:val="false"/>
          <w:color w:val="2a3a4a"/>
          <w:sz w:val="21"/>
          <w:szCs w:val="21"/>
        </w:rPr>
        <w:t xml:space="preserve">The company, organization, or individual identified in the proposal or Order Form email to which Subscriber replied with acceptance ("Subscriber", "Client", "you", or "your").</w:t>
      </w:r>
    </w:p>
    <w:p>
      <w:pPr>
        <w:spacing w:after="60" w:before="60"/>
      </w:pPr>
    </w:p>
    <w:p>
      <w:pPr>
        <w:pBdr>
          <w:bottom w:val="single" w:color="10b981" w:sz="4" w:space="4"/>
        </w:pBdr>
        <w:spacing w:after="160" w:before="420"/>
      </w:pPr>
      <w:r>
        <w:rPr>
          <w:rFonts w:ascii="Arial" w:cs="Arial" w:eastAsia="Arial" w:hAnsi="Arial"/>
          <w:b/>
          <w:bCs/>
          <w:color w:val="0a2540"/>
          <w:sz w:val="28"/>
          <w:szCs w:val="28"/>
        </w:rPr>
        <w:t xml:space="preserve">CORE SUBSCRIPTION TERMS</w:t>
      </w:r>
    </w:p>
    <w:p>
      <w:pPr>
        <w:spacing w:after="60" w:before="60"/>
      </w:pPr>
    </w:p>
    <w:p>
      <w:pPr>
        <w:spacing w:after="120" w:before="100"/>
        <w:ind w:left="360" w:hanging="360"/>
        <w:jc w:val="both"/>
      </w:pPr>
      <w:r>
        <w:rPr>
          <w:rFonts w:ascii="Arial" w:cs="Arial" w:eastAsia="Arial" w:hAnsi="Arial"/>
          <w:b/>
          <w:bCs/>
          <w:color w:val="0a2540"/>
          <w:sz w:val="21"/>
          <w:szCs w:val="21"/>
        </w:rPr>
        <w:t xml:space="preserve">1.  </w:t>
      </w:r>
      <w:r>
        <w:rPr>
          <w:rFonts w:ascii="Arial" w:cs="Arial" w:eastAsia="Arial" w:hAnsi="Arial"/>
          <w:b/>
          <w:bCs/>
          <w:color w:val="0a2540"/>
          <w:sz w:val="21"/>
          <w:szCs w:val="21"/>
        </w:rPr>
        <w:t xml:space="preserve">Subscription.  </w:t>
      </w:r>
      <w:r>
        <w:rPr>
          <w:rFonts w:ascii="Arial" w:cs="Arial" w:eastAsia="Arial" w:hAnsi="Arial"/>
          <w:b w:val="false"/>
          <w:bCs w:val="false"/>
          <w:color w:val="7a94ac"/>
          <w:sz w:val="21"/>
          <w:szCs w:val="21"/>
        </w:rPr>
        <w:t xml:space="preserve">{{company}}</w:t>
      </w:r>
      <w:r>
        <w:rPr>
          <w:rFonts w:ascii="Arial" w:cs="Arial" w:eastAsia="Arial" w:hAnsi="Arial"/>
          <w:b w:val="false"/>
          <w:bCs w:val="false"/>
          <w:color w:val="2a3a4a"/>
          <w:sz w:val="21"/>
          <w:szCs w:val="21"/>
        </w:rPr>
        <w:t xml:space="preserve"> agrees to subscribe to </w:t>
      </w:r>
      <w:r>
        <w:rPr>
          <w:rFonts w:ascii="Arial" w:cs="Arial" w:eastAsia="Arial" w:hAnsi="Arial"/>
          <w:b/>
          <w:bCs/>
          <w:color w:val="1264a3"/>
          <w:sz w:val="21"/>
          <w:szCs w:val="21"/>
        </w:rPr>
        <w:t xml:space="preserve">Karyva.AI — {{product}} — {{plan}}</w:t>
      </w:r>
      <w:r>
        <w:rPr>
          <w:rFonts w:ascii="Arial" w:cs="Arial" w:eastAsia="Arial" w:hAnsi="Arial"/>
          <w:b w:val="false"/>
          <w:bCs w:val="false"/>
          <w:color w:val="2a3a4a"/>
          <w:sz w:val="21"/>
          <w:szCs w:val="21"/>
        </w:rPr>
        <w:t xml:space="preserve"> at </w:t>
      </w:r>
      <w:r>
        <w:rPr>
          <w:rFonts w:ascii="Arial" w:cs="Arial" w:eastAsia="Arial" w:hAnsi="Arial"/>
          <w:b/>
          <w:bCs/>
          <w:color w:val="059669"/>
          <w:sz w:val="21"/>
          <w:szCs w:val="21"/>
        </w:rPr>
        <w:t xml:space="preserve">{{price}}</w:t>
      </w:r>
      <w:r>
        <w:rPr>
          <w:rFonts w:ascii="Arial" w:cs="Arial" w:eastAsia="Arial" w:hAnsi="Arial"/>
          <w:b w:val="false"/>
          <w:bCs w:val="false"/>
          <w:color w:val="2a3a4a"/>
          <w:sz w:val="21"/>
          <w:szCs w:val="21"/>
        </w:rPr>
        <w:t xml:space="preserve">, billed </w:t>
      </w:r>
      <w:r>
        <w:rPr>
          <w:rFonts w:ascii="Arial" w:cs="Arial" w:eastAsia="Arial" w:hAnsi="Arial"/>
          <w:b/>
          <w:bCs/>
          <w:color w:val="059669"/>
          <w:sz w:val="21"/>
          <w:szCs w:val="21"/>
        </w:rPr>
        <w:t xml:space="preserve">{{cadence}}</w:t>
      </w:r>
      <w:r>
        <w:rPr>
          <w:rFonts w:ascii="Arial" w:cs="Arial" w:eastAsia="Arial" w:hAnsi="Arial"/>
          <w:b w:val="false"/>
          <w:bCs w:val="false"/>
          <w:color w:val="2a3a4a"/>
          <w:sz w:val="21"/>
          <w:szCs w:val="21"/>
        </w:rPr>
        <w:t xml:space="preserve">. Subscriber acknowledges the platform provides AI-powered back-office and operations automation covering finance, AP, reconciliation, vendor management, and workforce scheduling.</w:t>
      </w:r>
    </w:p>
    <w:p>
      <w:pPr>
        <w:spacing w:after="120" w:before="100"/>
        <w:ind w:left="360" w:hanging="360"/>
        <w:jc w:val="both"/>
      </w:pPr>
      <w:r>
        <w:rPr>
          <w:rFonts w:ascii="Arial" w:cs="Arial" w:eastAsia="Arial" w:hAnsi="Arial"/>
          <w:b/>
          <w:bCs/>
          <w:color w:val="0a2540"/>
          <w:sz w:val="21"/>
          <w:szCs w:val="21"/>
        </w:rPr>
        <w:t xml:space="preserve">2.  </w:t>
      </w:r>
      <w:r>
        <w:rPr>
          <w:rFonts w:ascii="Arial" w:cs="Arial" w:eastAsia="Arial" w:hAnsi="Arial"/>
          <w:b/>
          <w:bCs/>
          <w:color w:val="0a2540"/>
          <w:sz w:val="21"/>
          <w:szCs w:val="21"/>
        </w:rPr>
        <w:t xml:space="preserve">Payment.  </w:t>
      </w:r>
      <w:r>
        <w:rPr>
          <w:rFonts w:ascii="Arial" w:cs="Arial" w:eastAsia="Arial" w:hAnsi="Arial"/>
          <w:b w:val="false"/>
          <w:bCs w:val="false"/>
          <w:color w:val="2a3a4a"/>
          <w:sz w:val="21"/>
          <w:szCs w:val="21"/>
        </w:rPr>
        <w:t xml:space="preserve">Invoices due within </w:t>
      </w:r>
      <w:r>
        <w:rPr>
          <w:rFonts w:ascii="Arial" w:cs="Arial" w:eastAsia="Arial" w:hAnsi="Arial"/>
          <w:b/>
          <w:bCs/>
          <w:color w:val="2a3a4a"/>
          <w:sz w:val="21"/>
          <w:szCs w:val="21"/>
        </w:rPr>
        <w:t xml:space="preserve">14 days</w:t>
      </w:r>
      <w:r>
        <w:rPr>
          <w:rFonts w:ascii="Arial" w:cs="Arial" w:eastAsia="Arial" w:hAnsi="Arial"/>
          <w:b w:val="false"/>
          <w:bCs w:val="false"/>
          <w:color w:val="2a3a4a"/>
          <w:sz w:val="21"/>
          <w:szCs w:val="21"/>
        </w:rPr>
        <w:t xml:space="preserve"> of issuance. Late payments incur </w:t>
      </w:r>
      <w:r>
        <w:rPr>
          <w:rFonts w:ascii="Arial" w:cs="Arial" w:eastAsia="Arial" w:hAnsi="Arial"/>
          <w:b/>
          <w:bCs/>
          <w:color w:val="2a3a4a"/>
          <w:sz w:val="21"/>
          <w:szCs w:val="21"/>
        </w:rPr>
        <w:t xml:space="preserve">1.5% monthly fee</w:t>
      </w:r>
      <w:r>
        <w:rPr>
          <w:rFonts w:ascii="Arial" w:cs="Arial" w:eastAsia="Arial" w:hAnsi="Arial"/>
          <w:b w:val="false"/>
          <w:bCs w:val="false"/>
          <w:color w:val="2a3a4a"/>
          <w:sz w:val="21"/>
          <w:szCs w:val="21"/>
        </w:rPr>
        <w:t xml:space="preserve"> plus collection costs. Provider may suspend access after 30-day delinquency.</w:t>
      </w:r>
    </w:p>
    <w:p>
      <w:pPr>
        <w:spacing w:after="120" w:before="100"/>
        <w:ind w:left="360" w:hanging="360"/>
        <w:jc w:val="both"/>
      </w:pPr>
      <w:r>
        <w:rPr>
          <w:rFonts w:ascii="Arial" w:cs="Arial" w:eastAsia="Arial" w:hAnsi="Arial"/>
          <w:b/>
          <w:bCs/>
          <w:color w:val="0a2540"/>
          <w:sz w:val="21"/>
          <w:szCs w:val="21"/>
        </w:rPr>
        <w:t xml:space="preserve">3.  </w:t>
      </w:r>
      <w:r>
        <w:rPr>
          <w:rFonts w:ascii="Arial" w:cs="Arial" w:eastAsia="Arial" w:hAnsi="Arial"/>
          <w:b/>
          <w:bCs/>
          <w:color w:val="0a2540"/>
          <w:sz w:val="21"/>
          <w:szCs w:val="21"/>
        </w:rPr>
        <w:t xml:space="preserve">Term.  </w:t>
      </w:r>
      <w:r>
        <w:rPr>
          <w:rFonts w:ascii="Arial" w:cs="Arial" w:eastAsia="Arial" w:hAnsi="Arial"/>
          <w:b w:val="false"/>
          <w:bCs w:val="false"/>
          <w:color w:val="2a3a4a"/>
          <w:sz w:val="21"/>
          <w:szCs w:val="21"/>
        </w:rPr>
        <w:t xml:space="preserve">Commences on date of email acceptance and </w:t>
      </w:r>
      <w:r>
        <w:rPr>
          <w:rFonts w:ascii="Arial" w:cs="Arial" w:eastAsia="Arial" w:hAnsi="Arial"/>
          <w:b/>
          <w:bCs/>
          <w:color w:val="2a3a4a"/>
          <w:sz w:val="21"/>
          <w:szCs w:val="21"/>
        </w:rPr>
        <w:t xml:space="preserve">auto-renews</w:t>
      </w:r>
      <w:r>
        <w:rPr>
          <w:rFonts w:ascii="Arial" w:cs="Arial" w:eastAsia="Arial" w:hAnsi="Arial"/>
          <w:b w:val="false"/>
          <w:bCs w:val="false"/>
          <w:color w:val="2a3a4a"/>
          <w:sz w:val="21"/>
          <w:szCs w:val="21"/>
        </w:rPr>
        <w:t xml:space="preserve"> unless cancelled with </w:t>
      </w:r>
      <w:r>
        <w:rPr>
          <w:rFonts w:ascii="Arial" w:cs="Arial" w:eastAsia="Arial" w:hAnsi="Arial"/>
          <w:b/>
          <w:bCs/>
          <w:color w:val="2a3a4a"/>
          <w:sz w:val="21"/>
          <w:szCs w:val="21"/>
        </w:rPr>
        <w:t xml:space="preserve">30 days</w:t>
      </w:r>
      <w:r>
        <w:rPr>
          <w:rFonts w:ascii="Arial" w:cs="Arial" w:eastAsia="Arial" w:hAnsi="Arial"/>
          <w:b w:val="false"/>
          <w:bCs w:val="false"/>
          <w:color w:val="2a3a4a"/>
          <w:sz w:val="21"/>
          <w:szCs w:val="21"/>
        </w:rPr>
        <w:t xml:space="preserve"> written notice before term end.</w:t>
      </w:r>
    </w:p>
    <w:p>
      <w:pPr>
        <w:spacing w:after="120" w:before="100"/>
        <w:ind w:left="360" w:hanging="360"/>
        <w:jc w:val="both"/>
      </w:pPr>
      <w:r>
        <w:rPr>
          <w:rFonts w:ascii="Arial" w:cs="Arial" w:eastAsia="Arial" w:hAnsi="Arial"/>
          <w:b/>
          <w:bCs/>
          <w:color w:val="0a2540"/>
          <w:sz w:val="21"/>
          <w:szCs w:val="21"/>
        </w:rPr>
        <w:t xml:space="preserve">4.  </w:t>
      </w:r>
      <w:r>
        <w:rPr>
          <w:rFonts w:ascii="Arial" w:cs="Arial" w:eastAsia="Arial" w:hAnsi="Arial"/>
          <w:b/>
          <w:bCs/>
          <w:color w:val="0a2540"/>
          <w:sz w:val="21"/>
          <w:szCs w:val="21"/>
        </w:rPr>
        <w:t xml:space="preserve">Cancellation.  </w:t>
      </w:r>
      <w:r>
        <w:rPr>
          <w:rFonts w:ascii="Arial" w:cs="Arial" w:eastAsia="Arial" w:hAnsi="Arial"/>
          <w:b w:val="false"/>
          <w:bCs w:val="false"/>
          <w:color w:val="2a3a4a"/>
          <w:sz w:val="21"/>
          <w:szCs w:val="21"/>
        </w:rPr>
        <w:t xml:space="preserve">Either Party may terminate with </w:t>
      </w:r>
      <w:r>
        <w:rPr>
          <w:rFonts w:ascii="Arial" w:cs="Arial" w:eastAsia="Arial" w:hAnsi="Arial"/>
          <w:b/>
          <w:bCs/>
          <w:color w:val="2a3a4a"/>
          <w:sz w:val="21"/>
          <w:szCs w:val="21"/>
        </w:rPr>
        <w:t xml:space="preserve">30 days written notice</w:t>
      </w:r>
      <w:r>
        <w:rPr>
          <w:rFonts w:ascii="Arial" w:cs="Arial" w:eastAsia="Arial" w:hAnsi="Arial"/>
          <w:b w:val="false"/>
          <w:bCs w:val="false"/>
          <w:color w:val="2a3a4a"/>
          <w:sz w:val="21"/>
          <w:szCs w:val="21"/>
        </w:rPr>
        <w:t xml:space="preserve"> (email sufficient). No refunds for partial periods. Subscriber data accessible 30 days post-termination, then permanently deleted.</w:t>
      </w:r>
    </w:p>
    <w:p>
      <w:pPr>
        <w:spacing w:after="120" w:before="100"/>
        <w:ind w:left="360" w:hanging="360"/>
        <w:jc w:val="both"/>
      </w:pPr>
      <w:r>
        <w:rPr>
          <w:rFonts w:ascii="Arial" w:cs="Arial" w:eastAsia="Arial" w:hAnsi="Arial"/>
          <w:b/>
          <w:bCs/>
          <w:color w:val="0a2540"/>
          <w:sz w:val="21"/>
          <w:szCs w:val="21"/>
        </w:rPr>
        <w:t xml:space="preserve">5.  </w:t>
      </w:r>
      <w:r>
        <w:rPr>
          <w:rFonts w:ascii="Arial" w:cs="Arial" w:eastAsia="Arial" w:hAnsi="Arial"/>
          <w:b/>
          <w:bCs/>
          <w:color w:val="0a2540"/>
          <w:sz w:val="21"/>
          <w:szCs w:val="21"/>
        </w:rPr>
        <w:t xml:space="preserve">Confidentiality.  </w:t>
      </w:r>
      <w:r>
        <w:rPr>
          <w:rFonts w:ascii="Arial" w:cs="Arial" w:eastAsia="Arial" w:hAnsi="Arial"/>
          <w:b w:val="false"/>
          <w:bCs w:val="false"/>
          <w:color w:val="2a3a4a"/>
          <w:sz w:val="21"/>
          <w:szCs w:val="21"/>
        </w:rPr>
        <w:t xml:space="preserve">Both Parties keep Agreement terms and pricing confidential. Survives termination for </w:t>
      </w:r>
      <w:r>
        <w:rPr>
          <w:rFonts w:ascii="Arial" w:cs="Arial" w:eastAsia="Arial" w:hAnsi="Arial"/>
          <w:b/>
          <w:bCs/>
          <w:color w:val="2a3a4a"/>
          <w:sz w:val="21"/>
          <w:szCs w:val="21"/>
        </w:rPr>
        <w:t xml:space="preserve">three (3) years</w:t>
      </w:r>
      <w:r>
        <w:rPr>
          <w:rFonts w:ascii="Arial" w:cs="Arial" w:eastAsia="Arial" w:hAnsi="Arial"/>
          <w:b w:val="false"/>
          <w:bCs w:val="false"/>
          <w:color w:val="2a3a4a"/>
          <w:sz w:val="21"/>
          <w:szCs w:val="21"/>
        </w:rPr>
        <w:t xml:space="preserve">.</w:t>
      </w:r>
    </w:p>
    <w:p>
      <w:pPr>
        <w:spacing w:after="120" w:before="100"/>
        <w:ind w:left="360" w:hanging="360"/>
        <w:jc w:val="both"/>
      </w:pPr>
      <w:r>
        <w:rPr>
          <w:rFonts w:ascii="Arial" w:cs="Arial" w:eastAsia="Arial" w:hAnsi="Arial"/>
          <w:b/>
          <w:bCs/>
          <w:color w:val="0a2540"/>
          <w:sz w:val="21"/>
          <w:szCs w:val="21"/>
        </w:rPr>
        <w:t xml:space="preserve">6.  </w:t>
      </w:r>
      <w:r>
        <w:rPr>
          <w:rFonts w:ascii="Arial" w:cs="Arial" w:eastAsia="Arial" w:hAnsi="Arial"/>
          <w:b/>
          <w:bCs/>
          <w:color w:val="0a2540"/>
          <w:sz w:val="21"/>
          <w:szCs w:val="21"/>
        </w:rPr>
        <w:t xml:space="preserve">Governing Law.  </w:t>
      </w:r>
      <w:r>
        <w:rPr>
          <w:rFonts w:ascii="Arial" w:cs="Arial" w:eastAsia="Arial" w:hAnsi="Arial"/>
          <w:b w:val="false"/>
          <w:bCs w:val="false"/>
          <w:color w:val="2a3a4a"/>
          <w:sz w:val="21"/>
          <w:szCs w:val="21"/>
        </w:rPr>
        <w:t xml:space="preserve">Governed by laws of the </w:t>
      </w:r>
      <w:r>
        <w:rPr>
          <w:rFonts w:ascii="Arial" w:cs="Arial" w:eastAsia="Arial" w:hAnsi="Arial"/>
          <w:b/>
          <w:bCs/>
          <w:color w:val="2a3a4a"/>
          <w:sz w:val="21"/>
          <w:szCs w:val="21"/>
        </w:rPr>
        <w:t xml:space="preserve">State of California</w:t>
      </w:r>
      <w:r>
        <w:rPr>
          <w:rFonts w:ascii="Arial" w:cs="Arial" w:eastAsia="Arial" w:hAnsi="Arial"/>
          <w:b w:val="false"/>
          <w:bCs w:val="false"/>
          <w:color w:val="2a3a4a"/>
          <w:sz w:val="21"/>
          <w:szCs w:val="21"/>
        </w:rPr>
        <w:t xml:space="preserve">. Disputes resolved in Alameda County, CA or binding AAA arbitration at Provider's election.</w:t>
      </w:r>
    </w:p>
    <w:p>
      <w:pPr>
        <w:spacing w:after="60" w:before="60"/>
      </w:pPr>
    </w:p>
    <w:p>
      <w:pPr>
        <w:pBdr>
          <w:bottom w:val="single" w:color="e2eaf3" w:sz="3" w:space="2"/>
        </w:pBdr>
        <w:spacing w:after="200" w:before="200"/>
      </w:pPr>
    </w:p>
    <w:p>
      <w:pPr>
        <w:pBdr>
          <w:bottom w:val="single" w:color="10b981" w:sz="4" w:space="4"/>
        </w:pBdr>
        <w:spacing w:after="160" w:before="420"/>
      </w:pPr>
      <w:r>
        <w:rPr>
          <w:rFonts w:ascii="Arial" w:cs="Arial" w:eastAsia="Arial" w:hAnsi="Arial"/>
          <w:b/>
          <w:bCs/>
          <w:color w:val="0a2540"/>
          <w:sz w:val="28"/>
          <w:szCs w:val="28"/>
        </w:rPr>
        <w:t xml:space="preserve">A.  PLATFORM &amp; SERVICE DESCRIPTION</w:t>
      </w:r>
    </w:p>
    <w:p>
      <w:pPr>
        <w:spacing w:after="100" w:before="80"/>
        <w:jc w:val="both"/>
      </w:pPr>
      <w:r>
        <w:rPr>
          <w:rFonts w:ascii="Arial" w:cs="Arial" w:eastAsia="Arial" w:hAnsi="Arial"/>
          <w:b w:val="false"/>
          <w:bCs w:val="false"/>
          <w:color w:val="2a3a4a"/>
          <w:sz w:val="21"/>
          <w:szCs w:val="21"/>
        </w:rPr>
        <w:t xml:space="preserve">Karyva.AI is an AI-powered operations intelligence platform delivered as cloud-based SaaS. Products include RezFi, FreshFi, RevFi, and additional modules. Covered domains: Finance &amp; Accounting, Accounts Payable, Vendor Management, Workforce Scheduling, Reconciliation, and Day-to-Day Operations. Provider may add, modify, or discontinue features with reasonable advance notice.</w:t>
      </w:r>
    </w:p>
    <w:p>
      <w:pPr>
        <w:spacing w:after="60" w:before="60"/>
      </w:pPr>
    </w:p>
    <w:p>
      <w:pPr>
        <w:pBdr>
          <w:bottom w:val="single" w:color="10b981" w:sz="4" w:space="4"/>
        </w:pBdr>
        <w:spacing w:after="160" w:before="420"/>
      </w:pPr>
      <w:r>
        <w:rPr>
          <w:rFonts w:ascii="Arial" w:cs="Arial" w:eastAsia="Arial" w:hAnsi="Arial"/>
          <w:b/>
          <w:bCs/>
          <w:color w:val="0a2540"/>
          <w:sz w:val="28"/>
          <w:szCs w:val="28"/>
        </w:rPr>
        <w:t xml:space="preserve">B.  AI SERVICES — SPECIFIC DISCLAIMERS &amp; LIMITATIONS</w:t>
      </w:r>
    </w:p>
    <w:p>
      <w:pPr>
        <w:spacing w:after="120" w:before="300"/>
      </w:pPr>
      <w:r>
        <w:rPr>
          <w:rFonts w:ascii="Arial" w:cs="Arial" w:eastAsia="Arial" w:hAnsi="Arial"/>
          <w:b/>
          <w:bCs/>
          <w:color w:val="1264a3"/>
          <w:sz w:val="24"/>
          <w:szCs w:val="24"/>
        </w:rPr>
        <w:t xml:space="preserve">B.1  Nature of AI Outputs</w:t>
      </w:r>
    </w:p>
    <w:p>
      <w:pPr>
        <w:spacing w:after="100" w:before="80"/>
        <w:jc w:val="both"/>
      </w:pPr>
      <w:r>
        <w:rPr>
          <w:rFonts w:ascii="Arial" w:cs="Arial" w:eastAsia="Arial" w:hAnsi="Arial"/>
          <w:b w:val="false"/>
          <w:bCs w:val="false"/>
          <w:color w:val="2a3a4a"/>
          <w:sz w:val="21"/>
          <w:szCs w:val="21"/>
        </w:rPr>
        <w:t xml:space="preserve">(a)  AI-generated outputs are probabilistic and may contain errors, omissions, or inaccuracies.</w:t>
      </w:r>
    </w:p>
    <w:p>
      <w:pPr>
        <w:spacing w:after="100" w:before="80"/>
        <w:jc w:val="both"/>
      </w:pPr>
      <w:r>
        <w:rPr>
          <w:rFonts w:ascii="Arial" w:cs="Arial" w:eastAsia="Arial" w:hAnsi="Arial"/>
          <w:b w:val="false"/>
          <w:bCs w:val="false"/>
          <w:color w:val="2a3a4a"/>
          <w:sz w:val="21"/>
          <w:szCs w:val="21"/>
        </w:rPr>
        <w:t xml:space="preserve">(b)  No AI output constitutes professional financial, legal, tax, accounting, or regulatory advice.</w:t>
      </w:r>
    </w:p>
    <w:p>
      <w:pPr>
        <w:spacing w:after="100" w:before="80"/>
        <w:jc w:val="both"/>
      </w:pPr>
      <w:r>
        <w:rPr>
          <w:rFonts w:ascii="Arial" w:cs="Arial" w:eastAsia="Arial" w:hAnsi="Arial"/>
          <w:b w:val="false"/>
          <w:bCs w:val="false"/>
          <w:color w:val="2a3a4a"/>
          <w:sz w:val="21"/>
          <w:szCs w:val="21"/>
        </w:rPr>
        <w:t xml:space="preserve">(c)  Provider does not warrant AI outputs will be free from bias, hallucination, or error.</w:t>
      </w:r>
    </w:p>
    <w:p>
      <w:pPr>
        <w:spacing w:after="100" w:before="80"/>
        <w:jc w:val="both"/>
      </w:pPr>
      <w:r>
        <w:rPr>
          <w:rFonts w:ascii="Arial" w:cs="Arial" w:eastAsia="Arial" w:hAnsi="Arial"/>
          <w:b w:val="false"/>
          <w:bCs w:val="false"/>
          <w:color w:val="2a3a4a"/>
          <w:sz w:val="21"/>
          <w:szCs w:val="21"/>
        </w:rPr>
        <w:t xml:space="preserve">(d)  The platform is a decision-support tool. Subscriber must maintain competent staff to review all outputs before acting.</w:t>
      </w:r>
    </w:p>
    <w:p>
      <w:pPr>
        <w:spacing w:after="60" w:before="60"/>
      </w:pPr>
    </w:p>
    <w:p>
      <w:pPr>
        <w:spacing w:after="120" w:before="300"/>
      </w:pPr>
      <w:r>
        <w:rPr>
          <w:rFonts w:ascii="Arial" w:cs="Arial" w:eastAsia="Arial" w:hAnsi="Arial"/>
          <w:b/>
          <w:bCs/>
          <w:color w:val="1264a3"/>
          <w:sz w:val="24"/>
          <w:szCs w:val="24"/>
        </w:rPr>
        <w:t xml:space="preserve">B.2  No Fiduciary or Professional Duty</w:t>
      </w:r>
    </w:p>
    <w:p>
      <w:pPr>
        <w:spacing w:after="100" w:before="80"/>
        <w:jc w:val="both"/>
      </w:pPr>
      <w:r>
        <w:rPr>
          <w:rFonts w:ascii="Arial" w:cs="Arial" w:eastAsia="Arial" w:hAnsi="Arial"/>
          <w:b w:val="false"/>
          <w:bCs w:val="false"/>
          <w:color w:val="2a3a4a"/>
          <w:sz w:val="21"/>
          <w:szCs w:val="21"/>
        </w:rPr>
        <w:t xml:space="preserve">Provider is a technology platform provider only. Nothing herein creates any fiduciary duty, accountant-client, attorney-client, or financial advisor relationship. Provider shall not be liable for any financial loss, regulatory penalty, audit finding, tax liability, or legal consequence arising from Subscriber's reliance on platform outputs.</w:t>
      </w:r>
    </w:p>
    <w:p>
      <w:pPr>
        <w:spacing w:after="60" w:before="60"/>
      </w:pPr>
    </w:p>
    <w:p>
      <w:pPr>
        <w:spacing w:after="120" w:before="300"/>
      </w:pPr>
      <w:r>
        <w:rPr>
          <w:rFonts w:ascii="Arial" w:cs="Arial" w:eastAsia="Arial" w:hAnsi="Arial"/>
          <w:b/>
          <w:bCs/>
          <w:color w:val="1264a3"/>
          <w:sz w:val="24"/>
          <w:szCs w:val="24"/>
        </w:rPr>
        <w:t xml:space="preserve">B.3  Regulatory Compliance — Subscriber Responsibility</w:t>
      </w:r>
    </w:p>
    <w:p>
      <w:pPr>
        <w:spacing w:after="100" w:before="80"/>
        <w:jc w:val="both"/>
      </w:pPr>
      <w:r>
        <w:rPr>
          <w:rFonts w:ascii="Arial" w:cs="Arial" w:eastAsia="Arial" w:hAnsi="Arial"/>
          <w:b w:val="false"/>
          <w:bCs w:val="false"/>
          <w:color w:val="2a3a4a"/>
          <w:sz w:val="21"/>
          <w:szCs w:val="21"/>
        </w:rPr>
        <w:t xml:space="preserve">Subscriber is solely responsible for compliance with GAAP, IFRS, SOX, PCI-DSS, HIPAA, GDPR, CCPA, and all applicable labor laws. Provider shall not be liable for any regulatory violations, fines, or sanctions arising from Subscriber's use of the platform.</w:t>
      </w:r>
    </w:p>
    <w:p>
      <w:pPr>
        <w:spacing w:after="60" w:before="60"/>
      </w:pPr>
    </w:p>
    <w:p>
      <w:pPr>
        <w:spacing w:after="120" w:before="300"/>
      </w:pPr>
      <w:r>
        <w:rPr>
          <w:rFonts w:ascii="Arial" w:cs="Arial" w:eastAsia="Arial" w:hAnsi="Arial"/>
          <w:b/>
          <w:bCs/>
          <w:color w:val="1264a3"/>
          <w:sz w:val="24"/>
          <w:szCs w:val="24"/>
        </w:rPr>
        <w:t xml:space="preserve">B.4  Data Quality — Subscriber Responsibility</w:t>
      </w:r>
    </w:p>
    <w:p>
      <w:pPr>
        <w:spacing w:after="100" w:before="80"/>
        <w:jc w:val="both"/>
      </w:pPr>
      <w:r>
        <w:rPr>
          <w:rFonts w:ascii="Arial" w:cs="Arial" w:eastAsia="Arial" w:hAnsi="Arial"/>
          <w:b w:val="false"/>
          <w:bCs w:val="false"/>
          <w:color w:val="2a3a4a"/>
          <w:sz w:val="21"/>
          <w:szCs w:val="21"/>
        </w:rPr>
        <w:t xml:space="preserve">AI output accuracy depends on data quality. Subscriber warrants all submitted data is accurate, complete, and lawfully obtained. Provider is not liable for output errors caused by Subscriber data issues.</w:t>
      </w:r>
    </w:p>
    <w:p>
      <w:pPr>
        <w:spacing w:after="60" w:before="60"/>
      </w:pPr>
    </w:p>
    <w:p>
      <w:pPr>
        <w:pBdr>
          <w:bottom w:val="single" w:color="10b981" w:sz="4" w:space="4"/>
        </w:pBdr>
        <w:spacing w:after="160" w:before="420"/>
      </w:pPr>
      <w:r>
        <w:rPr>
          <w:rFonts w:ascii="Arial" w:cs="Arial" w:eastAsia="Arial" w:hAnsi="Arial"/>
          <w:b/>
          <w:bCs/>
          <w:color w:val="0a2540"/>
          <w:sz w:val="28"/>
          <w:szCs w:val="28"/>
        </w:rPr>
        <w:t xml:space="preserve">C.  LIABILITY LIMITATIONS &amp; INDEMNIFICATION</w:t>
      </w:r>
    </w:p>
    <w:p>
      <w:pPr>
        <w:spacing w:after="120" w:before="300"/>
      </w:pPr>
      <w:r>
        <w:rPr>
          <w:rFonts w:ascii="Arial" w:cs="Arial" w:eastAsia="Arial" w:hAnsi="Arial"/>
          <w:b/>
          <w:bCs/>
          <w:color w:val="1264a3"/>
          <w:sz w:val="24"/>
          <w:szCs w:val="24"/>
        </w:rPr>
        <w:t xml:space="preserve">C.1  Disclaimer of Warranties</w:t>
      </w:r>
    </w:p>
    <w:p>
      <w:pPr>
        <w:spacing w:after="100" w:before="80"/>
        <w:jc w:val="both"/>
      </w:pPr>
      <w:r>
        <w:rPr>
          <w:rFonts w:ascii="Arial" w:cs="Arial" w:eastAsia="Arial" w:hAnsi="Arial"/>
          <w:b w:val="false"/>
          <w:bCs w:val="false"/>
          <w:color w:val="2a3a4a"/>
          <w:sz w:val="21"/>
          <w:szCs w:val="21"/>
        </w:rPr>
        <w:t xml:space="preserve">THE PLATFORM IS PROVIDED "AS IS" AND "AS AVAILABLE" WITHOUT WARRANTIES OF ANY KIND — EXPRESS OR IMPLIED — INCLUDING MERCHANTABILITY, FITNESS FOR A PARTICULAR PURPOSE, NON-INFRINGEMENT, ACCURACY OF AI OUTPUTS, OR UNINTERRUPTED SERVICE.</w:t>
      </w:r>
    </w:p>
    <w:p>
      <w:pPr>
        <w:spacing w:after="60" w:before="60"/>
      </w:pPr>
    </w:p>
    <w:p>
      <w:pPr>
        <w:spacing w:after="120" w:before="300"/>
      </w:pPr>
      <w:r>
        <w:rPr>
          <w:rFonts w:ascii="Arial" w:cs="Arial" w:eastAsia="Arial" w:hAnsi="Arial"/>
          <w:b/>
          <w:bCs/>
          <w:color w:val="1264a3"/>
          <w:sz w:val="24"/>
          <w:szCs w:val="24"/>
        </w:rPr>
        <w:t xml:space="preserve">C.2  Liability Cap</w:t>
      </w:r>
    </w:p>
    <w:p>
      <w:pPr>
        <w:spacing w:after="100" w:before="80"/>
        <w:jc w:val="both"/>
      </w:pPr>
      <w:r>
        <w:rPr>
          <w:rFonts w:ascii="Arial" w:cs="Arial" w:eastAsia="Arial" w:hAnsi="Arial"/>
          <w:b w:val="false"/>
          <w:bCs w:val="false"/>
          <w:color w:val="2a3a4a"/>
          <w:sz w:val="21"/>
          <w:szCs w:val="21"/>
        </w:rPr>
        <w:t xml:space="preserve">PROVIDER'S TOTAL LIABILITY FOR ALL CLAIMS SHALL NOT EXCEED THE GREATER OF: (A) FEES PAID IN THE PRIOR 12 MONTHS; OR (B) USD $1,000. THIS CAP IS A MATERIAL TERM OF THIS AGREEMENT.</w:t>
      </w:r>
    </w:p>
    <w:p>
      <w:pPr>
        <w:spacing w:after="60" w:before="60"/>
      </w:pPr>
    </w:p>
    <w:p>
      <w:pPr>
        <w:spacing w:after="120" w:before="300"/>
      </w:pPr>
      <w:r>
        <w:rPr>
          <w:rFonts w:ascii="Arial" w:cs="Arial" w:eastAsia="Arial" w:hAnsi="Arial"/>
          <w:b/>
          <w:bCs/>
          <w:color w:val="1264a3"/>
          <w:sz w:val="24"/>
          <w:szCs w:val="24"/>
        </w:rPr>
        <w:t xml:space="preserve">C.3  Exclusion of Consequential Damages</w:t>
      </w:r>
    </w:p>
    <w:p>
      <w:pPr>
        <w:spacing w:after="100" w:before="80"/>
        <w:jc w:val="both"/>
      </w:pPr>
      <w:r>
        <w:rPr>
          <w:rFonts w:ascii="Arial" w:cs="Arial" w:eastAsia="Arial" w:hAnsi="Arial"/>
          <w:b w:val="false"/>
          <w:bCs w:val="false"/>
          <w:color w:val="2a3a4a"/>
          <w:sz w:val="21"/>
          <w:szCs w:val="21"/>
        </w:rPr>
        <w:t xml:space="preserve">IN NO EVENT SHALL PROVIDER BE LIABLE FOR INDIRECT, INCIDENTAL, CONSEQUENTIAL, OR PUNITIVE DAMAGES; LOSS OF PROFITS, REVENUE, DATA, OR GOODWILL; REGULATORY FINES; OR FINANCIAL LOSSES FROM AI OUTPUT RELIANCE — EVEN IF ADVISED OF SUCH POSSIBILITY.</w:t>
      </w:r>
    </w:p>
    <w:p>
      <w:pPr>
        <w:spacing w:after="60" w:before="60"/>
      </w:pPr>
    </w:p>
    <w:p>
      <w:pPr>
        <w:spacing w:after="120" w:before="300"/>
      </w:pPr>
      <w:r>
        <w:rPr>
          <w:rFonts w:ascii="Arial" w:cs="Arial" w:eastAsia="Arial" w:hAnsi="Arial"/>
          <w:b/>
          <w:bCs/>
          <w:color w:val="1264a3"/>
          <w:sz w:val="24"/>
          <w:szCs w:val="24"/>
        </w:rPr>
        <w:t xml:space="preserve">C.4  Subscriber Indemnification</w:t>
      </w:r>
    </w:p>
    <w:p>
      <w:pPr>
        <w:spacing w:after="100" w:before="80"/>
        <w:jc w:val="both"/>
      </w:pPr>
      <w:r>
        <w:rPr>
          <w:rFonts w:ascii="Arial" w:cs="Arial" w:eastAsia="Arial" w:hAnsi="Arial"/>
          <w:b w:val="false"/>
          <w:bCs w:val="false"/>
          <w:color w:val="2a3a4a"/>
          <w:sz w:val="21"/>
          <w:szCs w:val="21"/>
        </w:rPr>
        <w:t xml:space="preserve">Subscriber shall indemnify Provider from all claims arising from: (a) platform misuse or law violations; (b) decisions made from AI outputs; (c) regulatory non-compliance; (d) Subscriber data accuracy or legality; (e) misrepresentation of platform capabilities to third parties.</w:t>
      </w:r>
    </w:p>
    <w:p>
      <w:pPr>
        <w:spacing w:after="60" w:before="60"/>
      </w:pPr>
    </w:p>
    <w:p>
      <w:pPr>
        <w:spacing w:after="120" w:before="300"/>
      </w:pPr>
      <w:r>
        <w:rPr>
          <w:rFonts w:ascii="Arial" w:cs="Arial" w:eastAsia="Arial" w:hAnsi="Arial"/>
          <w:b/>
          <w:bCs/>
          <w:color w:val="1264a3"/>
          <w:sz w:val="24"/>
          <w:szCs w:val="24"/>
        </w:rPr>
        <w:t xml:space="preserve">C.5  Claims Period</w:t>
      </w:r>
    </w:p>
    <w:p>
      <w:pPr>
        <w:spacing w:after="100" w:before="80"/>
        <w:jc w:val="both"/>
      </w:pPr>
      <w:r>
        <w:rPr>
          <w:rFonts w:ascii="Arial" w:cs="Arial" w:eastAsia="Arial" w:hAnsi="Arial"/>
          <w:b w:val="false"/>
          <w:bCs w:val="false"/>
          <w:color w:val="2a3a4a"/>
          <w:sz w:val="21"/>
          <w:szCs w:val="21"/>
        </w:rPr>
        <w:t xml:space="preserve">No action may be brought more than two (2) years after the claiming Party knew or should have known of the cause of action.</w:t>
      </w:r>
    </w:p>
    <w:p>
      <w:pPr>
        <w:spacing w:after="60" w:before="60"/>
      </w:pPr>
    </w:p>
    <w:p>
      <w:pPr>
        <w:pBdr>
          <w:bottom w:val="single" w:color="10b981" w:sz="4" w:space="4"/>
        </w:pBdr>
        <w:spacing w:after="160" w:before="420"/>
      </w:pPr>
      <w:r>
        <w:rPr>
          <w:rFonts w:ascii="Arial" w:cs="Arial" w:eastAsia="Arial" w:hAnsi="Arial"/>
          <w:b/>
          <w:bCs/>
          <w:color w:val="0a2540"/>
          <w:sz w:val="28"/>
          <w:szCs w:val="28"/>
        </w:rPr>
        <w:t xml:space="preserve">D.  DATA PRIVACY &amp; SECURITY</w:t>
      </w:r>
    </w:p>
    <w:p>
      <w:pPr>
        <w:spacing w:after="100" w:before="80"/>
        <w:jc w:val="both"/>
      </w:pPr>
      <w:r>
        <w:rPr>
          <w:rFonts w:ascii="Arial" w:cs="Arial" w:eastAsia="Arial" w:hAnsi="Arial"/>
          <w:b w:val="false"/>
          <w:bCs w:val="false"/>
          <w:color w:val="2a3a4a"/>
          <w:sz w:val="21"/>
          <w:szCs w:val="21"/>
        </w:rPr>
        <w:t xml:space="preserve">Subscriber retains ownership of all Subscriber Data. Provider processes data solely to deliver services, does not sell data, and will not use it to train general AI models without explicit consent. Provider employs TLS 1.2+ encryption in transit, AES-256 at rest, and SOC 2 Type II aligned practices. Breach notification within 72 hours of discovery. Data deleted within 90 days of termination.</w:t>
      </w:r>
    </w:p>
    <w:p>
      <w:pPr>
        <w:spacing w:after="60" w:before="60"/>
      </w:pPr>
    </w:p>
    <w:p>
      <w:pPr>
        <w:pBdr>
          <w:bottom w:val="single" w:color="10b981" w:sz="4" w:space="4"/>
        </w:pBdr>
        <w:spacing w:after="160" w:before="420"/>
      </w:pPr>
      <w:r>
        <w:rPr>
          <w:rFonts w:ascii="Arial" w:cs="Arial" w:eastAsia="Arial" w:hAnsi="Arial"/>
          <w:b/>
          <w:bCs/>
          <w:color w:val="0a2540"/>
          <w:sz w:val="28"/>
          <w:szCs w:val="28"/>
        </w:rPr>
        <w:t xml:space="preserve">E.  INTELLECTUAL PROPERTY</w:t>
      </w:r>
    </w:p>
    <w:p>
      <w:pPr>
        <w:spacing w:after="100" w:before="80"/>
        <w:jc w:val="both"/>
      </w:pPr>
      <w:r>
        <w:rPr>
          <w:rFonts w:ascii="Arial" w:cs="Arial" w:eastAsia="Arial" w:hAnsi="Arial"/>
          <w:b w:val="false"/>
          <w:bCs w:val="false"/>
          <w:color w:val="2a3a4a"/>
          <w:sz w:val="21"/>
          <w:szCs w:val="21"/>
        </w:rPr>
        <w:t xml:space="preserve">Provider retains all rights to the Karyva.AI platform and all products (RezFi, FreshFi, RevFi, and others), AI models, and algorithms. Subscriber receives a limited, non-exclusive, non-transferable license for internal use during the Term. Subscriber may not reverse engineer, resell, or use the platform to develop a competing product.</w:t>
      </w:r>
    </w:p>
    <w:p>
      <w:pPr>
        <w:spacing w:after="60" w:before="60"/>
      </w:pPr>
    </w:p>
    <w:p>
      <w:pPr>
        <w:pBdr>
          <w:bottom w:val="single" w:color="10b981" w:sz="4" w:space="4"/>
        </w:pBdr>
        <w:spacing w:after="160" w:before="420"/>
      </w:pPr>
      <w:r>
        <w:rPr>
          <w:rFonts w:ascii="Arial" w:cs="Arial" w:eastAsia="Arial" w:hAnsi="Arial"/>
          <w:b/>
          <w:bCs/>
          <w:color w:val="0a2540"/>
          <w:sz w:val="28"/>
          <w:szCs w:val="28"/>
        </w:rPr>
        <w:t xml:space="preserve">F.  ACCEPTABLE USE</w:t>
      </w:r>
    </w:p>
    <w:p>
      <w:pPr>
        <w:spacing w:after="100" w:before="80"/>
        <w:jc w:val="both"/>
      </w:pPr>
      <w:r>
        <w:rPr>
          <w:rFonts w:ascii="Arial" w:cs="Arial" w:eastAsia="Arial" w:hAnsi="Arial"/>
          <w:b w:val="false"/>
          <w:bCs w:val="false"/>
          <w:color w:val="2a3a4a"/>
          <w:sz w:val="21"/>
          <w:szCs w:val="21"/>
        </w:rPr>
        <w:t xml:space="preserve">Subscriber shall not use the platform to: commit or facilitate fraud, money laundering, or financial crime; circumvent financial controls or regulatory reporting; misrepresent financial condition to investors or regulators using AI outputs; process data without legal authority; or transmit malicious code. Violation constitutes a material breach warranting immediate termination with no liability to Provider.</w:t>
      </w:r>
    </w:p>
    <w:p>
      <w:pPr>
        <w:spacing w:after="60" w:before="60"/>
      </w:pPr>
    </w:p>
    <w:p>
      <w:pPr>
        <w:pBdr>
          <w:bottom w:val="single" w:color="10b981" w:sz="4" w:space="4"/>
        </w:pBdr>
        <w:spacing w:after="160" w:before="420"/>
      </w:pPr>
      <w:r>
        <w:rPr>
          <w:rFonts w:ascii="Arial" w:cs="Arial" w:eastAsia="Arial" w:hAnsi="Arial"/>
          <w:b/>
          <w:bCs/>
          <w:color w:val="0a2540"/>
          <w:sz w:val="28"/>
          <w:szCs w:val="28"/>
        </w:rPr>
        <w:t xml:space="preserve">G.  SERVICE LEVELS</w:t>
      </w:r>
    </w:p>
    <w:p>
      <w:pPr>
        <w:spacing w:after="100" w:before="80"/>
        <w:jc w:val="both"/>
      </w:pPr>
      <w:r>
        <w:rPr>
          <w:rFonts w:ascii="Arial" w:cs="Arial" w:eastAsia="Arial" w:hAnsi="Arial"/>
          <w:b w:val="false"/>
          <w:bCs w:val="false"/>
          <w:color w:val="2a3a4a"/>
          <w:sz w:val="21"/>
          <w:szCs w:val="21"/>
        </w:rPr>
        <w:t xml:space="preserve">Provider targets 99.5% monthly uptime excluding scheduled maintenance, emergency maintenance, third-party infrastructure outages, and force majeure events. Service credits (if any) are Subscriber's sole remedy for downtime, not exceeding the pro-rated monthly fee for the affected period.</w:t>
      </w:r>
    </w:p>
    <w:p>
      <w:pPr>
        <w:spacing w:after="60" w:before="60"/>
      </w:pPr>
    </w:p>
    <w:p>
      <w:pPr>
        <w:pBdr>
          <w:bottom w:val="single" w:color="10b981" w:sz="4" w:space="4"/>
        </w:pBdr>
        <w:spacing w:after="160" w:before="420"/>
      </w:pPr>
      <w:r>
        <w:rPr>
          <w:rFonts w:ascii="Arial" w:cs="Arial" w:eastAsia="Arial" w:hAnsi="Arial"/>
          <w:b/>
          <w:bCs/>
          <w:color w:val="0a2540"/>
          <w:sz w:val="28"/>
          <w:szCs w:val="28"/>
        </w:rPr>
        <w:t xml:space="preserve">H.  FORCE MAJEURE</w:t>
      </w:r>
    </w:p>
    <w:p>
      <w:pPr>
        <w:spacing w:after="100" w:before="80"/>
        <w:jc w:val="both"/>
      </w:pPr>
      <w:r>
        <w:rPr>
          <w:rFonts w:ascii="Arial" w:cs="Arial" w:eastAsia="Arial" w:hAnsi="Arial"/>
          <w:b w:val="false"/>
          <w:bCs w:val="false"/>
          <w:color w:val="2a3a4a"/>
          <w:sz w:val="21"/>
          <w:szCs w:val="21"/>
        </w:rPr>
        <w:t xml:space="preserve">Neither Party is liable for delays caused by acts of God, pandemics, government actions, war, cyberattacks by third parties, internet outages, or other events beyond reasonable control. Affected Party must notify promptly and use commercially reasonable efforts to resume.</w:t>
      </w:r>
    </w:p>
    <w:p>
      <w:pPr>
        <w:spacing w:after="60" w:before="60"/>
      </w:pPr>
    </w:p>
    <w:p>
      <w:pPr>
        <w:pBdr>
          <w:bottom w:val="single" w:color="10b981" w:sz="4" w:space="4"/>
        </w:pBdr>
        <w:spacing w:after="160" w:before="420"/>
      </w:pPr>
      <w:r>
        <w:rPr>
          <w:rFonts w:ascii="Arial" w:cs="Arial" w:eastAsia="Arial" w:hAnsi="Arial"/>
          <w:b/>
          <w:bCs/>
          <w:color w:val="0a2540"/>
          <w:sz w:val="28"/>
          <w:szCs w:val="28"/>
        </w:rPr>
        <w:t xml:space="preserve">I.  DISPUTE RESOLUTION</w:t>
      </w:r>
    </w:p>
    <w:p>
      <w:pPr>
        <w:spacing w:after="100" w:before="80"/>
        <w:jc w:val="both"/>
      </w:pPr>
      <w:r>
        <w:rPr>
          <w:rFonts w:ascii="Arial" w:cs="Arial" w:eastAsia="Arial" w:hAnsi="Arial"/>
          <w:b w:val="false"/>
          <w:bCs w:val="false"/>
          <w:color w:val="2a3a4a"/>
          <w:sz w:val="21"/>
          <w:szCs w:val="21"/>
        </w:rPr>
        <w:t xml:space="preserve">Parties will negotiate in good faith for 30 days before formal proceedings. Unresolved disputes go to binding AAA arbitration in Alameda County, California. EACH PARTY WAIVES CLASS ACTION AND REPRESENTATIVE PROCEEDING RIGHTS. Either Party may seek emergency injunctive relief without waiving arbitration.</w:t>
      </w:r>
    </w:p>
    <w:p>
      <w:pPr>
        <w:spacing w:after="60" w:before="60"/>
      </w:pPr>
    </w:p>
    <w:p>
      <w:pPr>
        <w:pBdr>
          <w:bottom w:val="single" w:color="10b981" w:sz="4" w:space="4"/>
        </w:pBdr>
        <w:spacing w:after="160" w:before="420"/>
      </w:pPr>
      <w:r>
        <w:rPr>
          <w:rFonts w:ascii="Arial" w:cs="Arial" w:eastAsia="Arial" w:hAnsi="Arial"/>
          <w:b/>
          <w:bCs/>
          <w:color w:val="0a2540"/>
          <w:sz w:val="28"/>
          <w:szCs w:val="28"/>
        </w:rPr>
        <w:t xml:space="preserve">J.  GENERAL PROVISIONS</w:t>
      </w:r>
    </w:p>
    <w:p>
      <w:pPr>
        <w:spacing w:after="100" w:before="80"/>
        <w:jc w:val="both"/>
      </w:pPr>
      <w:r>
        <w:rPr>
          <w:rFonts w:ascii="Arial" w:cs="Arial" w:eastAsia="Arial" w:hAnsi="Arial"/>
          <w:b w:val="false"/>
          <w:bCs w:val="false"/>
          <w:color w:val="2a3a4a"/>
          <w:sz w:val="21"/>
          <w:szCs w:val="21"/>
        </w:rPr>
        <w:t xml:space="preserve">J.1  Entire Agreement — This Agreement and applicable Order Forms constitute the entire agreement between the Parties.</w:t>
      </w:r>
    </w:p>
    <w:p>
      <w:pPr>
        <w:spacing w:after="100" w:before="80"/>
        <w:jc w:val="both"/>
      </w:pPr>
      <w:r>
        <w:rPr>
          <w:rFonts w:ascii="Arial" w:cs="Arial" w:eastAsia="Arial" w:hAnsi="Arial"/>
          <w:b w:val="false"/>
          <w:bCs w:val="false"/>
          <w:color w:val="2a3a4a"/>
          <w:sz w:val="21"/>
          <w:szCs w:val="21"/>
        </w:rPr>
        <w:t xml:space="preserve">J.2  Amendments — Provider may amend with 30 days' notice; continued use constitutes acceptance.</w:t>
      </w:r>
    </w:p>
    <w:p>
      <w:pPr>
        <w:spacing w:after="100" w:before="80"/>
        <w:jc w:val="both"/>
      </w:pPr>
      <w:r>
        <w:rPr>
          <w:rFonts w:ascii="Arial" w:cs="Arial" w:eastAsia="Arial" w:hAnsi="Arial"/>
          <w:b w:val="false"/>
          <w:bCs w:val="false"/>
          <w:color w:val="2a3a4a"/>
          <w:sz w:val="21"/>
          <w:szCs w:val="21"/>
        </w:rPr>
        <w:t xml:space="preserve">J.3  Severability — Invalid provisions modified to minimum extent; remainder continues in force.</w:t>
      </w:r>
    </w:p>
    <w:p>
      <w:pPr>
        <w:spacing w:after="100" w:before="80"/>
        <w:jc w:val="both"/>
      </w:pPr>
      <w:r>
        <w:rPr>
          <w:rFonts w:ascii="Arial" w:cs="Arial" w:eastAsia="Arial" w:hAnsi="Arial"/>
          <w:b w:val="false"/>
          <w:bCs w:val="false"/>
          <w:color w:val="2a3a4a"/>
          <w:sz w:val="21"/>
          <w:szCs w:val="21"/>
        </w:rPr>
        <w:t xml:space="preserve">J.4  Waiver — No waiver effective unless in writing.</w:t>
      </w:r>
    </w:p>
    <w:p>
      <w:pPr>
        <w:spacing w:after="100" w:before="80"/>
        <w:jc w:val="both"/>
      </w:pPr>
      <w:r>
        <w:rPr>
          <w:rFonts w:ascii="Arial" w:cs="Arial" w:eastAsia="Arial" w:hAnsi="Arial"/>
          <w:b w:val="false"/>
          <w:bCs w:val="false"/>
          <w:color w:val="2a3a4a"/>
          <w:sz w:val="21"/>
          <w:szCs w:val="21"/>
        </w:rPr>
        <w:t xml:space="preserve">J.5  Assignment — Subscriber may not assign without Provider's written consent.</w:t>
      </w:r>
    </w:p>
    <w:p>
      <w:pPr>
        <w:spacing w:after="100" w:before="80"/>
        <w:jc w:val="both"/>
      </w:pPr>
      <w:r>
        <w:rPr>
          <w:rFonts w:ascii="Arial" w:cs="Arial" w:eastAsia="Arial" w:hAnsi="Arial"/>
          <w:b w:val="false"/>
          <w:bCs w:val="false"/>
          <w:color w:val="2a3a4a"/>
          <w:sz w:val="21"/>
          <w:szCs w:val="21"/>
        </w:rPr>
        <w:t xml:space="preserve">J.6  Notices — May be delivered by email with confirmed receipt.</w:t>
      </w:r>
    </w:p>
    <w:p>
      <w:pPr>
        <w:spacing w:after="100" w:before="80"/>
        <w:jc w:val="both"/>
      </w:pPr>
      <w:r>
        <w:rPr>
          <w:rFonts w:ascii="Arial" w:cs="Arial" w:eastAsia="Arial" w:hAnsi="Arial"/>
          <w:b w:val="false"/>
          <w:bCs w:val="false"/>
          <w:color w:val="2a3a4a"/>
          <w:sz w:val="21"/>
          <w:szCs w:val="21"/>
        </w:rPr>
        <w:t xml:space="preserve">J.7  Contact — legal@karyva.ai  |  karyva.ai</w:t>
      </w:r>
    </w:p>
    <w:p>
      <w:pPr>
        <w:spacing w:after="60" w:before="60"/>
      </w:pPr>
    </w:p>
    <w:p>
      <w:pPr>
        <w:pBdr>
          <w:bottom w:val="single" w:color="e2eaf3" w:sz="3" w:space="2"/>
        </w:pBdr>
        <w:spacing w:after="200" w:before="200"/>
      </w:pPr>
    </w:p>
    <w:p>
      <w:pPr>
        <w:spacing w:after="200" w:before="200"/>
        <w:jc w:val="center"/>
      </w:pPr>
      <w:r>
        <w:rPr>
          <w:rFonts w:ascii="Arial" w:cs="Arial" w:eastAsia="Arial" w:hAnsi="Arial"/>
          <w:b/>
          <w:bCs/>
          <w:color w:val="0a2540"/>
          <w:sz w:val="28"/>
          <w:szCs w:val="28"/>
        </w:rPr>
        <w:t xml:space="preserve">ACCEPTANCE BY EMAIL REPLY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6"/>
              <w:left w:val="single" w:color="10b981" w:sz="18"/>
              <w:bottom w:val="single" w:color="10b981" w:sz="6"/>
              <w:right w:val="single" w:color="10b981" w:sz="6"/>
            </w:tcBorders>
            <w:shd w:fill="e8f7f2" w:color="e8f7f2" w:val="clear"/>
            <w:tcMar>
              <w:top w:type="dxa" w:w="120"/>
              <w:left w:type="dxa" w:w="200"/>
              <w:bottom w:type="dxa" w:w="120"/>
              <w:right w:type="dxa" w:w="200"/>
            </w:tcMar>
          </w:tcPr>
          <w:p>
            <w:pPr>
              <w:spacing w:after="60" w:before="60"/>
            </w:pPr>
            <w:r>
              <w:rPr>
                <w:rFonts w:ascii="Arial" w:cs="Arial" w:eastAsia="Arial" w:hAnsi="Arial"/>
                <w:b w:val="false"/>
                <w:bCs w:val="false"/>
                <w:color w:val="2a3a4a"/>
                <w:sz w:val="21"/>
                <w:szCs w:val="21"/>
              </w:rPr>
              <w:t xml:space="preserve">To accept this Agreement, reply to this email with:</w:t>
            </w:r>
          </w:p>
          <w:p>
            <w:pPr>
              <w:spacing w:after="60" w:before="60"/>
            </w:pPr>
            <w:r>
              <w:rPr>
                <w:rFonts w:ascii="Arial" w:cs="Arial" w:eastAsia="Arial" w:hAnsi="Arial"/>
                <w:b w:val="false"/>
                <w:bCs w:val="false"/>
                <w:color w:val="0a2540"/>
                <w:sz w:val="21"/>
                <w:szCs w:val="21"/>
              </w:rPr>
              <w:t xml:space="preserve"/>
            </w:r>
          </w:p>
          <w:p>
            <w:pPr>
              <w:spacing w:after="60" w:before="60"/>
            </w:pPr>
            <w:r>
              <w:rPr>
                <w:rFonts w:ascii="Arial" w:cs="Arial" w:eastAsia="Arial" w:hAnsi="Arial"/>
                <w:b/>
                <w:bCs/>
                <w:color w:val="059669"/>
                <w:sz w:val="32"/>
                <w:szCs w:val="32"/>
              </w:rPr>
              <w:t xml:space="preserve">"Agreed"  or  "Confirmed"</w:t>
            </w:r>
          </w:p>
          <w:p>
            <w:pPr>
              <w:spacing w:after="60" w:before="60"/>
            </w:pPr>
            <w:r>
              <w:rPr>
                <w:rFonts w:ascii="Arial" w:cs="Arial" w:eastAsia="Arial" w:hAnsi="Arial"/>
                <w:b w:val="false"/>
                <w:bCs w:val="false"/>
                <w:color w:val="0a2540"/>
                <w:sz w:val="21"/>
                <w:szCs w:val="21"/>
              </w:rPr>
              <w:t xml:space="preserve"/>
            </w:r>
          </w:p>
          <w:p>
            <w:pPr>
              <w:spacing w:after="60" w:before="60"/>
            </w:pPr>
            <w:r>
              <w:rPr>
                <w:rFonts w:ascii="Arial" w:cs="Arial" w:eastAsia="Arial" w:hAnsi="Arial"/>
                <w:b w:val="false"/>
                <w:bCs w:val="false"/>
                <w:color w:val="3a5a6a"/>
                <w:sz w:val="20"/>
                <w:szCs w:val="20"/>
              </w:rPr>
              <w:t xml:space="preserve">Your reply constitutes a legally binding electronic signature under the E-SIGN Act and California UETA — with the same legal force as a handwritten signature.</w:t>
            </w:r>
          </w:p>
          <w:p>
            <w:pPr>
              <w:spacing w:after="60" w:before="60"/>
            </w:pPr>
            <w:r>
              <w:rPr>
                <w:rFonts w:ascii="Arial" w:cs="Arial" w:eastAsia="Arial" w:hAnsi="Arial"/>
                <w:b w:val="false"/>
                <w:bCs w:val="false"/>
                <w:color w:val="0a2540"/>
                <w:sz w:val="21"/>
                <w:szCs w:val="21"/>
              </w:rPr>
              <w:t xml:space="preserve"/>
            </w:r>
          </w:p>
          <w:p>
            <w:pPr>
              <w:spacing w:after="60" w:before="60"/>
            </w:pPr>
            <w:r>
              <w:rPr>
                <w:rFonts w:ascii="Arial" w:cs="Arial" w:eastAsia="Arial" w:hAnsi="Arial"/>
                <w:b w:val="false"/>
                <w:bCs w:val="false"/>
                <w:color w:val="3a5a6a"/>
                <w:sz w:val="20"/>
                <w:szCs w:val="20"/>
              </w:rPr>
              <w:t xml:space="preserve">By replying you confirm: (1) you have read this Agreement in full; (2) you have authority to bind Subscriber; and (3) you agree to all terms herein.</w:t>
            </w:r>
          </w:p>
        </w:tc>
      </w:tr>
    </w:tbl>
    <w:p>
      <w:pPr>
        <w:spacing w:after="60" w:before="60"/>
      </w:pP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0f4fa" w:color="f0f4fa" w:val="clear"/>
            <w:tcMar>
              <w:top w:type="dxa" w:w="80"/>
              <w:left w:type="dxa" w:w="120"/>
              <w:bottom w:type="dxa" w:w="80"/>
              <w:right w:type="dxa" w:w="120"/>
            </w:tcMar>
          </w:tcPr>
          <w:p>
            <w:r>
              <w:rPr>
                <w:rFonts w:ascii="Arial" w:cs="Arial" w:eastAsia="Arial" w:hAnsi="Arial"/>
                <w:b/>
                <w:bCs/>
                <w:color w:val="0a2540"/>
                <w:sz w:val="20"/>
                <w:szCs w:val="20"/>
              </w:rPr>
              <w:t xml:space="preserve">Subscriber (Company)</w:t>
            </w:r>
          </w:p>
        </w:tc>
        <w:tc>
          <w:tcPr>
            <w:tcW w:type="dxa" w:w="6960"/>
            <w:tcMar>
              <w:top w:type="dxa" w:w="80"/>
              <w:left w:type="dxa" w:w="120"/>
              <w:bottom w:type="dxa" w:w="80"/>
              <w:right w:type="dxa" w:w="120"/>
            </w:tcMar>
          </w:tcPr>
          <w:p>
            <w:r>
              <w:rPr>
                <w:rFonts w:ascii="Arial" w:cs="Arial" w:eastAsia="Arial" w:hAnsi="Arial"/>
                <w:b/>
                <w:bCs/>
                <w:color w:val="1264a3"/>
                <w:sz w:val="20"/>
                <w:szCs w:val="20"/>
              </w:rPr>
              <w:t xml:space="preserve">{{company}}</w:t>
            </w:r>
          </w:p>
        </w:tc>
      </w:tr>
      <w:tr>
        <w:tc>
          <w:tcPr>
            <w:tcW w:type="dxa" w:w="2400"/>
            <w:shd w:fill="f0f4fa" w:color="f0f4fa" w:val="clear"/>
            <w:tcMar>
              <w:top w:type="dxa" w:w="80"/>
              <w:left w:type="dxa" w:w="120"/>
              <w:bottom w:type="dxa" w:w="80"/>
              <w:right w:type="dxa" w:w="120"/>
            </w:tcMar>
          </w:tcPr>
          <w:p>
            <w:r>
              <w:rPr>
                <w:rFonts w:ascii="Arial" w:cs="Arial" w:eastAsia="Arial" w:hAnsi="Arial"/>
                <w:b/>
                <w:bCs/>
                <w:color w:val="0a2540"/>
                <w:sz w:val="20"/>
                <w:szCs w:val="20"/>
              </w:rPr>
              <w:t xml:space="preserve">Plan</w:t>
            </w:r>
          </w:p>
        </w:tc>
        <w:tc>
          <w:tcPr>
            <w:tcW w:type="dxa" w:w="6960"/>
            <w:tcMar>
              <w:top w:type="dxa" w:w="80"/>
              <w:left w:type="dxa" w:w="120"/>
              <w:bottom w:type="dxa" w:w="80"/>
              <w:right w:type="dxa" w:w="120"/>
            </w:tcMar>
          </w:tcPr>
          <w:p>
            <w:r>
              <w:rPr>
                <w:rFonts w:ascii="Arial" w:cs="Arial" w:eastAsia="Arial" w:hAnsi="Arial"/>
                <w:b/>
                <w:bCs/>
                <w:color w:val="1264a3"/>
                <w:sz w:val="20"/>
                <w:szCs w:val="20"/>
              </w:rPr>
              <w:t xml:space="preserve">{{product}} — {{plan}}</w:t>
            </w:r>
          </w:p>
        </w:tc>
      </w:tr>
      <w:tr>
        <w:tc>
          <w:tcPr>
            <w:tcW w:type="dxa" w:w="2400"/>
            <w:shd w:fill="f0f4fa" w:color="f0f4fa" w:val="clear"/>
            <w:tcMar>
              <w:top w:type="dxa" w:w="80"/>
              <w:left w:type="dxa" w:w="120"/>
              <w:bottom w:type="dxa" w:w="80"/>
              <w:right w:type="dxa" w:w="120"/>
            </w:tcMar>
          </w:tcPr>
          <w:p>
            <w:r>
              <w:rPr>
                <w:rFonts w:ascii="Arial" w:cs="Arial" w:eastAsia="Arial" w:hAnsi="Arial"/>
                <w:b/>
                <w:bCs/>
                <w:color w:val="0a2540"/>
                <w:sz w:val="20"/>
                <w:szCs w:val="20"/>
              </w:rPr>
              <w:t xml:space="preserve">Price</w:t>
            </w:r>
          </w:p>
        </w:tc>
        <w:tc>
          <w:tcPr>
            <w:tcW w:type="dxa" w:w="6960"/>
            <w:tcMar>
              <w:top w:type="dxa" w:w="80"/>
              <w:left w:type="dxa" w:w="120"/>
              <w:bottom w:type="dxa" w:w="80"/>
              <w:right w:type="dxa" w:w="120"/>
            </w:tcMar>
          </w:tcPr>
          <w:p>
            <w:r>
              <w:rPr>
                <w:rFonts w:ascii="Arial" w:cs="Arial" w:eastAsia="Arial" w:hAnsi="Arial"/>
                <w:b/>
                <w:bCs/>
                <w:color w:val="1264a3"/>
                <w:sz w:val="20"/>
                <w:szCs w:val="20"/>
              </w:rPr>
              <w:t xml:space="preserve">{{price}}, billed {{cadence}}</w:t>
            </w:r>
          </w:p>
        </w:tc>
      </w:tr>
      <w:tr>
        <w:tc>
          <w:tcPr>
            <w:tcW w:type="dxa" w:w="2400"/>
            <w:shd w:fill="f0f4fa" w:color="f0f4fa" w:val="clear"/>
            <w:tcMar>
              <w:top w:type="dxa" w:w="80"/>
              <w:left w:type="dxa" w:w="120"/>
              <w:bottom w:type="dxa" w:w="80"/>
              <w:right w:type="dxa" w:w="120"/>
            </w:tcMar>
          </w:tcPr>
          <w:p>
            <w:r>
              <w:rPr>
                <w:rFonts w:ascii="Arial" w:cs="Arial" w:eastAsia="Arial" w:hAnsi="Arial"/>
                <w:b/>
                <w:bCs/>
                <w:color w:val="0a2540"/>
                <w:sz w:val="20"/>
                <w:szCs w:val="20"/>
              </w:rPr>
              <w:t xml:space="preserve">Reply To</w:t>
            </w:r>
          </w:p>
        </w:tc>
        <w:tc>
          <w:tcPr>
            <w:tcW w:type="dxa" w:w="6960"/>
            <w:tcMar>
              <w:top w:type="dxa" w:w="80"/>
              <w:left w:type="dxa" w:w="120"/>
              <w:bottom w:type="dxa" w:w="80"/>
              <w:right w:type="dxa" w:w="120"/>
            </w:tcMar>
          </w:tcPr>
          <w:p>
            <w:r>
              <w:rPr>
                <w:rFonts w:ascii="Arial" w:cs="Arial" w:eastAsia="Arial" w:hAnsi="Arial"/>
                <w:b w:val="false"/>
                <w:bCs w:val="false"/>
                <w:color w:val="2a3a4a"/>
                <w:sz w:val="20"/>
                <w:szCs w:val="20"/>
              </w:rPr>
              <w:t xml:space="preserve">agreements@karyva.ai</w:t>
            </w:r>
          </w:p>
        </w:tc>
      </w:tr>
      <w:tr>
        <w:tc>
          <w:tcPr>
            <w:tcW w:type="dxa" w:w="2400"/>
            <w:shd w:fill="f0f4fa" w:color="f0f4fa" w:val="clear"/>
            <w:tcMar>
              <w:top w:type="dxa" w:w="80"/>
              <w:left w:type="dxa" w:w="120"/>
              <w:bottom w:type="dxa" w:w="80"/>
              <w:right w:type="dxa" w:w="120"/>
            </w:tcMar>
          </w:tcPr>
          <w:p>
            <w:r>
              <w:rPr>
                <w:rFonts w:ascii="Arial" w:cs="Arial" w:eastAsia="Arial" w:hAnsi="Arial"/>
                <w:b/>
                <w:bCs/>
                <w:color w:val="0a2540"/>
                <w:sz w:val="20"/>
                <w:szCs w:val="20"/>
              </w:rPr>
              <w:t xml:space="preserve">Agreement Date</w:t>
            </w:r>
          </w:p>
        </w:tc>
        <w:tc>
          <w:tcPr>
            <w:tcW w:type="dxa" w:w="6960"/>
            <w:tcMar>
              <w:top w:type="dxa" w:w="80"/>
              <w:left w:type="dxa" w:w="120"/>
              <w:bottom w:type="dxa" w:w="80"/>
              <w:right w:type="dxa" w:w="120"/>
            </w:tcMar>
          </w:tcPr>
          <w:p>
            <w:r>
              <w:rPr>
                <w:rFonts w:ascii="Arial" w:cs="Arial" w:eastAsia="Arial" w:hAnsi="Arial"/>
                <w:b w:val="false"/>
                <w:bCs w:val="false"/>
                <w:color w:val="2a3a4a"/>
                <w:sz w:val="20"/>
                <w:szCs w:val="20"/>
              </w:rPr>
              <w:t xml:space="preserve">Date of Subscriber's reply email</w:t>
            </w:r>
          </w:p>
        </w:tc>
      </w:tr>
      <w:tr>
        <w:tc>
          <w:tcPr>
            <w:tcW w:type="dxa" w:w="2400"/>
            <w:shd w:fill="f0f4fa" w:color="f0f4fa" w:val="clear"/>
            <w:tcMar>
              <w:top w:type="dxa" w:w="80"/>
              <w:left w:type="dxa" w:w="120"/>
              <w:bottom w:type="dxa" w:w="80"/>
              <w:right w:type="dxa" w:w="120"/>
            </w:tcMar>
          </w:tcPr>
          <w:p>
            <w:r>
              <w:rPr>
                <w:rFonts w:ascii="Arial" w:cs="Arial" w:eastAsia="Arial" w:hAnsi="Arial"/>
                <w:b/>
                <w:bCs/>
                <w:color w:val="0a2540"/>
                <w:sz w:val="20"/>
                <w:szCs w:val="20"/>
              </w:rPr>
              <w:t xml:space="preserve">Provider</w:t>
            </w:r>
          </w:p>
        </w:tc>
        <w:tc>
          <w:tcPr>
            <w:tcW w:type="dxa" w:w="6960"/>
            <w:tcMar>
              <w:top w:type="dxa" w:w="80"/>
              <w:left w:type="dxa" w:w="120"/>
              <w:bottom w:type="dxa" w:w="80"/>
              <w:right w:type="dxa" w:w="120"/>
            </w:tcMar>
          </w:tcPr>
          <w:p>
            <w:r>
              <w:rPr>
                <w:rFonts w:ascii="Arial" w:cs="Arial" w:eastAsia="Arial" w:hAnsi="Arial"/>
                <w:b w:val="false"/>
                <w:bCs w:val="false"/>
                <w:color w:val="2a3a4a"/>
                <w:sz w:val="20"/>
                <w:szCs w:val="20"/>
              </w:rPr>
              <w:t xml:space="preserve">Karyva.AI, Inc.</w:t>
            </w:r>
          </w:p>
        </w:tc>
      </w:tr>
    </w:tbl>
    <w:p>
      <w:pPr>
        <w:spacing w:after="60" w:before="60"/>
      </w:pPr>
    </w:p>
    <w:p>
      <w:pPr>
        <w:spacing w:after="60" w:before="60"/>
      </w:pPr>
    </w:p>
    <w:p>
      <w:pPr>
        <w:spacing w:before="240"/>
        <w:jc w:val="center"/>
      </w:pPr>
      <w:r>
        <w:rPr>
          <w:rFonts w:ascii="Arial" w:cs="Arial" w:eastAsia="Arial" w:hAnsi="Arial"/>
          <w:i/>
          <w:iCs/>
          <w:color w:val="9aaabb"/>
          <w:sz w:val="17"/>
          <w:szCs w:val="17"/>
        </w:rPr>
        <w:t xml:space="preserve">© 2026 Karyva.AI, Inc.  ·  All Rights Reserved  ·  KAI-SSA-2026-001</w:t>
      </w:r>
    </w:p>
    <w:sectPr>
      <w:headerReference w:type="default" r:id="rId7"/>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before="0"/>
      <w:jc w:val="left"/>
    </w:pPr>
    <w:r>
      <w:drawing>
        <wp:inline distT="0" distB="0" distL="0" distR="0">
          <wp:extent cx="22860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286000" cy="609600"/>
                  </a:xfrm>
                  <a:prstGeom prst="rect">
                    <a:avLst/>
                  </a:prstGeom>
                </pic:spPr>
              </pic:pic>
            </a:graphicData>
          </a:graphic>
        </wp:inline>
      </w:drawing>
    </w:r>
  </w:p>
  <w:p>
    <w:pPr>
      <w:pBdr>
        <w:bottom w:val="single" w:color="10b981" w:sz="3" w:space="2"/>
      </w:pBdr>
      <w:spacing w:after="0" w:befor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5385a3081506022a5c18a9129a7fde93e69a9e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2026-09-12T17:23:14.838Z</dcterms:created>
  <dcterms:modified xsi:type="dcterms:W3CDTF">2026-09-12T17:23:14.839Z</dcterms:modified>
</cp:coreProperties>
</file>

<file path=docProps/custom.xml><?xml version="1.0" encoding="utf-8"?>
<Properties xmlns="http://schemas.openxmlformats.org/officeDocument/2006/custom-properties" xmlns:vt="http://schemas.openxmlformats.org/officeDocument/2006/docPropsVTypes"/>
</file>