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r>
        <w:rPr>
          <w:rFonts w:ascii="Arial" w:cs="Arial" w:eastAsia="Arial" w:hAnsi="Arial"/>
        </w:rPr>
        <w:t xml:space="preserve"/>
      </w:r>
    </w:p>
    <w:p>
      <w:pPr>
        <w:spacing w:before="0" w:after="160"/>
        <w:jc w:val="center"/>
      </w:pPr>
      <w:r>
        <w:rPr>
          <w:rFonts w:ascii="Arial" w:cs="Arial" w:eastAsia="Arial" w:hAnsi="Arial"/>
          <w:b/>
          <w:bCs/>
          <w:color w:val="1F3864"/>
          <w:sz w:val="52"/>
          <w:szCs w:val="52"/>
        </w:rPr>
        <w:t xml:space="preserve">BUSINESS ANALYSIS WORK SAMPLE</w:t>
      </w:r>
    </w:p>
    <w:p>
      <w:pPr>
        <w:spacing w:before="0" w:after="80"/>
        <w:jc w:val="center"/>
      </w:pPr>
      <w:r>
        <w:rPr>
          <w:rFonts w:ascii="Arial" w:cs="Arial" w:eastAsia="Arial" w:hAnsi="Arial"/>
          <w:color w:val="2E5FA3"/>
          <w:sz w:val="34"/>
          <w:szCs w:val="34"/>
        </w:rPr>
        <w:t xml:space="preserve">Shareholding Reconciliation App</w:t>
      </w:r>
    </w:p>
    <w:p>
      <w:pPr>
        <w:spacing w:before="0" w:after="400"/>
        <w:jc w:val="center"/>
      </w:pPr>
      <w:r>
        <w:rPr>
          <w:rFonts w:ascii="Arial" w:cs="Arial" w:eastAsia="Arial" w:hAnsi="Arial"/>
          <w:color w:val="666666"/>
          <w:sz w:val="24"/>
          <w:szCs w:val="24"/>
        </w:rPr>
        <w:t xml:space="preserve">AllianceBernstein  |  2023–2025</w:t>
      </w:r>
    </w:p>
    <w:p>
      <w:pPr>
        <w:pBdr>
          <w:top w:val="single" w:color="2E5FA3" w:sz="6" w:space="4"/>
        </w:pBdr>
        <w:spacing w:before="0" w:after="200"/>
        <w:jc w:val="center"/>
      </w:pPr>
      <w:r>
        <w:rPr>
          <w:rFonts w:ascii="Arial" w:cs="Arial" w:eastAsia="Arial" w:hAnsi="Arial"/>
        </w:rPr>
        <w:t xml:space="preserve"/>
      </w:r>
    </w:p>
    <w:p>
      <w:pPr>
        <w:spacing w:before="0" w:after="60"/>
        <w:jc w:val="center"/>
      </w:pPr>
      <w:r>
        <w:rPr>
          <w:rFonts w:ascii="Arial" w:cs="Arial" w:eastAsia="Arial" w:hAnsi="Arial"/>
          <w:b/>
          <w:bCs/>
          <w:color w:val="333333"/>
          <w:sz w:val="26"/>
          <w:szCs w:val="26"/>
        </w:rPr>
        <w:t xml:space="preserve">Prasanna Jain</w:t>
      </w:r>
    </w:p>
    <w:p>
      <w:pPr>
        <w:spacing w:before="0" w:after="60"/>
        <w:jc w:val="center"/>
      </w:pPr>
      <w:r>
        <w:rPr>
          <w:rFonts w:ascii="Arial" w:cs="Arial" w:eastAsia="Arial" w:hAnsi="Arial"/>
          <w:color w:val="666666"/>
          <w:sz w:val="20"/>
          <w:szCs w:val="20"/>
        </w:rPr>
        <w:t xml:space="preserve">prassu017@gmail.com  |  425.377.6327  |  Seattle, WA</w:t>
      </w:r>
    </w:p>
    <w:p>
      <w:pPr>
        <w:spacing w:before="0" w:after="400"/>
        <w:jc w:val="center"/>
      </w:pPr>
      <w:r>
        <w:rPr>
          <w:rFonts w:ascii="Arial" w:cs="Arial" w:eastAsia="Arial" w:hAnsi="Arial"/>
          <w:color w:val="666666"/>
          <w:sz w:val="20"/>
          <w:szCs w:val="20"/>
        </w:rPr>
        <w:t xml:space="preserve">M.Sc. Business Analytics, University of Washington Foster School of Business</w:t>
      </w:r>
    </w:p>
    <w:p>
      <w:pPr>
        <w:shd w:fill="D6E4F7" w:val="clear"/>
        <w:spacing w:before="120" w:after="80"/>
        <w:jc w:val="center"/>
      </w:pPr>
      <w:r>
        <w:rPr>
          <w:rFonts w:ascii="Arial" w:cs="Arial" w:eastAsia="Arial" w:hAnsi="Arial"/>
          <w:b/>
          <w:bCs/>
          <w:color w:val="1F3864"/>
          <w:sz w:val="22"/>
          <w:szCs w:val="22"/>
        </w:rPr>
        <w:t xml:space="preserve">Portfolio Contents</w:t>
      </w:r>
    </w:p>
    <w:p>
      <w:pPr>
        <w:spacing w:before="40" w:after="40"/>
        <w:jc w:val="center"/>
      </w:pPr>
      <w:r>
        <w:rPr>
          <w:rFonts w:ascii="Arial" w:cs="Arial" w:eastAsia="Arial" w:hAnsi="Arial"/>
          <w:color w:val="333333"/>
          <w:sz w:val="19"/>
          <w:szCs w:val="19"/>
        </w:rPr>
        <w:t xml:space="preserve">Section 1: Project Context &amp; Discovery Summary  |  Section 2: Business Process Diagrams (Current &amp; Future State)</w:t>
      </w:r>
    </w:p>
    <w:p>
      <w:pPr>
        <w:spacing w:before="40" w:after="120"/>
        <w:jc w:val="center"/>
      </w:pPr>
      <w:r>
        <w:rPr>
          <w:rFonts w:ascii="Arial" w:cs="Arial" w:eastAsia="Arial" w:hAnsi="Arial"/>
          <w:color w:val="333333"/>
          <w:sz w:val="19"/>
          <w:szCs w:val="19"/>
        </w:rPr>
        <w:t xml:space="preserve">Section 3: User Stories &amp; Acceptance Criteria  |  Section 4: Requirements Specification</w:t>
      </w:r>
    </w:p>
    <w:p>
      <w:pPr>
        <w:pageBreakBefore/>
      </w:pPr>
      <w:r>
        <w:t xml:space="preserve"/>
      </w:r>
    </w:p>
    <w:p>
      <w:pPr>
        <w:pStyle w:val="Heading1"/>
        <w:shd w:fill="1F3864" w:val="clear"/>
        <w:spacing w:before="300" w:after="200"/>
        <w:ind w:left="200" w:right="200"/>
      </w:pPr>
      <w:r>
        <w:rPr>
          <w:rFonts w:ascii="Arial" w:cs="Arial" w:eastAsia="Arial" w:hAnsi="Arial"/>
          <w:b/>
          <w:bCs/>
          <w:color w:val="FFFFFF"/>
          <w:sz w:val="32"/>
          <w:szCs w:val="32"/>
        </w:rPr>
        <w:t xml:space="preserve">SECTION 1  |  Project Context &amp; Discovery Summary</w:t>
      </w:r>
    </w:p>
    <w:p>
      <w:pPr>
        <w:spacing w:before="160" w:after="0"/>
      </w:pPr>
      <w:r>
        <w:t xml:space="preserve"/>
      </w:r>
    </w:p>
    <w:p>
      <w:pPr>
        <w:pStyle w:val="Heading2"/>
        <w:pBdr>
          <w:bottom w:val="single" w:color="2E5FA3" w:sz="4" w:space="2"/>
        </w:pBdr>
        <w:spacing w:before="280" w:after="100"/>
      </w:pPr>
      <w:r>
        <w:rPr>
          <w:rFonts w:ascii="Arial" w:cs="Arial" w:eastAsia="Arial" w:hAnsi="Arial"/>
          <w:b/>
          <w:bCs/>
          <w:color w:val="1F3864"/>
          <w:sz w:val="26"/>
          <w:szCs w:val="26"/>
        </w:rPr>
        <w:t xml:space="preserve">Background</w:t>
      </w:r>
    </w:p>
    <w:p>
      <w:pPr>
        <w:spacing w:before="60" w:after="60"/>
      </w:pPr>
      <w:r>
        <w:rPr>
          <w:rFonts w:ascii="Arial" w:cs="Arial" w:eastAsia="Arial" w:hAnsi="Arial"/>
          <w:color w:val="333333"/>
          <w:sz w:val="20"/>
          <w:szCs w:val="20"/>
        </w:rPr>
        <w:t xml:space="preserve">AllianceBernstein's Operations team produced daily shareholding reports for internal compliance and external counterparties. The reconciliation process — matching internal records against custodian feeds — was largely manual, spreadsheet-driven, and error-prone. Discrepancies routinely surfaced after the fact, triggering costly downstream corrections.</w:t>
      </w:r>
    </w:p>
    <w:p>
      <w:pPr>
        <w:spacing w:before="60" w:after="60"/>
      </w:pPr>
      <w:r>
        <w:rPr>
          <w:rFonts w:ascii="Arial" w:cs="Arial" w:eastAsia="Arial" w:hAnsi="Arial"/>
          <w:color w:val="333333"/>
          <w:sz w:val="20"/>
          <w:szCs w:val="20"/>
        </w:rPr>
        <w:t xml:space="preserve">This project was initiated after a series of reconciliation failures that cost the firm significant remediation time and exposed latent data-quality risks in the reporting pipeline.</w:t>
      </w:r>
    </w:p>
    <w:p>
      <w:pPr>
        <w:spacing w:before="80" w:after="0"/>
      </w:pPr>
      <w:r>
        <w:t xml:space="preserve"/>
      </w:r>
    </w:p>
    <w:p>
      <w:pPr>
        <w:pStyle w:val="Heading2"/>
        <w:pBdr>
          <w:bottom w:val="single" w:color="2E5FA3" w:sz="4" w:space="2"/>
        </w:pBdr>
        <w:spacing w:before="280" w:after="100"/>
      </w:pPr>
      <w:r>
        <w:rPr>
          <w:rFonts w:ascii="Arial" w:cs="Arial" w:eastAsia="Arial" w:hAnsi="Arial"/>
          <w:b/>
          <w:bCs/>
          <w:color w:val="1F3864"/>
          <w:sz w:val="26"/>
          <w:szCs w:val="26"/>
        </w:rPr>
        <w:t xml:space="preserve">Discovery Approach</w:t>
      </w:r>
    </w:p>
    <w:p>
      <w:pPr>
        <w:spacing w:before="60" w:after="60"/>
      </w:pPr>
      <w:r>
        <w:rPr>
          <w:rFonts w:ascii="Arial" w:cs="Arial" w:eastAsia="Arial" w:hAnsi="Arial"/>
          <w:color w:val="333333"/>
          <w:sz w:val="20"/>
          <w:szCs w:val="20"/>
        </w:rPr>
        <w:t xml:space="preserve">I led the requirements discovery phase using structured stakeholder interviews, workflow observation, and document review. The goal was to understand not just what was breaking, but why — so requirements would address root causes rather than symptoms.</w:t>
      </w:r>
    </w:p>
    <w:p>
      <w:pPr>
        <w:spacing w:before="60" w:after="0"/>
      </w:pPr>
      <w:r>
        <w:t xml:space="preserve"/>
      </w:r>
    </w:p>
    <w:p>
      <w:pPr>
        <w:spacing w:before="200" w:after="80"/>
      </w:pPr>
      <w:r>
        <w:rPr>
          <w:rFonts w:ascii="Arial" w:cs="Arial" w:eastAsia="Arial" w:hAnsi="Arial"/>
          <w:b/>
          <w:bCs/>
          <w:color w:val="2E5FA3"/>
          <w:sz w:val="22"/>
          <w:szCs w:val="22"/>
        </w:rPr>
        <w:t xml:space="preserve">Stakeholders Engaged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Stakeholder Group</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Role in Process</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Key Concerns Surfaced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Operations Analysts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Primary reconcilers; daily users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No single source of truth; manual matching across 3 systems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Data &amp; Analytics Team</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Downstream consumers of outputs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Inconsistent field definitions across feeds; unreliable timestamps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Compliance Officers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Audit and sign-off</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No audit trail; inability to explain discrepancies retroactively</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Technology / Engineering</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System owners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No clear validation rules documented; ad hoc fixes piling up</w:t>
            </w:r>
          </w:p>
        </w:tc>
      </w:tr>
    </w:tbl>
    <w:p>
      <w:pPr>
        <w:spacing w:before="120" w:after="0"/>
      </w:pPr>
      <w:r>
        <w:t xml:space="preserve"/>
      </w:r>
    </w:p>
    <w:p>
      <w:pPr>
        <w:spacing w:before="200" w:after="80"/>
      </w:pPr>
      <w:r>
        <w:rPr>
          <w:rFonts w:ascii="Arial" w:cs="Arial" w:eastAsia="Arial" w:hAnsi="Arial"/>
          <w:b/>
          <w:bCs/>
          <w:color w:val="2E5FA3"/>
          <w:sz w:val="22"/>
          <w:szCs w:val="22"/>
        </w:rPr>
        <w:t xml:space="preserve">Key Findings from Discovery</w:t>
      </w:r>
    </w:p>
    <w:p>
      <w:pPr>
        <w:pStyle w:val="ListParagraph"/>
        <w:numPr>
          <w:ilvl w:val="0"/>
          <w:numId w:val="2"/>
        </w:numPr>
        <w:spacing w:before="40" w:after="40"/>
      </w:pPr>
      <w:r>
        <w:rPr>
          <w:rFonts w:ascii="Arial" w:cs="Arial" w:eastAsia="Arial" w:hAnsi="Arial"/>
          <w:b w:val="false"/>
          <w:bCs w:val="false"/>
          <w:color w:val="333333"/>
          <w:sz w:val="20"/>
          <w:szCs w:val="20"/>
        </w:rPr>
        <w:t xml:space="preserve">Validation rules were inconsistent across three upstream data feeds, with no canonical definition of a 'matched' record.</w:t>
      </w:r>
    </w:p>
    <w:p>
      <w:pPr>
        <w:pStyle w:val="ListParagraph"/>
        <w:numPr>
          <w:ilvl w:val="0"/>
          <w:numId w:val="2"/>
        </w:numPr>
        <w:spacing w:before="40" w:after="40"/>
      </w:pPr>
      <w:r>
        <w:rPr>
          <w:rFonts w:ascii="Arial" w:cs="Arial" w:eastAsia="Arial" w:hAnsi="Arial"/>
          <w:b w:val="false"/>
          <w:bCs w:val="false"/>
          <w:color w:val="333333"/>
          <w:sz w:val="20"/>
          <w:szCs w:val="20"/>
        </w:rPr>
        <w:t xml:space="preserve">The current-state process had 11 manual handoffs, each a potential point of error or delay.</w:t>
      </w:r>
    </w:p>
    <w:p>
      <w:pPr>
        <w:pStyle w:val="ListParagraph"/>
        <w:numPr>
          <w:ilvl w:val="0"/>
          <w:numId w:val="2"/>
        </w:numPr>
        <w:spacing w:before="40" w:after="40"/>
      </w:pPr>
      <w:r>
        <w:rPr>
          <w:rFonts w:ascii="Arial" w:cs="Arial" w:eastAsia="Arial" w:hAnsi="Arial"/>
          <w:b w:val="false"/>
          <w:bCs w:val="false"/>
          <w:color w:val="333333"/>
          <w:sz w:val="20"/>
          <w:szCs w:val="20"/>
        </w:rPr>
        <w:t xml:space="preserve">Compliance had no way to reconstruct the reconciliation history for a given report — audit risk was high.</w:t>
      </w:r>
    </w:p>
    <w:p>
      <w:pPr>
        <w:pStyle w:val="ListParagraph"/>
        <w:numPr>
          <w:ilvl w:val="0"/>
          <w:numId w:val="2"/>
        </w:numPr>
        <w:spacing w:before="40" w:after="40"/>
      </w:pPr>
      <w:r>
        <w:rPr>
          <w:rFonts w:ascii="Arial" w:cs="Arial" w:eastAsia="Arial" w:hAnsi="Arial"/>
          <w:b w:val="false"/>
          <w:bCs w:val="false"/>
          <w:color w:val="333333"/>
          <w:sz w:val="20"/>
          <w:szCs w:val="20"/>
        </w:rPr>
        <w:t xml:space="preserve">Engineering had been patching issues reactively without a documented spec, creating technical debt.</w:t>
      </w:r>
    </w:p>
    <w:p>
      <w:pPr>
        <w:spacing w:before="80" w:after="0"/>
      </w:pPr>
      <w:r>
        <w:t xml:space="preserve"/>
      </w:r>
    </w:p>
    <w:p>
      <w:pPr>
        <w:pStyle w:val="Heading2"/>
        <w:pBdr>
          <w:bottom w:val="single" w:color="2E5FA3" w:sz="4" w:space="2"/>
        </w:pBdr>
        <w:spacing w:before="280" w:after="100"/>
      </w:pPr>
      <w:r>
        <w:rPr>
          <w:rFonts w:ascii="Arial" w:cs="Arial" w:eastAsia="Arial" w:hAnsi="Arial"/>
          <w:b/>
          <w:bCs/>
          <w:color w:val="1F3864"/>
          <w:sz w:val="26"/>
          <w:szCs w:val="26"/>
        </w:rPr>
        <w:t xml:space="preserve">Problem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7" w:val="clear"/>
            <w:tcMar>
              <w:top w:type="dxa" w:w="120"/>
              <w:left w:type="dxa" w:w="200"/>
              <w:bottom w:type="dxa" w:w="120"/>
              <w:right w:type="dxa" w:w="200"/>
            </w:tcMar>
          </w:tcPr>
          <w:p>
            <w:r>
              <w:rPr>
                <w:rFonts w:ascii="Arial" w:cs="Arial" w:eastAsia="Arial" w:hAnsi="Arial"/>
                <w:i/>
                <w:iCs/>
                <w:color w:val="333333"/>
                <w:sz w:val="20"/>
                <w:szCs w:val="20"/>
              </w:rPr>
              <w:t xml:space="preserve">Operations analysts cannot reliably reconcile shareholding data because validation rules are undocumented and inconsistent across upstream feeds. This results in manual workarounds, delayed reporting, and an inability to audit discrepancies — exposing the firm to compliance risk and remediation costs.</w:t>
            </w:r>
          </w:p>
        </w:tc>
      </w:tr>
    </w:tbl>
    <w:p>
      <w:pPr>
        <w:spacing w:before="80" w:after="0"/>
      </w:pPr>
      <w:r>
        <w:t xml:space="preserve"/>
      </w:r>
    </w:p>
    <w:p>
      <w:pPr>
        <w:pStyle w:val="Heading2"/>
        <w:pBdr>
          <w:bottom w:val="single" w:color="2E5FA3" w:sz="4" w:space="2"/>
        </w:pBdr>
        <w:spacing w:before="280" w:after="100"/>
      </w:pPr>
      <w:r>
        <w:rPr>
          <w:rFonts w:ascii="Arial" w:cs="Arial" w:eastAsia="Arial" w:hAnsi="Arial"/>
          <w:b/>
          <w:bCs/>
          <w:color w:val="1F3864"/>
          <w:sz w:val="26"/>
          <w:szCs w:val="26"/>
        </w:rPr>
        <w:t xml:space="preserve">Scope &amp;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In Scope</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Out of Scope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Automated validation rules across all upstream feeds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Replacement of source trading systems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Reconciliation workflow with clear status tracking</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Changes to custodian data formats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Audit trail and discrepancy history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Real-time streaming (Phase 2)</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Exception management and escalation workflow</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External counterparty portal</w:t>
            </w:r>
          </w:p>
        </w:tc>
      </w:tr>
    </w:tbl>
    <w:p>
      <w:pPr>
        <w:pageBreakBefore/>
      </w:pPr>
      <w:r>
        <w:t xml:space="preserve"/>
      </w:r>
    </w:p>
    <w:p>
      <w:pPr>
        <w:pStyle w:val="Heading1"/>
        <w:shd w:fill="1F3864" w:val="clear"/>
        <w:spacing w:before="300" w:after="200"/>
        <w:ind w:left="200" w:right="200"/>
      </w:pPr>
      <w:r>
        <w:rPr>
          <w:rFonts w:ascii="Arial" w:cs="Arial" w:eastAsia="Arial" w:hAnsi="Arial"/>
          <w:b/>
          <w:bCs/>
          <w:color w:val="FFFFFF"/>
          <w:sz w:val="32"/>
          <w:szCs w:val="32"/>
        </w:rPr>
        <w:t xml:space="preserve">SECTION 2  |  Business Process Diagrams</w:t>
      </w:r>
    </w:p>
    <w:p>
      <w:pPr>
        <w:spacing w:before="160" w:after="0"/>
      </w:pPr>
      <w:r>
        <w:t xml:space="preserve"/>
      </w:r>
    </w:p>
    <w:p>
      <w:pPr>
        <w:pStyle w:val="Heading2"/>
        <w:pBdr>
          <w:bottom w:val="single" w:color="2E5FA3" w:sz="4" w:space="2"/>
        </w:pBdr>
        <w:spacing w:before="280" w:after="100"/>
      </w:pPr>
      <w:r>
        <w:rPr>
          <w:rFonts w:ascii="Arial" w:cs="Arial" w:eastAsia="Arial" w:hAnsi="Arial"/>
          <w:b/>
          <w:bCs/>
          <w:color w:val="1F3864"/>
          <w:sz w:val="26"/>
          <w:szCs w:val="26"/>
        </w:rPr>
        <w:t xml:space="preserve">Current State — Manual Reconciliation Process</w:t>
      </w:r>
    </w:p>
    <w:p>
      <w:pPr>
        <w:spacing w:before="60" w:after="60"/>
      </w:pPr>
      <w:r>
        <w:rPr>
          <w:rFonts w:ascii="Arial" w:cs="Arial" w:eastAsia="Arial" w:hAnsi="Arial"/>
          <w:color w:val="333333"/>
          <w:sz w:val="20"/>
          <w:szCs w:val="20"/>
        </w:rPr>
        <w:t xml:space="preserve">The current process involves 11 manual handoffs across three systems with no automated validation. Steps in red indicate identified pain points.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00"/>
        <w:gridCol w:w="1560"/>
        <w:gridCol w:w="300"/>
        <w:gridCol w:w="1560"/>
        <w:gridCol w:w="300"/>
        <w:gridCol w:w="1560"/>
        <w:gridCol w:w="300"/>
        <w:gridCol w:w="1560"/>
        <w:gridCol w:w="360"/>
      </w:tblGrid>
      <w:tr>
        <w:tc>
          <w:tcPr>
            <w:tcW w:type="dxa" w:w="9360"/>
            <w:gridSpan w:val="1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OPERATIONS ANALYST LANE</w:t>
            </w:r>
          </w:p>
        </w:tc>
      </w:tr>
      <w:tr>
        <w:tc>
          <w:tcPr>
            <w:tcW w:type="dxa" w:w="1600"/>
            <w:tcBorders>
              <w:top w:val="single" w:color="CCCCCC" w:sz="1"/>
              <w:left w:val="single" w:color="CCCCCC" w:sz="1"/>
              <w:bottom w:val="single" w:color="CCCCCC" w:sz="1"/>
              <w:right w:val="single" w:color="CCCCCC" w:sz="1"/>
            </w:tcBorders>
            <w:shd w:fill="D6E4F7" w:val="clear"/>
            <w:tcMar>
              <w:top w:type="dxa" w:w="100"/>
              <w:left w:type="dxa" w:w="80"/>
              <w:bottom w:type="dxa" w:w="100"/>
              <w:right w:type="dxa" w:w="80"/>
            </w:tcMar>
            <w:vAlign w:val="center"/>
          </w:tcPr>
          <w:p>
            <w:pPr>
              <w:jc w:val="center"/>
            </w:pPr>
            <w:r>
              <w:rPr>
                <w:rFonts w:ascii="Arial" w:cs="Arial" w:eastAsia="Arial" w:hAnsi="Arial"/>
                <w:b/>
                <w:bCs/>
                <w:color w:val="333333"/>
                <w:sz w:val="17"/>
                <w:szCs w:val="17"/>
              </w:rPr>
              <w:t xml:space="preserve">1. Pull custodian feed manually</w:t>
            </w:r>
          </w:p>
        </w:tc>
        <w:tc>
          <w:tcPr>
            <w:tcW w:type="dxa" w:w="300"/>
            <w:tcBorders>
              <w:top w:val="none" w:color="FFFFFF" w:sz="0"/>
              <w:left w:val="none" w:color="FFFFFF" w:sz="0"/>
              <w:bottom w:val="none" w:color="FFFFFF" w:sz="0"/>
              <w:right w:val="none" w:color="FFFFFF" w:sz="0"/>
            </w:tcBorders>
            <w:tcMar>
              <w:top w:type="dxa" w:w="80"/>
              <w:left w:type="dxa" w:w="0"/>
              <w:bottom w:type="dxa" w:w="80"/>
              <w:right w:type="dxa" w:w="0"/>
            </w:tcMar>
          </w:tcPr>
          <w:p>
            <w:pPr>
              <w:jc w:val="center"/>
            </w:pPr>
            <w:r>
              <w:rPr>
                <w:rFonts w:ascii="Arial" w:cs="Arial" w:eastAsia="Arial" w:hAnsi="Arial"/>
                <w:b/>
                <w:bCs/>
                <w:color w:val="666666"/>
                <w:sz w:val="22"/>
                <w:szCs w:val="22"/>
              </w:rPr>
              <w:t xml:space="preserve">→</w:t>
            </w:r>
          </w:p>
        </w:tc>
        <w:tc>
          <w:tcPr>
            <w:tcW w:type="dxa" w:w="1600"/>
            <w:tcBorders>
              <w:top w:val="single" w:color="CCCCCC" w:sz="1"/>
              <w:left w:val="single" w:color="CCCCCC" w:sz="1"/>
              <w:bottom w:val="single" w:color="CCCCCC" w:sz="1"/>
              <w:right w:val="single" w:color="CCCCCC" w:sz="1"/>
            </w:tcBorders>
            <w:shd w:fill="D6E4F7" w:val="clear"/>
            <w:tcMar>
              <w:top w:type="dxa" w:w="100"/>
              <w:left w:type="dxa" w:w="80"/>
              <w:bottom w:type="dxa" w:w="100"/>
              <w:right w:type="dxa" w:w="80"/>
            </w:tcMar>
            <w:vAlign w:val="center"/>
          </w:tcPr>
          <w:p>
            <w:pPr>
              <w:jc w:val="center"/>
            </w:pPr>
            <w:r>
              <w:rPr>
                <w:rFonts w:ascii="Arial" w:cs="Arial" w:eastAsia="Arial" w:hAnsi="Arial"/>
                <w:b/>
                <w:bCs/>
                <w:color w:val="333333"/>
                <w:sz w:val="17"/>
                <w:szCs w:val="17"/>
              </w:rPr>
              <w:t xml:space="preserve">2. Open position report in Excel</w:t>
            </w:r>
          </w:p>
        </w:tc>
        <w:tc>
          <w:tcPr>
            <w:tcW w:type="dxa" w:w="300"/>
            <w:tcBorders>
              <w:top w:val="none" w:color="FFFFFF" w:sz="0"/>
              <w:left w:val="none" w:color="FFFFFF" w:sz="0"/>
              <w:bottom w:val="none" w:color="FFFFFF" w:sz="0"/>
              <w:right w:val="none" w:color="FFFFFF" w:sz="0"/>
            </w:tcBorders>
            <w:tcMar>
              <w:top w:type="dxa" w:w="80"/>
              <w:left w:type="dxa" w:w="0"/>
              <w:bottom w:type="dxa" w:w="80"/>
              <w:right w:type="dxa" w:w="0"/>
            </w:tcMar>
          </w:tcPr>
          <w:p>
            <w:pPr>
              <w:jc w:val="center"/>
            </w:pPr>
            <w:r>
              <w:rPr>
                <w:rFonts w:ascii="Arial" w:cs="Arial" w:eastAsia="Arial" w:hAnsi="Arial"/>
                <w:b/>
                <w:bCs/>
                <w:color w:val="666666"/>
                <w:sz w:val="22"/>
                <w:szCs w:val="22"/>
              </w:rPr>
              <w:t xml:space="preserve">→</w:t>
            </w:r>
          </w:p>
        </w:tc>
        <w:tc>
          <w:tcPr>
            <w:tcW w:type="dxa" w:w="1600"/>
            <w:tcBorders>
              <w:top w:val="single" w:color="CCCCCC" w:sz="1"/>
              <w:left w:val="single" w:color="CCCCCC" w:sz="1"/>
              <w:bottom w:val="single" w:color="CCCCCC" w:sz="1"/>
              <w:right w:val="single" w:color="CCCCCC" w:sz="1"/>
            </w:tcBorders>
            <w:shd w:fill="F4CCCC" w:val="clear"/>
            <w:tcMar>
              <w:top w:type="dxa" w:w="100"/>
              <w:left w:type="dxa" w:w="80"/>
              <w:bottom w:type="dxa" w:w="100"/>
              <w:right w:type="dxa" w:w="80"/>
            </w:tcMar>
            <w:vAlign w:val="center"/>
          </w:tcPr>
          <w:p>
            <w:pPr>
              <w:jc w:val="center"/>
            </w:pPr>
            <w:r>
              <w:rPr>
                <w:rFonts w:ascii="Arial" w:cs="Arial" w:eastAsia="Arial" w:hAnsi="Arial"/>
                <w:b/>
                <w:bCs/>
                <w:color w:val="8B0000"/>
                <w:sz w:val="17"/>
                <w:szCs w:val="17"/>
              </w:rPr>
              <w:t xml:space="preserve">3. Cross-reference 3 systems manually</w:t>
            </w:r>
          </w:p>
        </w:tc>
        <w:tc>
          <w:tcPr>
            <w:tcW w:type="dxa" w:w="300"/>
            <w:tcBorders>
              <w:top w:val="none" w:color="FFFFFF" w:sz="0"/>
              <w:left w:val="none" w:color="FFFFFF" w:sz="0"/>
              <w:bottom w:val="none" w:color="FFFFFF" w:sz="0"/>
              <w:right w:val="none" w:color="FFFFFF" w:sz="0"/>
            </w:tcBorders>
            <w:tcMar>
              <w:top w:type="dxa" w:w="80"/>
              <w:left w:type="dxa" w:w="0"/>
              <w:bottom w:type="dxa" w:w="80"/>
              <w:right w:type="dxa" w:w="0"/>
            </w:tcMar>
          </w:tcPr>
          <w:p>
            <w:pPr>
              <w:jc w:val="center"/>
            </w:pPr>
            <w:r>
              <w:rPr>
                <w:rFonts w:ascii="Arial" w:cs="Arial" w:eastAsia="Arial" w:hAnsi="Arial"/>
                <w:b/>
                <w:bCs/>
                <w:color w:val="666666"/>
                <w:sz w:val="22"/>
                <w:szCs w:val="22"/>
              </w:rPr>
              <w:t xml:space="preserve">→</w:t>
            </w:r>
          </w:p>
        </w:tc>
        <w:tc>
          <w:tcPr>
            <w:tcW w:type="dxa" w:w="1600"/>
            <w:tcBorders>
              <w:top w:val="single" w:color="CCCCCC" w:sz="1"/>
              <w:left w:val="single" w:color="CCCCCC" w:sz="1"/>
              <w:bottom w:val="single" w:color="CCCCCC" w:sz="1"/>
              <w:right w:val="single" w:color="CCCCCC" w:sz="1"/>
            </w:tcBorders>
            <w:shd w:fill="F4CCCC" w:val="clear"/>
            <w:tcMar>
              <w:top w:type="dxa" w:w="100"/>
              <w:left w:type="dxa" w:w="80"/>
              <w:bottom w:type="dxa" w:w="100"/>
              <w:right w:type="dxa" w:w="80"/>
            </w:tcMar>
            <w:vAlign w:val="center"/>
          </w:tcPr>
          <w:p>
            <w:pPr>
              <w:jc w:val="center"/>
            </w:pPr>
            <w:r>
              <w:rPr>
                <w:rFonts w:ascii="Arial" w:cs="Arial" w:eastAsia="Arial" w:hAnsi="Arial"/>
                <w:b/>
                <w:bCs/>
                <w:color w:val="8B0000"/>
                <w:sz w:val="17"/>
                <w:szCs w:val="17"/>
              </w:rPr>
              <w:t xml:space="preserve">4. Flag discrepancies in spreadsheet</w:t>
            </w:r>
          </w:p>
        </w:tc>
        <w:tc>
          <w:tcPr>
            <w:tcW w:type="dxa" w:w="300"/>
            <w:tcBorders>
              <w:top w:val="none" w:color="FFFFFF" w:sz="0"/>
              <w:left w:val="none" w:color="FFFFFF" w:sz="0"/>
              <w:bottom w:val="none" w:color="FFFFFF" w:sz="0"/>
              <w:right w:val="none" w:color="FFFFFF" w:sz="0"/>
            </w:tcBorders>
            <w:tcMar>
              <w:top w:type="dxa" w:w="80"/>
              <w:left w:type="dxa" w:w="0"/>
              <w:bottom w:type="dxa" w:w="80"/>
              <w:right w:type="dxa" w:w="0"/>
            </w:tcMar>
          </w:tcPr>
          <w:p>
            <w:pPr>
              <w:jc w:val="center"/>
            </w:pPr>
            <w:r>
              <w:rPr>
                <w:rFonts w:ascii="Arial" w:cs="Arial" w:eastAsia="Arial" w:hAnsi="Arial"/>
                <w:b/>
                <w:bCs/>
                <w:color w:val="666666"/>
                <w:sz w:val="22"/>
                <w:szCs w:val="22"/>
              </w:rPr>
              <w:t xml:space="preserve">→</w:t>
            </w:r>
          </w:p>
        </w:tc>
        <w:tc>
          <w:tcPr>
            <w:tcW w:type="dxa" w:w="1600"/>
            <w:tcBorders>
              <w:top w:val="single" w:color="CCCCCC" w:sz="1"/>
              <w:left w:val="single" w:color="CCCCCC" w:sz="1"/>
              <w:bottom w:val="single" w:color="CCCCCC" w:sz="1"/>
              <w:right w:val="single" w:color="CCCCCC" w:sz="1"/>
            </w:tcBorders>
            <w:shd w:fill="D6E4F7" w:val="clear"/>
            <w:tcMar>
              <w:top w:type="dxa" w:w="100"/>
              <w:left w:type="dxa" w:w="80"/>
              <w:bottom w:type="dxa" w:w="100"/>
              <w:right w:type="dxa" w:w="80"/>
            </w:tcMar>
            <w:vAlign w:val="center"/>
          </w:tcPr>
          <w:p>
            <w:pPr>
              <w:jc w:val="center"/>
            </w:pPr>
            <w:r>
              <w:rPr>
                <w:rFonts w:ascii="Arial" w:cs="Arial" w:eastAsia="Arial" w:hAnsi="Arial"/>
                <w:b/>
                <w:bCs/>
                <w:color w:val="333333"/>
                <w:sz w:val="17"/>
                <w:szCs w:val="17"/>
              </w:rPr>
              <w:t xml:space="preserve">5. Email ops lead for review</w:t>
            </w:r>
          </w:p>
        </w:tc>
        <w:tc>
          <w:tcPr>
            <w:tcW w:type="dxa" w:w="360"/>
            <w:tcBorders>
              <w:top w:val="none" w:color="FFFFFF" w:sz="0"/>
              <w:left w:val="none" w:color="FFFFFF" w:sz="0"/>
              <w:bottom w:val="none" w:color="FFFFFF" w:sz="0"/>
              <w:right w:val="none" w:color="FFFFFF" w:sz="0"/>
            </w:tcBorders>
            <w:tcMar>
              <w:top w:type="dxa" w:w="80"/>
              <w:left w:type="dxa" w:w="0"/>
              <w:bottom w:type="dxa" w:w="80"/>
              <w:right w:type="dxa" w:w="0"/>
            </w:tcMar>
          </w:tcPr>
          <w:p>
            <w:pPr>
              <w:jc w:val="center"/>
            </w:pPr>
            <w:r>
              <w:rPr>
                <w:rFonts w:ascii="Arial" w:cs="Arial" w:eastAsia="Arial" w:hAnsi="Arial"/>
                <w:b/>
                <w:bCs/>
                <w:color w:val="666666"/>
                <w:sz w:val="22"/>
                <w:szCs w:val="22"/>
              </w:rPr>
              <w:t xml:space="preserve">→</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00"/>
        <w:gridCol w:w="1560"/>
        <w:gridCol w:w="300"/>
        <w:gridCol w:w="1560"/>
        <w:gridCol w:w="300"/>
        <w:gridCol w:w="1560"/>
        <w:gridCol w:w="300"/>
        <w:gridCol w:w="1560"/>
        <w:gridCol w:w="360"/>
      </w:tblGrid>
      <w:tr>
        <w:tc>
          <w:tcPr>
            <w:tcW w:type="dxa" w:w="9360"/>
            <w:gridSpan w:val="10"/>
            <w:tcBorders>
              <w:top w:val="single" w:color="CCCCCC" w:sz="1"/>
              <w:left w:val="single" w:color="CCCCCC" w:sz="1"/>
              <w:bottom w:val="single" w:color="CCCCCC" w:sz="1"/>
              <w:right w:val="single" w:color="CCCCCC" w:sz="1"/>
            </w:tcBorders>
            <w:shd w:fill="2E5FA3"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OPS LEAD / COMPLIANCE LANE</w:t>
            </w:r>
          </w:p>
        </w:tc>
      </w:tr>
      <w:tr>
        <w:tc>
          <w:tcPr>
            <w:tcW w:type="dxa" w:w="1600"/>
            <w:tcBorders>
              <w:top w:val="single" w:color="CCCCCC" w:sz="1"/>
              <w:left w:val="single" w:color="CCCCCC" w:sz="1"/>
              <w:bottom w:val="single" w:color="CCCCCC" w:sz="1"/>
              <w:right w:val="single" w:color="CCCCCC" w:sz="1"/>
            </w:tcBorders>
            <w:shd w:fill="D6E4F7" w:val="clear"/>
            <w:tcMar>
              <w:top w:type="dxa" w:w="100"/>
              <w:left w:type="dxa" w:w="80"/>
              <w:bottom w:type="dxa" w:w="100"/>
              <w:right w:type="dxa" w:w="80"/>
            </w:tcMar>
            <w:vAlign w:val="center"/>
          </w:tcPr>
          <w:p>
            <w:pPr>
              <w:jc w:val="center"/>
            </w:pPr>
            <w:r>
              <w:rPr>
                <w:rFonts w:ascii="Arial" w:cs="Arial" w:eastAsia="Arial" w:hAnsi="Arial"/>
                <w:b/>
                <w:bCs/>
                <w:color w:val="333333"/>
                <w:sz w:val="17"/>
                <w:szCs w:val="17"/>
              </w:rPr>
              <w:t xml:space="preserve">6. Review email &amp; spreadsheet</w:t>
            </w:r>
          </w:p>
        </w:tc>
        <w:tc>
          <w:tcPr>
            <w:tcW w:type="dxa" w:w="300"/>
            <w:tcBorders>
              <w:top w:val="none" w:color="FFFFFF" w:sz="0"/>
              <w:left w:val="none" w:color="FFFFFF" w:sz="0"/>
              <w:bottom w:val="none" w:color="FFFFFF" w:sz="0"/>
              <w:right w:val="none" w:color="FFFFFF" w:sz="0"/>
            </w:tcBorders>
            <w:tcMar>
              <w:top w:type="dxa" w:w="80"/>
              <w:left w:type="dxa" w:w="0"/>
              <w:bottom w:type="dxa" w:w="80"/>
              <w:right w:type="dxa" w:w="0"/>
            </w:tcMar>
          </w:tcPr>
          <w:p>
            <w:pPr>
              <w:jc w:val="center"/>
            </w:pPr>
            <w:r>
              <w:rPr>
                <w:rFonts w:ascii="Arial" w:cs="Arial" w:eastAsia="Arial" w:hAnsi="Arial"/>
                <w:b/>
                <w:bCs/>
                <w:color w:val="666666"/>
                <w:sz w:val="22"/>
                <w:szCs w:val="22"/>
              </w:rPr>
              <w:t xml:space="preserve">→</w:t>
            </w:r>
          </w:p>
        </w:tc>
        <w:tc>
          <w:tcPr>
            <w:tcW w:type="dxa" w:w="1600"/>
            <w:tcBorders>
              <w:top w:val="single" w:color="CCCCCC" w:sz="1"/>
              <w:left w:val="single" w:color="CCCCCC" w:sz="1"/>
              <w:bottom w:val="single" w:color="CCCCCC" w:sz="1"/>
              <w:right w:val="single" w:color="CCCCCC" w:sz="1"/>
            </w:tcBorders>
            <w:shd w:fill="F4CCCC" w:val="clear"/>
            <w:tcMar>
              <w:top w:type="dxa" w:w="100"/>
              <w:left w:type="dxa" w:w="80"/>
              <w:bottom w:type="dxa" w:w="100"/>
              <w:right w:type="dxa" w:w="80"/>
            </w:tcMar>
            <w:vAlign w:val="center"/>
          </w:tcPr>
          <w:p>
            <w:pPr>
              <w:jc w:val="center"/>
            </w:pPr>
            <w:r>
              <w:rPr>
                <w:rFonts w:ascii="Arial" w:cs="Arial" w:eastAsia="Arial" w:hAnsi="Arial"/>
                <w:b/>
                <w:bCs/>
                <w:color w:val="8B0000"/>
                <w:sz w:val="17"/>
                <w:szCs w:val="17"/>
              </w:rPr>
              <w:t xml:space="preserve">7. Approve or request re-work</w:t>
            </w:r>
          </w:p>
        </w:tc>
        <w:tc>
          <w:tcPr>
            <w:tcW w:type="dxa" w:w="300"/>
            <w:tcBorders>
              <w:top w:val="none" w:color="FFFFFF" w:sz="0"/>
              <w:left w:val="none" w:color="FFFFFF" w:sz="0"/>
              <w:bottom w:val="none" w:color="FFFFFF" w:sz="0"/>
              <w:right w:val="none" w:color="FFFFFF" w:sz="0"/>
            </w:tcBorders>
            <w:tcMar>
              <w:top w:type="dxa" w:w="80"/>
              <w:left w:type="dxa" w:w="0"/>
              <w:bottom w:type="dxa" w:w="80"/>
              <w:right w:type="dxa" w:w="0"/>
            </w:tcMar>
          </w:tcPr>
          <w:p>
            <w:pPr>
              <w:jc w:val="center"/>
            </w:pPr>
            <w:r>
              <w:rPr>
                <w:rFonts w:ascii="Arial" w:cs="Arial" w:eastAsia="Arial" w:hAnsi="Arial"/>
                <w:b/>
                <w:bCs/>
                <w:color w:val="666666"/>
                <w:sz w:val="22"/>
                <w:szCs w:val="22"/>
              </w:rPr>
              <w:t xml:space="preserve">→</w:t>
            </w:r>
          </w:p>
        </w:tc>
        <w:tc>
          <w:tcPr>
            <w:tcW w:type="dxa" w:w="1600"/>
            <w:tcBorders>
              <w:top w:val="single" w:color="CCCCCC" w:sz="1"/>
              <w:left w:val="single" w:color="CCCCCC" w:sz="1"/>
              <w:bottom w:val="single" w:color="CCCCCC" w:sz="1"/>
              <w:right w:val="single" w:color="CCCCCC" w:sz="1"/>
            </w:tcBorders>
            <w:shd w:fill="F4CCCC" w:val="clear"/>
            <w:tcMar>
              <w:top w:type="dxa" w:w="100"/>
              <w:left w:type="dxa" w:w="80"/>
              <w:bottom w:type="dxa" w:w="100"/>
              <w:right w:type="dxa" w:w="80"/>
            </w:tcMar>
            <w:vAlign w:val="center"/>
          </w:tcPr>
          <w:p>
            <w:pPr>
              <w:jc w:val="center"/>
            </w:pPr>
            <w:r>
              <w:rPr>
                <w:rFonts w:ascii="Arial" w:cs="Arial" w:eastAsia="Arial" w:hAnsi="Arial"/>
                <w:b/>
                <w:bCs/>
                <w:color w:val="8B0000"/>
                <w:sz w:val="17"/>
                <w:szCs w:val="17"/>
              </w:rPr>
              <w:t xml:space="preserve">8. Ad hoc fix in source system</w:t>
            </w:r>
          </w:p>
        </w:tc>
        <w:tc>
          <w:tcPr>
            <w:tcW w:type="dxa" w:w="300"/>
            <w:tcBorders>
              <w:top w:val="none" w:color="FFFFFF" w:sz="0"/>
              <w:left w:val="none" w:color="FFFFFF" w:sz="0"/>
              <w:bottom w:val="none" w:color="FFFFFF" w:sz="0"/>
              <w:right w:val="none" w:color="FFFFFF" w:sz="0"/>
            </w:tcBorders>
            <w:tcMar>
              <w:top w:type="dxa" w:w="80"/>
              <w:left w:type="dxa" w:w="0"/>
              <w:bottom w:type="dxa" w:w="80"/>
              <w:right w:type="dxa" w:w="0"/>
            </w:tcMar>
          </w:tcPr>
          <w:p>
            <w:pPr>
              <w:jc w:val="center"/>
            </w:pPr>
            <w:r>
              <w:rPr>
                <w:rFonts w:ascii="Arial" w:cs="Arial" w:eastAsia="Arial" w:hAnsi="Arial"/>
                <w:b/>
                <w:bCs/>
                <w:color w:val="666666"/>
                <w:sz w:val="22"/>
                <w:szCs w:val="22"/>
              </w:rPr>
              <w:t xml:space="preserve">→</w:t>
            </w:r>
          </w:p>
        </w:tc>
        <w:tc>
          <w:tcPr>
            <w:tcW w:type="dxa" w:w="1600"/>
            <w:tcBorders>
              <w:top w:val="single" w:color="CCCCCC" w:sz="1"/>
              <w:left w:val="single" w:color="CCCCCC" w:sz="1"/>
              <w:bottom w:val="single" w:color="CCCCCC" w:sz="1"/>
              <w:right w:val="single" w:color="CCCCCC" w:sz="1"/>
            </w:tcBorders>
            <w:shd w:fill="F4CCCC" w:val="clear"/>
            <w:tcMar>
              <w:top w:type="dxa" w:w="100"/>
              <w:left w:type="dxa" w:w="80"/>
              <w:bottom w:type="dxa" w:w="100"/>
              <w:right w:type="dxa" w:w="80"/>
            </w:tcMar>
            <w:vAlign w:val="center"/>
          </w:tcPr>
          <w:p>
            <w:pPr>
              <w:jc w:val="center"/>
            </w:pPr>
            <w:r>
              <w:rPr>
                <w:rFonts w:ascii="Arial" w:cs="Arial" w:eastAsia="Arial" w:hAnsi="Arial"/>
                <w:b/>
                <w:bCs/>
                <w:color w:val="8B0000"/>
                <w:sz w:val="17"/>
                <w:szCs w:val="17"/>
              </w:rPr>
              <w:t xml:space="preserve">9. Regenerate report manually</w:t>
            </w:r>
          </w:p>
        </w:tc>
        <w:tc>
          <w:tcPr>
            <w:tcW w:type="dxa" w:w="300"/>
            <w:tcBorders>
              <w:top w:val="none" w:color="FFFFFF" w:sz="0"/>
              <w:left w:val="none" w:color="FFFFFF" w:sz="0"/>
              <w:bottom w:val="none" w:color="FFFFFF" w:sz="0"/>
              <w:right w:val="none" w:color="FFFFFF" w:sz="0"/>
            </w:tcBorders>
            <w:tcMar>
              <w:top w:type="dxa" w:w="80"/>
              <w:left w:type="dxa" w:w="0"/>
              <w:bottom w:type="dxa" w:w="80"/>
              <w:right w:type="dxa" w:w="0"/>
            </w:tcMar>
          </w:tcPr>
          <w:p>
            <w:pPr>
              <w:jc w:val="center"/>
            </w:pPr>
            <w:r>
              <w:rPr>
                <w:rFonts w:ascii="Arial" w:cs="Arial" w:eastAsia="Arial" w:hAnsi="Arial"/>
                <w:b/>
                <w:bCs/>
                <w:color w:val="666666"/>
                <w:sz w:val="22"/>
                <w:szCs w:val="22"/>
              </w:rPr>
              <w:t xml:space="preserve">→</w:t>
            </w:r>
          </w:p>
        </w:tc>
        <w:tc>
          <w:tcPr>
            <w:tcW w:type="dxa" w:w="1600"/>
            <w:tcBorders>
              <w:top w:val="single" w:color="CCCCCC" w:sz="1"/>
              <w:left w:val="single" w:color="CCCCCC" w:sz="1"/>
              <w:bottom w:val="single" w:color="CCCCCC" w:sz="1"/>
              <w:right w:val="single" w:color="CCCCCC" w:sz="1"/>
            </w:tcBorders>
            <w:shd w:fill="D6E4F7" w:val="clear"/>
            <w:tcMar>
              <w:top w:type="dxa" w:w="100"/>
              <w:left w:type="dxa" w:w="80"/>
              <w:bottom w:type="dxa" w:w="100"/>
              <w:right w:type="dxa" w:w="80"/>
            </w:tcMar>
            <w:vAlign w:val="center"/>
          </w:tcPr>
          <w:p>
            <w:pPr>
              <w:jc w:val="center"/>
            </w:pPr>
            <w:r>
              <w:rPr>
                <w:rFonts w:ascii="Arial" w:cs="Arial" w:eastAsia="Arial" w:hAnsi="Arial"/>
                <w:b/>
                <w:bCs/>
                <w:color w:val="333333"/>
                <w:sz w:val="17"/>
                <w:szCs w:val="17"/>
              </w:rPr>
              <w:t xml:space="preserve">10. Sign off and file</w:t>
            </w:r>
          </w:p>
        </w:tc>
        <w:tc>
          <w:tcPr>
            <w:tcW w:type="dxa" w:w="360"/>
            <w:tcBorders>
              <w:top w:val="none" w:color="FFFFFF" w:sz="0"/>
              <w:left w:val="none" w:color="FFFFFF" w:sz="0"/>
              <w:bottom w:val="none" w:color="FFFFFF" w:sz="0"/>
              <w:right w:val="none" w:color="FFFFFF" w:sz="0"/>
            </w:tcBorders>
            <w:tcMar>
              <w:top w:type="dxa" w:w="80"/>
              <w:left w:type="dxa" w:w="0"/>
              <w:bottom w:type="dxa" w:w="80"/>
              <w:right w:type="dxa" w:w="0"/>
            </w:tcMar>
          </w:tcPr>
          <w:p>
            <w:pPr>
              <w:jc w:val="center"/>
            </w:pPr>
            <w:r>
              <w:rPr>
                <w:rFonts w:ascii="Arial" w:cs="Arial" w:eastAsia="Arial" w:hAnsi="Arial"/>
                <w:b/>
                <w:bCs/>
                <w:color w:val="666666"/>
                <w:sz w:val="22"/>
                <w:szCs w:val="22"/>
              </w:rPr>
              <w:t xml:space="preserve">→</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Pain Points Identified</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Business Impact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3-system manual cross-reference (Step 3)</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~3 hrs per report; high error rate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No canonical validation rules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Inconsistent outputs; recurring defects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Email-based review cycle (Steps 5–7)</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Avg. 6 hr delay; no audit trail</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Manual rework loop (Steps 8–9)</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~$500K annual remediation cost</w:t>
            </w:r>
          </w:p>
        </w:tc>
      </w:tr>
    </w:tbl>
    <w:p>
      <w:pPr>
        <w:spacing w:before="200" w:after="0"/>
      </w:pPr>
      <w:r>
        <w:t xml:space="preserve"/>
      </w:r>
    </w:p>
    <w:p>
      <w:pPr>
        <w:pStyle w:val="Heading2"/>
        <w:pBdr>
          <w:bottom w:val="single" w:color="2E5FA3" w:sz="4" w:space="2"/>
        </w:pBdr>
        <w:spacing w:before="280" w:after="100"/>
      </w:pPr>
      <w:r>
        <w:rPr>
          <w:rFonts w:ascii="Arial" w:cs="Arial" w:eastAsia="Arial" w:hAnsi="Arial"/>
          <w:b/>
          <w:bCs/>
          <w:color w:val="1F3864"/>
          <w:sz w:val="26"/>
          <w:szCs w:val="26"/>
        </w:rPr>
        <w:t xml:space="preserve">Future State — Automated Reconciliation System</w:t>
      </w:r>
    </w:p>
    <w:p>
      <w:pPr>
        <w:spacing w:before="60" w:after="60"/>
      </w:pPr>
      <w:r>
        <w:rPr>
          <w:rFonts w:ascii="Arial" w:cs="Arial" w:eastAsia="Arial" w:hAnsi="Arial"/>
          <w:color w:val="333333"/>
          <w:sz w:val="20"/>
          <w:szCs w:val="20"/>
        </w:rPr>
        <w:t xml:space="preserve">The future-state process eliminates manual cross-referencing through automated validation rules and introduces a structured exception workflow with full audit trail.</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00"/>
        <w:gridCol w:w="1560"/>
        <w:gridCol w:w="300"/>
        <w:gridCol w:w="1560"/>
        <w:gridCol w:w="300"/>
        <w:gridCol w:w="1560"/>
        <w:gridCol w:w="300"/>
        <w:gridCol w:w="1560"/>
        <w:gridCol w:w="360"/>
      </w:tblGrid>
      <w:tr>
        <w:tc>
          <w:tcPr>
            <w:tcW w:type="dxa" w:w="9360"/>
            <w:gridSpan w:val="1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SYSTEM / AUTOMATED LANE</w:t>
            </w:r>
          </w:p>
        </w:tc>
      </w:tr>
      <w:tr>
        <w:tc>
          <w:tcPr>
            <w:tcW w:type="dxa" w:w="1600"/>
            <w:tcBorders>
              <w:top w:val="single" w:color="CCCCCC" w:sz="1"/>
              <w:left w:val="single" w:color="CCCCCC" w:sz="1"/>
              <w:bottom w:val="single" w:color="CCCCCC" w:sz="1"/>
              <w:right w:val="single" w:color="CCCCCC" w:sz="1"/>
            </w:tcBorders>
            <w:shd w:fill="D4EDDA" w:val="clear"/>
            <w:tcMar>
              <w:top w:type="dxa" w:w="100"/>
              <w:left w:type="dxa" w:w="80"/>
              <w:bottom w:type="dxa" w:w="100"/>
              <w:right w:type="dxa" w:w="80"/>
            </w:tcMar>
            <w:vAlign w:val="center"/>
          </w:tcPr>
          <w:p>
            <w:pPr>
              <w:jc w:val="center"/>
            </w:pPr>
            <w:r>
              <w:rPr>
                <w:rFonts w:ascii="Arial" w:cs="Arial" w:eastAsia="Arial" w:hAnsi="Arial"/>
                <w:b/>
                <w:bCs/>
                <w:color w:val="1A5C2A"/>
                <w:sz w:val="17"/>
                <w:szCs w:val="17"/>
              </w:rPr>
              <w:t xml:space="preserve">1. Ingest custodian feeds (scheduled)</w:t>
            </w:r>
          </w:p>
        </w:tc>
        <w:tc>
          <w:tcPr>
            <w:tcW w:type="dxa" w:w="300"/>
            <w:tcBorders>
              <w:top w:val="none" w:color="FFFFFF" w:sz="0"/>
              <w:left w:val="none" w:color="FFFFFF" w:sz="0"/>
              <w:bottom w:val="none" w:color="FFFFFF" w:sz="0"/>
              <w:right w:val="none" w:color="FFFFFF" w:sz="0"/>
            </w:tcBorders>
            <w:tcMar>
              <w:top w:type="dxa" w:w="80"/>
              <w:left w:type="dxa" w:w="0"/>
              <w:bottom w:type="dxa" w:w="80"/>
              <w:right w:type="dxa" w:w="0"/>
            </w:tcMar>
          </w:tcPr>
          <w:p>
            <w:pPr>
              <w:jc w:val="center"/>
            </w:pPr>
            <w:r>
              <w:rPr>
                <w:rFonts w:ascii="Arial" w:cs="Arial" w:eastAsia="Arial" w:hAnsi="Arial"/>
                <w:b/>
                <w:bCs/>
                <w:color w:val="666666"/>
                <w:sz w:val="22"/>
                <w:szCs w:val="22"/>
              </w:rPr>
              <w:t xml:space="preserve">→</w:t>
            </w:r>
          </w:p>
        </w:tc>
        <w:tc>
          <w:tcPr>
            <w:tcW w:type="dxa" w:w="1600"/>
            <w:tcBorders>
              <w:top w:val="single" w:color="CCCCCC" w:sz="1"/>
              <w:left w:val="single" w:color="CCCCCC" w:sz="1"/>
              <w:bottom w:val="single" w:color="CCCCCC" w:sz="1"/>
              <w:right w:val="single" w:color="CCCCCC" w:sz="1"/>
            </w:tcBorders>
            <w:shd w:fill="D4EDDA" w:val="clear"/>
            <w:tcMar>
              <w:top w:type="dxa" w:w="100"/>
              <w:left w:type="dxa" w:w="80"/>
              <w:bottom w:type="dxa" w:w="100"/>
              <w:right w:type="dxa" w:w="80"/>
            </w:tcMar>
            <w:vAlign w:val="center"/>
          </w:tcPr>
          <w:p>
            <w:pPr>
              <w:jc w:val="center"/>
            </w:pPr>
            <w:r>
              <w:rPr>
                <w:rFonts w:ascii="Arial" w:cs="Arial" w:eastAsia="Arial" w:hAnsi="Arial"/>
                <w:b/>
                <w:bCs/>
                <w:color w:val="1A5C2A"/>
                <w:sz w:val="17"/>
                <w:szCs w:val="17"/>
              </w:rPr>
              <w:t xml:space="preserve">2. Apply canonical validation rules</w:t>
            </w:r>
          </w:p>
        </w:tc>
        <w:tc>
          <w:tcPr>
            <w:tcW w:type="dxa" w:w="300"/>
            <w:tcBorders>
              <w:top w:val="none" w:color="FFFFFF" w:sz="0"/>
              <w:left w:val="none" w:color="FFFFFF" w:sz="0"/>
              <w:bottom w:val="none" w:color="FFFFFF" w:sz="0"/>
              <w:right w:val="none" w:color="FFFFFF" w:sz="0"/>
            </w:tcBorders>
            <w:tcMar>
              <w:top w:type="dxa" w:w="80"/>
              <w:left w:type="dxa" w:w="0"/>
              <w:bottom w:type="dxa" w:w="80"/>
              <w:right w:type="dxa" w:w="0"/>
            </w:tcMar>
          </w:tcPr>
          <w:p>
            <w:pPr>
              <w:jc w:val="center"/>
            </w:pPr>
            <w:r>
              <w:rPr>
                <w:rFonts w:ascii="Arial" w:cs="Arial" w:eastAsia="Arial" w:hAnsi="Arial"/>
                <w:b/>
                <w:bCs/>
                <w:color w:val="666666"/>
                <w:sz w:val="22"/>
                <w:szCs w:val="22"/>
              </w:rPr>
              <w:t xml:space="preserve">→</w:t>
            </w:r>
          </w:p>
        </w:tc>
        <w:tc>
          <w:tcPr>
            <w:tcW w:type="dxa" w:w="1600"/>
            <w:tcBorders>
              <w:top w:val="single" w:color="CCCCCC" w:sz="1"/>
              <w:left w:val="single" w:color="CCCCCC" w:sz="1"/>
              <w:bottom w:val="single" w:color="CCCCCC" w:sz="1"/>
              <w:right w:val="single" w:color="CCCCCC" w:sz="1"/>
            </w:tcBorders>
            <w:shd w:fill="D4EDDA" w:val="clear"/>
            <w:tcMar>
              <w:top w:type="dxa" w:w="100"/>
              <w:left w:type="dxa" w:w="80"/>
              <w:bottom w:type="dxa" w:w="100"/>
              <w:right w:type="dxa" w:w="80"/>
            </w:tcMar>
            <w:vAlign w:val="center"/>
          </w:tcPr>
          <w:p>
            <w:pPr>
              <w:jc w:val="center"/>
            </w:pPr>
            <w:r>
              <w:rPr>
                <w:rFonts w:ascii="Arial" w:cs="Arial" w:eastAsia="Arial" w:hAnsi="Arial"/>
                <w:b/>
                <w:bCs/>
                <w:color w:val="1A5C2A"/>
                <w:sz w:val="17"/>
                <w:szCs w:val="17"/>
              </w:rPr>
              <w:t xml:space="preserve">3. Auto-match records; flag exceptions</w:t>
            </w:r>
          </w:p>
        </w:tc>
        <w:tc>
          <w:tcPr>
            <w:tcW w:type="dxa" w:w="300"/>
            <w:tcBorders>
              <w:top w:val="none" w:color="FFFFFF" w:sz="0"/>
              <w:left w:val="none" w:color="FFFFFF" w:sz="0"/>
              <w:bottom w:val="none" w:color="FFFFFF" w:sz="0"/>
              <w:right w:val="none" w:color="FFFFFF" w:sz="0"/>
            </w:tcBorders>
            <w:tcMar>
              <w:top w:type="dxa" w:w="80"/>
              <w:left w:type="dxa" w:w="0"/>
              <w:bottom w:type="dxa" w:w="80"/>
              <w:right w:type="dxa" w:w="0"/>
            </w:tcMar>
          </w:tcPr>
          <w:p>
            <w:pPr>
              <w:jc w:val="center"/>
            </w:pPr>
            <w:r>
              <w:rPr>
                <w:rFonts w:ascii="Arial" w:cs="Arial" w:eastAsia="Arial" w:hAnsi="Arial"/>
                <w:b/>
                <w:bCs/>
                <w:color w:val="666666"/>
                <w:sz w:val="22"/>
                <w:szCs w:val="22"/>
              </w:rPr>
              <w:t xml:space="preserve">→</w:t>
            </w:r>
          </w:p>
        </w:tc>
        <w:tc>
          <w:tcPr>
            <w:tcW w:type="dxa" w:w="1600"/>
            <w:tcBorders>
              <w:top w:val="single" w:color="CCCCCC" w:sz="1"/>
              <w:left w:val="single" w:color="CCCCCC" w:sz="1"/>
              <w:bottom w:val="single" w:color="CCCCCC" w:sz="1"/>
              <w:right w:val="single" w:color="CCCCCC" w:sz="1"/>
            </w:tcBorders>
            <w:shd w:fill="D4EDDA" w:val="clear"/>
            <w:tcMar>
              <w:top w:type="dxa" w:w="100"/>
              <w:left w:type="dxa" w:w="80"/>
              <w:bottom w:type="dxa" w:w="100"/>
              <w:right w:type="dxa" w:w="80"/>
            </w:tcMar>
            <w:vAlign w:val="center"/>
          </w:tcPr>
          <w:p>
            <w:pPr>
              <w:jc w:val="center"/>
            </w:pPr>
            <w:r>
              <w:rPr>
                <w:rFonts w:ascii="Arial" w:cs="Arial" w:eastAsia="Arial" w:hAnsi="Arial"/>
                <w:b/>
                <w:bCs/>
                <w:color w:val="1A5C2A"/>
                <w:sz w:val="17"/>
                <w:szCs w:val="17"/>
              </w:rPr>
              <w:t xml:space="preserve">4. Generate reconciliation report</w:t>
            </w:r>
          </w:p>
        </w:tc>
        <w:tc>
          <w:tcPr>
            <w:tcW w:type="dxa" w:w="300"/>
            <w:tcBorders>
              <w:top w:val="none" w:color="FFFFFF" w:sz="0"/>
              <w:left w:val="none" w:color="FFFFFF" w:sz="0"/>
              <w:bottom w:val="none" w:color="FFFFFF" w:sz="0"/>
              <w:right w:val="none" w:color="FFFFFF" w:sz="0"/>
            </w:tcBorders>
            <w:tcMar>
              <w:top w:type="dxa" w:w="80"/>
              <w:left w:type="dxa" w:w="0"/>
              <w:bottom w:type="dxa" w:w="80"/>
              <w:right w:type="dxa" w:w="0"/>
            </w:tcMar>
          </w:tcPr>
          <w:p>
            <w:pPr>
              <w:jc w:val="center"/>
            </w:pPr>
            <w:r>
              <w:rPr>
                <w:rFonts w:ascii="Arial" w:cs="Arial" w:eastAsia="Arial" w:hAnsi="Arial"/>
                <w:b/>
                <w:bCs/>
                <w:color w:val="666666"/>
                <w:sz w:val="22"/>
                <w:szCs w:val="22"/>
              </w:rPr>
              <w:t xml:space="preserve">→</w:t>
            </w:r>
          </w:p>
        </w:tc>
        <w:tc>
          <w:tcPr>
            <w:tcW w:type="dxa" w:w="1600"/>
            <w:tcBorders>
              <w:top w:val="single" w:color="CCCCCC" w:sz="1"/>
              <w:left w:val="single" w:color="CCCCCC" w:sz="1"/>
              <w:bottom w:val="single" w:color="CCCCCC" w:sz="1"/>
              <w:right w:val="single" w:color="CCCCCC" w:sz="1"/>
            </w:tcBorders>
            <w:shd w:fill="FFF3CD" w:val="clear"/>
            <w:tcMar>
              <w:top w:type="dxa" w:w="100"/>
              <w:left w:type="dxa" w:w="80"/>
              <w:bottom w:type="dxa" w:w="100"/>
              <w:right w:type="dxa" w:w="80"/>
            </w:tcMar>
            <w:vAlign w:val="center"/>
          </w:tcPr>
          <w:p>
            <w:pPr>
              <w:jc w:val="center"/>
            </w:pPr>
            <w:r>
              <w:rPr>
                <w:rFonts w:ascii="Arial" w:cs="Arial" w:eastAsia="Arial" w:hAnsi="Arial"/>
                <w:b/>
                <w:bCs/>
                <w:color w:val="7D5A00"/>
                <w:sz w:val="17"/>
                <w:szCs w:val="17"/>
              </w:rPr>
              <w:t xml:space="preserve">5. Route exceptions to analyst queue</w:t>
            </w:r>
          </w:p>
        </w:tc>
        <w:tc>
          <w:tcPr>
            <w:tcW w:type="dxa" w:w="360"/>
            <w:tcBorders>
              <w:top w:val="none" w:color="FFFFFF" w:sz="0"/>
              <w:left w:val="none" w:color="FFFFFF" w:sz="0"/>
              <w:bottom w:val="none" w:color="FFFFFF" w:sz="0"/>
              <w:right w:val="none" w:color="FFFFFF" w:sz="0"/>
            </w:tcBorders>
            <w:tcMar>
              <w:top w:type="dxa" w:w="80"/>
              <w:left w:type="dxa" w:w="0"/>
              <w:bottom w:type="dxa" w:w="80"/>
              <w:right w:type="dxa" w:w="0"/>
            </w:tcMar>
          </w:tcPr>
          <w:p>
            <w:pPr>
              <w:jc w:val="center"/>
            </w:pPr>
            <w:r>
              <w:rPr>
                <w:rFonts w:ascii="Arial" w:cs="Arial" w:eastAsia="Arial" w:hAnsi="Arial"/>
                <w:b/>
                <w:bCs/>
                <w:color w:val="666666"/>
                <w:sz w:val="22"/>
                <w:szCs w:val="22"/>
              </w:rPr>
              <w:t xml:space="preserve">→</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00"/>
        <w:gridCol w:w="1560"/>
        <w:gridCol w:w="300"/>
        <w:gridCol w:w="1560"/>
        <w:gridCol w:w="300"/>
        <w:gridCol w:w="1560"/>
        <w:gridCol w:w="300"/>
        <w:gridCol w:w="1560"/>
        <w:gridCol w:w="360"/>
      </w:tblGrid>
      <w:tr>
        <w:tc>
          <w:tcPr>
            <w:tcW w:type="dxa" w:w="9360"/>
            <w:gridSpan w:val="10"/>
            <w:tcBorders>
              <w:top w:val="single" w:color="CCCCCC" w:sz="1"/>
              <w:left w:val="single" w:color="CCCCCC" w:sz="1"/>
              <w:bottom w:val="single" w:color="CCCCCC" w:sz="1"/>
              <w:right w:val="single" w:color="CCCCCC" w:sz="1"/>
            </w:tcBorders>
            <w:shd w:fill="2E5FA3"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ANALYST / COMPLIANCE LANE</w:t>
            </w:r>
          </w:p>
        </w:tc>
      </w:tr>
      <w:tr>
        <w:tc>
          <w:tcPr>
            <w:tcW w:type="dxa" w:w="1600"/>
            <w:tcBorders>
              <w:top w:val="single" w:color="CCCCCC" w:sz="1"/>
              <w:left w:val="single" w:color="CCCCCC" w:sz="1"/>
              <w:bottom w:val="single" w:color="CCCCCC" w:sz="1"/>
              <w:right w:val="single" w:color="CCCCCC" w:sz="1"/>
            </w:tcBorders>
            <w:shd w:fill="D4EDDA" w:val="clear"/>
            <w:tcMar>
              <w:top w:type="dxa" w:w="100"/>
              <w:left w:type="dxa" w:w="80"/>
              <w:bottom w:type="dxa" w:w="100"/>
              <w:right w:type="dxa" w:w="80"/>
            </w:tcMar>
            <w:vAlign w:val="center"/>
          </w:tcPr>
          <w:p>
            <w:pPr>
              <w:jc w:val="center"/>
            </w:pPr>
            <w:r>
              <w:rPr>
                <w:rFonts w:ascii="Arial" w:cs="Arial" w:eastAsia="Arial" w:hAnsi="Arial"/>
                <w:b/>
                <w:bCs/>
                <w:color w:val="1A5C2A"/>
                <w:sz w:val="17"/>
                <w:szCs w:val="17"/>
              </w:rPr>
              <w:t xml:space="preserve">6. Review exception queue in app</w:t>
            </w:r>
          </w:p>
        </w:tc>
        <w:tc>
          <w:tcPr>
            <w:tcW w:type="dxa" w:w="300"/>
            <w:tcBorders>
              <w:top w:val="none" w:color="FFFFFF" w:sz="0"/>
              <w:left w:val="none" w:color="FFFFFF" w:sz="0"/>
              <w:bottom w:val="none" w:color="FFFFFF" w:sz="0"/>
              <w:right w:val="none" w:color="FFFFFF" w:sz="0"/>
            </w:tcBorders>
            <w:tcMar>
              <w:top w:type="dxa" w:w="80"/>
              <w:left w:type="dxa" w:w="0"/>
              <w:bottom w:type="dxa" w:w="80"/>
              <w:right w:type="dxa" w:w="0"/>
            </w:tcMar>
          </w:tcPr>
          <w:p>
            <w:pPr>
              <w:jc w:val="center"/>
            </w:pPr>
            <w:r>
              <w:rPr>
                <w:rFonts w:ascii="Arial" w:cs="Arial" w:eastAsia="Arial" w:hAnsi="Arial"/>
                <w:b/>
                <w:bCs/>
                <w:color w:val="666666"/>
                <w:sz w:val="22"/>
                <w:szCs w:val="22"/>
              </w:rPr>
              <w:t xml:space="preserve">→</w:t>
            </w:r>
          </w:p>
        </w:tc>
        <w:tc>
          <w:tcPr>
            <w:tcW w:type="dxa" w:w="1600"/>
            <w:tcBorders>
              <w:top w:val="single" w:color="CCCCCC" w:sz="1"/>
              <w:left w:val="single" w:color="CCCCCC" w:sz="1"/>
              <w:bottom w:val="single" w:color="CCCCCC" w:sz="1"/>
              <w:right w:val="single" w:color="CCCCCC" w:sz="1"/>
            </w:tcBorders>
            <w:shd w:fill="D4EDDA" w:val="clear"/>
            <w:tcMar>
              <w:top w:type="dxa" w:w="100"/>
              <w:left w:type="dxa" w:w="80"/>
              <w:bottom w:type="dxa" w:w="100"/>
              <w:right w:type="dxa" w:w="80"/>
            </w:tcMar>
            <w:vAlign w:val="center"/>
          </w:tcPr>
          <w:p>
            <w:pPr>
              <w:jc w:val="center"/>
            </w:pPr>
            <w:r>
              <w:rPr>
                <w:rFonts w:ascii="Arial" w:cs="Arial" w:eastAsia="Arial" w:hAnsi="Arial"/>
                <w:b/>
                <w:bCs/>
                <w:color w:val="1A5C2A"/>
                <w:sz w:val="17"/>
                <w:szCs w:val="17"/>
              </w:rPr>
              <w:t xml:space="preserve">7. Resolve or escalate with notes</w:t>
            </w:r>
          </w:p>
        </w:tc>
        <w:tc>
          <w:tcPr>
            <w:tcW w:type="dxa" w:w="300"/>
            <w:tcBorders>
              <w:top w:val="none" w:color="FFFFFF" w:sz="0"/>
              <w:left w:val="none" w:color="FFFFFF" w:sz="0"/>
              <w:bottom w:val="none" w:color="FFFFFF" w:sz="0"/>
              <w:right w:val="none" w:color="FFFFFF" w:sz="0"/>
            </w:tcBorders>
            <w:tcMar>
              <w:top w:type="dxa" w:w="80"/>
              <w:left w:type="dxa" w:w="0"/>
              <w:bottom w:type="dxa" w:w="80"/>
              <w:right w:type="dxa" w:w="0"/>
            </w:tcMar>
          </w:tcPr>
          <w:p>
            <w:pPr>
              <w:jc w:val="center"/>
            </w:pPr>
            <w:r>
              <w:rPr>
                <w:rFonts w:ascii="Arial" w:cs="Arial" w:eastAsia="Arial" w:hAnsi="Arial"/>
                <w:b/>
                <w:bCs/>
                <w:color w:val="666666"/>
                <w:sz w:val="22"/>
                <w:szCs w:val="22"/>
              </w:rPr>
              <w:t xml:space="preserve">→</w:t>
            </w:r>
          </w:p>
        </w:tc>
        <w:tc>
          <w:tcPr>
            <w:tcW w:type="dxa" w:w="1600"/>
            <w:tcBorders>
              <w:top w:val="single" w:color="CCCCCC" w:sz="1"/>
              <w:left w:val="single" w:color="CCCCCC" w:sz="1"/>
              <w:bottom w:val="single" w:color="CCCCCC" w:sz="1"/>
              <w:right w:val="single" w:color="CCCCCC" w:sz="1"/>
            </w:tcBorders>
            <w:shd w:fill="D4EDDA" w:val="clear"/>
            <w:tcMar>
              <w:top w:type="dxa" w:w="100"/>
              <w:left w:type="dxa" w:w="80"/>
              <w:bottom w:type="dxa" w:w="100"/>
              <w:right w:type="dxa" w:w="80"/>
            </w:tcMar>
            <w:vAlign w:val="center"/>
          </w:tcPr>
          <w:p>
            <w:pPr>
              <w:jc w:val="center"/>
            </w:pPr>
            <w:r>
              <w:rPr>
                <w:rFonts w:ascii="Arial" w:cs="Arial" w:eastAsia="Arial" w:hAnsi="Arial"/>
                <w:b/>
                <w:bCs/>
                <w:color w:val="1A5C2A"/>
                <w:sz w:val="17"/>
                <w:szCs w:val="17"/>
              </w:rPr>
              <w:t xml:space="preserve">8. System logs resolution (audit trail)</w:t>
            </w:r>
          </w:p>
        </w:tc>
        <w:tc>
          <w:tcPr>
            <w:tcW w:type="dxa" w:w="300"/>
            <w:tcBorders>
              <w:top w:val="none" w:color="FFFFFF" w:sz="0"/>
              <w:left w:val="none" w:color="FFFFFF" w:sz="0"/>
              <w:bottom w:val="none" w:color="FFFFFF" w:sz="0"/>
              <w:right w:val="none" w:color="FFFFFF" w:sz="0"/>
            </w:tcBorders>
            <w:tcMar>
              <w:top w:type="dxa" w:w="80"/>
              <w:left w:type="dxa" w:w="0"/>
              <w:bottom w:type="dxa" w:w="80"/>
              <w:right w:type="dxa" w:w="0"/>
            </w:tcMar>
          </w:tcPr>
          <w:p>
            <w:pPr>
              <w:jc w:val="center"/>
            </w:pPr>
            <w:r>
              <w:rPr>
                <w:rFonts w:ascii="Arial" w:cs="Arial" w:eastAsia="Arial" w:hAnsi="Arial"/>
                <w:b/>
                <w:bCs/>
                <w:color w:val="666666"/>
                <w:sz w:val="22"/>
                <w:szCs w:val="22"/>
              </w:rPr>
              <w:t xml:space="preserve">→</w:t>
            </w:r>
          </w:p>
        </w:tc>
        <w:tc>
          <w:tcPr>
            <w:tcW w:type="dxa" w:w="1600"/>
            <w:tcBorders>
              <w:top w:val="single" w:color="CCCCCC" w:sz="1"/>
              <w:left w:val="single" w:color="CCCCCC" w:sz="1"/>
              <w:bottom w:val="single" w:color="CCCCCC" w:sz="1"/>
              <w:right w:val="single" w:color="CCCCCC" w:sz="1"/>
            </w:tcBorders>
            <w:shd w:fill="D4EDDA" w:val="clear"/>
            <w:tcMar>
              <w:top w:type="dxa" w:w="100"/>
              <w:left w:type="dxa" w:w="80"/>
              <w:bottom w:type="dxa" w:w="100"/>
              <w:right w:type="dxa" w:w="80"/>
            </w:tcMar>
            <w:vAlign w:val="center"/>
          </w:tcPr>
          <w:p>
            <w:pPr>
              <w:jc w:val="center"/>
            </w:pPr>
            <w:r>
              <w:rPr>
                <w:rFonts w:ascii="Arial" w:cs="Arial" w:eastAsia="Arial" w:hAnsi="Arial"/>
                <w:b/>
                <w:bCs/>
                <w:color w:val="1A5C2A"/>
                <w:sz w:val="17"/>
                <w:szCs w:val="17"/>
              </w:rPr>
              <w:t xml:space="preserve">9. Compliance sign-off in app</w:t>
            </w:r>
          </w:p>
        </w:tc>
        <w:tc>
          <w:tcPr>
            <w:tcW w:type="dxa" w:w="300"/>
            <w:tcBorders>
              <w:top w:val="none" w:color="FFFFFF" w:sz="0"/>
              <w:left w:val="none" w:color="FFFFFF" w:sz="0"/>
              <w:bottom w:val="none" w:color="FFFFFF" w:sz="0"/>
              <w:right w:val="none" w:color="FFFFFF" w:sz="0"/>
            </w:tcBorders>
            <w:tcMar>
              <w:top w:type="dxa" w:w="80"/>
              <w:left w:type="dxa" w:w="0"/>
              <w:bottom w:type="dxa" w:w="80"/>
              <w:right w:type="dxa" w:w="0"/>
            </w:tcMar>
          </w:tcPr>
          <w:p>
            <w:pPr>
              <w:jc w:val="center"/>
            </w:pPr>
            <w:r>
              <w:rPr>
                <w:rFonts w:ascii="Arial" w:cs="Arial" w:eastAsia="Arial" w:hAnsi="Arial"/>
                <w:b/>
                <w:bCs/>
                <w:color w:val="666666"/>
                <w:sz w:val="22"/>
                <w:szCs w:val="22"/>
              </w:rPr>
              <w:t xml:space="preserve">→</w:t>
            </w:r>
          </w:p>
        </w:tc>
        <w:tc>
          <w:tcPr>
            <w:tcW w:type="dxa" w:w="1600"/>
            <w:tcBorders>
              <w:top w:val="single" w:color="CCCCCC" w:sz="1"/>
              <w:left w:val="single" w:color="CCCCCC" w:sz="1"/>
              <w:bottom w:val="single" w:color="CCCCCC" w:sz="1"/>
              <w:right w:val="single" w:color="CCCCCC" w:sz="1"/>
            </w:tcBorders>
            <w:shd w:fill="D4EDDA" w:val="clear"/>
            <w:tcMar>
              <w:top w:type="dxa" w:w="100"/>
              <w:left w:type="dxa" w:w="80"/>
              <w:bottom w:type="dxa" w:w="100"/>
              <w:right w:type="dxa" w:w="80"/>
            </w:tcMar>
            <w:vAlign w:val="center"/>
          </w:tcPr>
          <w:p>
            <w:pPr>
              <w:jc w:val="center"/>
            </w:pPr>
            <w:r>
              <w:rPr>
                <w:rFonts w:ascii="Arial" w:cs="Arial" w:eastAsia="Arial" w:hAnsi="Arial"/>
                <w:b/>
                <w:bCs/>
                <w:color w:val="1A5C2A"/>
                <w:sz w:val="17"/>
                <w:szCs w:val="17"/>
              </w:rPr>
              <w:t xml:space="preserve">10. Archive with full history</w:t>
            </w:r>
          </w:p>
        </w:tc>
        <w:tc>
          <w:tcPr>
            <w:tcW w:type="dxa" w:w="360"/>
            <w:tcBorders>
              <w:top w:val="none" w:color="FFFFFF" w:sz="0"/>
              <w:left w:val="none" w:color="FFFFFF" w:sz="0"/>
              <w:bottom w:val="none" w:color="FFFFFF" w:sz="0"/>
              <w:right w:val="none" w:color="FFFFFF" w:sz="0"/>
            </w:tcBorders>
            <w:tcMar>
              <w:top w:type="dxa" w:w="80"/>
              <w:left w:type="dxa" w:w="0"/>
              <w:bottom w:type="dxa" w:w="80"/>
              <w:right w:type="dxa" w:w="0"/>
            </w:tcMar>
          </w:tcPr>
          <w:p>
            <w:pPr>
              <w:jc w:val="center"/>
            </w:pPr>
            <w:r>
              <w:rPr>
                <w:rFonts w:ascii="Arial" w:cs="Arial" w:eastAsia="Arial" w:hAnsi="Arial"/>
                <w:b/>
                <w:bCs/>
                <w:color w:val="666666"/>
                <w:sz w:val="22"/>
                <w:szCs w:val="22"/>
              </w:rPr>
              <w:t xml:space="preserv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Improvement</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Outcome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Automated ingestion &amp; matching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Eliminates 3-system manual cross-reference; saves ~3 hrs/report</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Canonical validation rule engine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Consistent outputs; defects caught before report generation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In-app exception workflow</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Audit trail created automatically; review cycle reduced from 6 hrs to &lt;1 hr</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Full reconciliation history</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Compliance can reconstruct any report; ~$500K annual savings</w:t>
            </w:r>
          </w:p>
        </w:tc>
      </w:tr>
    </w:tbl>
    <w:p>
      <w:pPr>
        <w:pageBreakBefore/>
      </w:pPr>
      <w:r>
        <w:t xml:space="preserve"/>
      </w:r>
    </w:p>
    <w:p>
      <w:pPr>
        <w:pStyle w:val="Heading1"/>
        <w:shd w:fill="1F3864" w:val="clear"/>
        <w:spacing w:before="300" w:after="200"/>
        <w:ind w:left="200" w:right="200"/>
      </w:pPr>
      <w:r>
        <w:rPr>
          <w:rFonts w:ascii="Arial" w:cs="Arial" w:eastAsia="Arial" w:hAnsi="Arial"/>
          <w:b/>
          <w:bCs/>
          <w:color w:val="FFFFFF"/>
          <w:sz w:val="32"/>
          <w:szCs w:val="32"/>
        </w:rPr>
        <w:t xml:space="preserve">SECTION 3  |  User Stories &amp; Acceptance Criteria</w:t>
      </w:r>
    </w:p>
    <w:p>
      <w:pPr>
        <w:spacing w:before="120" w:after="0"/>
      </w:pPr>
      <w:r>
        <w:t xml:space="preserve"/>
      </w:r>
    </w:p>
    <w:p>
      <w:pPr>
        <w:spacing w:before="60" w:after="60"/>
      </w:pPr>
      <w:r>
        <w:rPr>
          <w:rFonts w:ascii="Arial" w:cs="Arial" w:eastAsia="Arial" w:hAnsi="Arial"/>
          <w:color w:val="333333"/>
          <w:sz w:val="20"/>
          <w:szCs w:val="20"/>
        </w:rPr>
        <w:t xml:space="preserve">The following user stories were derived from stakeholder interviews and validated with each persona group before being handed off to engineering and QA. Stories are written to the INVEST standard (Independent, Negotiable, Valuable, Estimable, Small, Testable).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760"/>
        <w:gridCol w:w="1400"/>
        <w:gridCol w:w="3800"/>
      </w:tblGrid>
      <w:tr>
        <w:tc>
          <w:tcPr>
            <w:tcW w:type="dxa" w:w="9360"/>
            <w:gridSpan w:val="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US-01  |  Automated Feed Ingestion</w:t>
            </w:r>
          </w:p>
        </w:tc>
      </w:tr>
      <w:tr>
        <w:tc>
          <w:tcPr>
            <w:tcW w:type="dxa" w:w="1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864"/>
                <w:sz w:val="19"/>
                <w:szCs w:val="19"/>
              </w:rPr>
              <w:t xml:space="preserve">Persona</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Operations Analyst</w:t>
            </w:r>
          </w:p>
        </w:tc>
        <w:tc>
          <w:tcPr>
            <w:tcW w:type="dxa" w:w="1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864"/>
                <w:sz w:val="19"/>
                <w:szCs w:val="19"/>
              </w:rPr>
              <w:t xml:space="preserve">Priority</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Must Have (Sprint 1)</w:t>
            </w:r>
          </w:p>
        </w:tc>
      </w:tr>
      <w:tr>
        <w:tc>
          <w:tcPr>
            <w:tcW w:type="dxa" w:w="1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864"/>
                <w:sz w:val="19"/>
                <w:szCs w:val="19"/>
              </w:rPr>
              <w:t xml:space="preserve">Story</w:t>
            </w:r>
          </w:p>
        </w:tc>
        <w:tc>
          <w:tcPr>
            <w:tcW w:type="dxa" w:w="79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333333"/>
                <w:sz w:val="19"/>
                <w:szCs w:val="19"/>
              </w:rPr>
              <w:t xml:space="preserve">As an Operations Analyst, I want custodian data feeds to be ingested automatically each morning so that I don't have to manually pull and format data before I can begin reconciliation.</w:t>
            </w:r>
          </w:p>
        </w:tc>
      </w:tr>
      <w:tr>
        <w:tc>
          <w:tcPr>
            <w:tcW w:type="dxa" w:w="1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864"/>
                <w:sz w:val="19"/>
                <w:szCs w:val="19"/>
              </w:rPr>
              <w:t xml:space="preserve">Acceptance Criteria</w:t>
            </w:r>
          </w:p>
        </w:tc>
        <w:tc>
          <w:tcPr>
            <w:tcW w:type="dxa" w:w="79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3"/>
              </w:numPr>
            </w:pPr>
            <w:r>
              <w:rPr>
                <w:rFonts w:ascii="Arial" w:cs="Arial" w:eastAsia="Arial" w:hAnsi="Arial"/>
                <w:color w:val="333333"/>
                <w:sz w:val="19"/>
                <w:szCs w:val="19"/>
              </w:rPr>
              <w:t xml:space="preserve">Given the scheduled ingestion job runs at 6:00 AM PT, when all three custodian feeds are available, then all feeds are ingested and normalized within 15 minutes.</w:t>
            </w:r>
          </w:p>
          <w:p>
            <w:pPr>
              <w:pStyle w:val="ListParagraph"/>
              <w:numPr>
                <w:ilvl w:val="0"/>
                <w:numId w:val="3"/>
              </w:numPr>
            </w:pPr>
            <w:r>
              <w:rPr>
                <w:rFonts w:ascii="Arial" w:cs="Arial" w:eastAsia="Arial" w:hAnsi="Arial"/>
                <w:color w:val="333333"/>
                <w:sz w:val="19"/>
                <w:szCs w:val="19"/>
              </w:rPr>
              <w:t xml:space="preserve">Given a feed is unavailable or malformed, when the ingestion job runs, then the system sends an automated alert to the ops team within 5 minutes of the failure.</w:t>
            </w:r>
          </w:p>
          <w:p>
            <w:pPr>
              <w:pStyle w:val="ListParagraph"/>
              <w:numPr>
                <w:ilvl w:val="0"/>
                <w:numId w:val="3"/>
              </w:numPr>
            </w:pPr>
            <w:r>
              <w:rPr>
                <w:rFonts w:ascii="Arial" w:cs="Arial" w:eastAsia="Arial" w:hAnsi="Arial"/>
                <w:color w:val="333333"/>
                <w:sz w:val="19"/>
                <w:szCs w:val="19"/>
              </w:rPr>
              <w:t xml:space="preserve">Given successful ingestion, when I open the reconciliation dashboard, then I can see the ingestion timestamp, record count, and source for each feed.</w:t>
            </w:r>
          </w:p>
          <w:p>
            <w:pPr>
              <w:pStyle w:val="ListParagraph"/>
              <w:numPr>
                <w:ilvl w:val="0"/>
                <w:numId w:val="3"/>
              </w:numPr>
            </w:pPr>
            <w:r>
              <w:rPr>
                <w:rFonts w:ascii="Arial" w:cs="Arial" w:eastAsia="Arial" w:hAnsi="Arial"/>
                <w:color w:val="333333"/>
                <w:sz w:val="19"/>
                <w:szCs w:val="19"/>
              </w:rPr>
              <w:t xml:space="preserve">Given a partial feed (missing expected records), when ingestion completes, then the system flags the feed as incomplete and blocks auto-matching until reviewed.</w:t>
            </w:r>
          </w:p>
        </w:tc>
      </w:tr>
      <w:tr>
        <w:tc>
          <w:tcPr>
            <w:tcW w:type="dxa" w:w="1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864"/>
                <w:sz w:val="19"/>
                <w:szCs w:val="19"/>
              </w:rPr>
              <w:t xml:space="preserve">Notes</w:t>
            </w:r>
          </w:p>
        </w:tc>
        <w:tc>
          <w:tcPr>
            <w:tcW w:type="dxa" w:w="79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666666"/>
                <w:sz w:val="19"/>
                <w:szCs w:val="19"/>
              </w:rPr>
              <w:t xml:space="preserve">Trigger time may shift to 5:30 AM pending compliance sign-off on SLA. Engineering to confirm feed format specs with custodians.</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760"/>
        <w:gridCol w:w="1400"/>
        <w:gridCol w:w="3800"/>
      </w:tblGrid>
      <w:tr>
        <w:tc>
          <w:tcPr>
            <w:tcW w:type="dxa" w:w="9360"/>
            <w:gridSpan w:val="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US-02  |  Automated Record Matching with Canonical Validation Rules</w:t>
            </w:r>
          </w:p>
        </w:tc>
      </w:tr>
      <w:tr>
        <w:tc>
          <w:tcPr>
            <w:tcW w:type="dxa" w:w="1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864"/>
                <w:sz w:val="19"/>
                <w:szCs w:val="19"/>
              </w:rPr>
              <w:t xml:space="preserve">Persona</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Operations Analyst</w:t>
            </w:r>
          </w:p>
        </w:tc>
        <w:tc>
          <w:tcPr>
            <w:tcW w:type="dxa" w:w="1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864"/>
                <w:sz w:val="19"/>
                <w:szCs w:val="19"/>
              </w:rPr>
              <w:t xml:space="preserve">Priority</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Must Have (Sprint 1–2)</w:t>
            </w:r>
          </w:p>
        </w:tc>
      </w:tr>
      <w:tr>
        <w:tc>
          <w:tcPr>
            <w:tcW w:type="dxa" w:w="1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864"/>
                <w:sz w:val="19"/>
                <w:szCs w:val="19"/>
              </w:rPr>
              <w:t xml:space="preserve">Story</w:t>
            </w:r>
          </w:p>
        </w:tc>
        <w:tc>
          <w:tcPr>
            <w:tcW w:type="dxa" w:w="79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333333"/>
                <w:sz w:val="19"/>
                <w:szCs w:val="19"/>
              </w:rPr>
              <w:t xml:space="preserve">As an Operations Analyst, I want the system to automatically match records across feeds using standardized validation rules so that I only need to review exceptions, not perform the full match manually.</w:t>
            </w:r>
          </w:p>
        </w:tc>
      </w:tr>
      <w:tr>
        <w:tc>
          <w:tcPr>
            <w:tcW w:type="dxa" w:w="1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864"/>
                <w:sz w:val="19"/>
                <w:szCs w:val="19"/>
              </w:rPr>
              <w:t xml:space="preserve">Acceptance Criteria</w:t>
            </w:r>
          </w:p>
        </w:tc>
        <w:tc>
          <w:tcPr>
            <w:tcW w:type="dxa" w:w="79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3"/>
              </w:numPr>
            </w:pPr>
            <w:r>
              <w:rPr>
                <w:rFonts w:ascii="Arial" w:cs="Arial" w:eastAsia="Arial" w:hAnsi="Arial"/>
                <w:color w:val="333333"/>
                <w:sz w:val="19"/>
                <w:szCs w:val="19"/>
              </w:rPr>
              <w:t xml:space="preserve">Given all feeds are ingested, when the matching engine runs, then records are matched on [CUSIP + date + quantity] within a defined tolerance of ±0.01 shares.</w:t>
            </w:r>
          </w:p>
          <w:p>
            <w:pPr>
              <w:pStyle w:val="ListParagraph"/>
              <w:numPr>
                <w:ilvl w:val="0"/>
                <w:numId w:val="3"/>
              </w:numPr>
            </w:pPr>
            <w:r>
              <w:rPr>
                <w:rFonts w:ascii="Arial" w:cs="Arial" w:eastAsia="Arial" w:hAnsi="Arial"/>
                <w:color w:val="333333"/>
                <w:sz w:val="19"/>
                <w:szCs w:val="19"/>
              </w:rPr>
              <w:t xml:space="preserve">Given a record matches successfully, when I view the reconciliation report, then matched records are marked 'Reconciled' and excluded from the exception queue.</w:t>
            </w:r>
          </w:p>
          <w:p>
            <w:pPr>
              <w:pStyle w:val="ListParagraph"/>
              <w:numPr>
                <w:ilvl w:val="0"/>
                <w:numId w:val="3"/>
              </w:numPr>
            </w:pPr>
            <w:r>
              <w:rPr>
                <w:rFonts w:ascii="Arial" w:cs="Arial" w:eastAsia="Arial" w:hAnsi="Arial"/>
                <w:color w:val="333333"/>
                <w:sz w:val="19"/>
                <w:szCs w:val="19"/>
              </w:rPr>
              <w:t xml:space="preserve">Given a record fails to match, when matching completes, then the record appears in the exception queue with the specific mismatch field(s) highlighted.</w:t>
            </w:r>
          </w:p>
          <w:p>
            <w:pPr>
              <w:pStyle w:val="ListParagraph"/>
              <w:numPr>
                <w:ilvl w:val="0"/>
                <w:numId w:val="3"/>
              </w:numPr>
            </w:pPr>
            <w:r>
              <w:rPr>
                <w:rFonts w:ascii="Arial" w:cs="Arial" w:eastAsia="Arial" w:hAnsi="Arial"/>
                <w:color w:val="333333"/>
                <w:sz w:val="19"/>
                <w:szCs w:val="19"/>
              </w:rPr>
              <w:t xml:space="preserve">Given the matching run completes, when I view the dashboard summary, then I can see total records, matched count, exception count, and match rate percentage.</w:t>
            </w:r>
          </w:p>
          <w:p>
            <w:pPr>
              <w:pStyle w:val="ListParagraph"/>
              <w:numPr>
                <w:ilvl w:val="0"/>
                <w:numId w:val="3"/>
              </w:numPr>
            </w:pPr>
            <w:r>
              <w:rPr>
                <w:rFonts w:ascii="Arial" w:cs="Arial" w:eastAsia="Arial" w:hAnsi="Arial"/>
                <w:color w:val="333333"/>
                <w:sz w:val="19"/>
                <w:szCs w:val="19"/>
              </w:rPr>
              <w:t xml:space="preserve">Given validation rules change, when an admin updates a rule in the config, then the change is logged with author, timestamp, and previous value.</w:t>
            </w:r>
          </w:p>
        </w:tc>
      </w:tr>
      <w:tr>
        <w:tc>
          <w:tcPr>
            <w:tcW w:type="dxa" w:w="1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864"/>
                <w:sz w:val="19"/>
                <w:szCs w:val="19"/>
              </w:rPr>
              <w:t xml:space="preserve">Notes</w:t>
            </w:r>
          </w:p>
        </w:tc>
        <w:tc>
          <w:tcPr>
            <w:tcW w:type="dxa" w:w="79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666666"/>
                <w:sz w:val="19"/>
                <w:szCs w:val="19"/>
              </w:rPr>
              <w:t xml:space="preserve">Matching tolerance of ±0.01 confirmed with Compliance. Rule versioning requirement added after compliance review session.</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760"/>
        <w:gridCol w:w="1400"/>
        <w:gridCol w:w="3800"/>
      </w:tblGrid>
      <w:tr>
        <w:tc>
          <w:tcPr>
            <w:tcW w:type="dxa" w:w="9360"/>
            <w:gridSpan w:val="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US-03  |  Exception Management &amp; Escalation Workflow</w:t>
            </w:r>
          </w:p>
        </w:tc>
      </w:tr>
      <w:tr>
        <w:tc>
          <w:tcPr>
            <w:tcW w:type="dxa" w:w="1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864"/>
                <w:sz w:val="19"/>
                <w:szCs w:val="19"/>
              </w:rPr>
              <w:t xml:space="preserve">Persona</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Operations Analyst / Ops Lead</w:t>
            </w:r>
          </w:p>
        </w:tc>
        <w:tc>
          <w:tcPr>
            <w:tcW w:type="dxa" w:w="1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864"/>
                <w:sz w:val="19"/>
                <w:szCs w:val="19"/>
              </w:rPr>
              <w:t xml:space="preserve">Priority</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Must Have (Sprint 2)</w:t>
            </w:r>
          </w:p>
        </w:tc>
      </w:tr>
      <w:tr>
        <w:tc>
          <w:tcPr>
            <w:tcW w:type="dxa" w:w="1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864"/>
                <w:sz w:val="19"/>
                <w:szCs w:val="19"/>
              </w:rPr>
              <w:t xml:space="preserve">Story</w:t>
            </w:r>
          </w:p>
        </w:tc>
        <w:tc>
          <w:tcPr>
            <w:tcW w:type="dxa" w:w="79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333333"/>
                <w:sz w:val="19"/>
                <w:szCs w:val="19"/>
              </w:rPr>
              <w:t xml:space="preserve">As an Operations Analyst, I want to review, resolve, and escalate exceptions within the application so that all reconciliation actions are tracked and auditable without relying on email.</w:t>
            </w:r>
          </w:p>
        </w:tc>
      </w:tr>
      <w:tr>
        <w:tc>
          <w:tcPr>
            <w:tcW w:type="dxa" w:w="1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864"/>
                <w:sz w:val="19"/>
                <w:szCs w:val="19"/>
              </w:rPr>
              <w:t xml:space="preserve">Acceptance Criteria</w:t>
            </w:r>
          </w:p>
        </w:tc>
        <w:tc>
          <w:tcPr>
            <w:tcW w:type="dxa" w:w="79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3"/>
              </w:numPr>
            </w:pPr>
            <w:r>
              <w:rPr>
                <w:rFonts w:ascii="Arial" w:cs="Arial" w:eastAsia="Arial" w:hAnsi="Arial"/>
                <w:color w:val="333333"/>
                <w:sz w:val="19"/>
                <w:szCs w:val="19"/>
              </w:rPr>
              <w:t xml:space="preserve">Given an exception is in my queue, when I open it, then I can see the mismatched fields, the source values from each feed, and the record history.</w:t>
            </w:r>
          </w:p>
          <w:p>
            <w:pPr>
              <w:pStyle w:val="ListParagraph"/>
              <w:numPr>
                <w:ilvl w:val="0"/>
                <w:numId w:val="3"/>
              </w:numPr>
            </w:pPr>
            <w:r>
              <w:rPr>
                <w:rFonts w:ascii="Arial" w:cs="Arial" w:eastAsia="Arial" w:hAnsi="Arial"/>
                <w:color w:val="333333"/>
                <w:sz w:val="19"/>
                <w:szCs w:val="19"/>
              </w:rPr>
              <w:t xml:space="preserve">Given I resolve an exception, when I submit a resolution, then I must enter a resolution reason from a controlled vocabulary (dropdown) and an optional free-text note.</w:t>
            </w:r>
          </w:p>
          <w:p>
            <w:pPr>
              <w:pStyle w:val="ListParagraph"/>
              <w:numPr>
                <w:ilvl w:val="0"/>
                <w:numId w:val="3"/>
              </w:numPr>
            </w:pPr>
            <w:r>
              <w:rPr>
                <w:rFonts w:ascii="Arial" w:cs="Arial" w:eastAsia="Arial" w:hAnsi="Arial"/>
                <w:color w:val="333333"/>
                <w:sz w:val="19"/>
                <w:szCs w:val="19"/>
              </w:rPr>
              <w:t xml:space="preserve">Given an exception requires escalation, when I select 'Escalate,' then the exception is assigned to the Ops Lead queue with a mandatory reason field.</w:t>
            </w:r>
          </w:p>
          <w:p>
            <w:pPr>
              <w:pStyle w:val="ListParagraph"/>
              <w:numPr>
                <w:ilvl w:val="0"/>
                <w:numId w:val="3"/>
              </w:numPr>
            </w:pPr>
            <w:r>
              <w:rPr>
                <w:rFonts w:ascii="Arial" w:cs="Arial" w:eastAsia="Arial" w:hAnsi="Arial"/>
                <w:color w:val="333333"/>
                <w:sz w:val="19"/>
                <w:szCs w:val="19"/>
              </w:rPr>
              <w:t xml:space="preserve">Given a resolution is submitted, when compliance reviews, then the full resolution history (who, what, when, reason) is visible and exportable to PDF.</w:t>
            </w:r>
          </w:p>
          <w:p>
            <w:pPr>
              <w:pStyle w:val="ListParagraph"/>
              <w:numPr>
                <w:ilvl w:val="0"/>
                <w:numId w:val="3"/>
              </w:numPr>
            </w:pPr>
            <w:r>
              <w:rPr>
                <w:rFonts w:ascii="Arial" w:cs="Arial" w:eastAsia="Arial" w:hAnsi="Arial"/>
                <w:color w:val="333333"/>
                <w:sz w:val="19"/>
                <w:szCs w:val="19"/>
              </w:rPr>
              <w:t xml:space="preserve">Given an exception is unresolved after 4 hours during business hours, when the SLA timer expires, then an automated reminder is sent to the assigned analyst and Ops Lead.</w:t>
            </w:r>
          </w:p>
        </w:tc>
      </w:tr>
      <w:tr>
        <w:tc>
          <w:tcPr>
            <w:tcW w:type="dxa" w:w="1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864"/>
                <w:sz w:val="19"/>
                <w:szCs w:val="19"/>
              </w:rPr>
              <w:t xml:space="preserve">Notes</w:t>
            </w:r>
          </w:p>
        </w:tc>
        <w:tc>
          <w:tcPr>
            <w:tcW w:type="dxa" w:w="79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666666"/>
                <w:sz w:val="19"/>
                <w:szCs w:val="19"/>
              </w:rPr>
              <w:t xml:space="preserve">Controlled vocabulary for resolution reasons to be finalized with Ops Lead and Compliance in workshop. SLA timing to be confirmed.</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760"/>
        <w:gridCol w:w="1400"/>
        <w:gridCol w:w="3800"/>
      </w:tblGrid>
      <w:tr>
        <w:tc>
          <w:tcPr>
            <w:tcW w:type="dxa" w:w="9360"/>
            <w:gridSpan w:val="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US-04  |  Audit Trail &amp; Compliance Reporting</w:t>
            </w:r>
          </w:p>
        </w:tc>
      </w:tr>
      <w:tr>
        <w:tc>
          <w:tcPr>
            <w:tcW w:type="dxa" w:w="1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864"/>
                <w:sz w:val="19"/>
                <w:szCs w:val="19"/>
              </w:rPr>
              <w:t xml:space="preserve">Persona</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Compliance Officer</w:t>
            </w:r>
          </w:p>
        </w:tc>
        <w:tc>
          <w:tcPr>
            <w:tcW w:type="dxa" w:w="1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864"/>
                <w:sz w:val="19"/>
                <w:szCs w:val="19"/>
              </w:rPr>
              <w:t xml:space="preserve">Priority</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Must Have (Sprint 3)</w:t>
            </w:r>
          </w:p>
        </w:tc>
      </w:tr>
      <w:tr>
        <w:tc>
          <w:tcPr>
            <w:tcW w:type="dxa" w:w="1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864"/>
                <w:sz w:val="19"/>
                <w:szCs w:val="19"/>
              </w:rPr>
              <w:t xml:space="preserve">Story</w:t>
            </w:r>
          </w:p>
        </w:tc>
        <w:tc>
          <w:tcPr>
            <w:tcW w:type="dxa" w:w="79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333333"/>
                <w:sz w:val="19"/>
                <w:szCs w:val="19"/>
              </w:rPr>
              <w:t xml:space="preserve">As a Compliance Officer, I want a complete, tamper-proof audit trail of every reconciliation action so that I can reconstruct the history of any report for regulatory review.</w:t>
            </w:r>
          </w:p>
        </w:tc>
      </w:tr>
      <w:tr>
        <w:tc>
          <w:tcPr>
            <w:tcW w:type="dxa" w:w="1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864"/>
                <w:sz w:val="19"/>
                <w:szCs w:val="19"/>
              </w:rPr>
              <w:t xml:space="preserve">Acceptance Criteria</w:t>
            </w:r>
          </w:p>
        </w:tc>
        <w:tc>
          <w:tcPr>
            <w:tcW w:type="dxa" w:w="79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3"/>
              </w:numPr>
            </w:pPr>
            <w:r>
              <w:rPr>
                <w:rFonts w:ascii="Arial" w:cs="Arial" w:eastAsia="Arial" w:hAnsi="Arial"/>
                <w:color w:val="333333"/>
                <w:sz w:val="19"/>
                <w:szCs w:val="19"/>
              </w:rPr>
              <w:t xml:space="preserve">Given any action is taken in the system (match, exception, resolution, sign-off), when the action is completed, then it is logged with user ID, timestamp, action type, and record ID.</w:t>
            </w:r>
          </w:p>
          <w:p>
            <w:pPr>
              <w:pStyle w:val="ListParagraph"/>
              <w:numPr>
                <w:ilvl w:val="0"/>
                <w:numId w:val="3"/>
              </w:numPr>
            </w:pPr>
            <w:r>
              <w:rPr>
                <w:rFonts w:ascii="Arial" w:cs="Arial" w:eastAsia="Arial" w:hAnsi="Arial"/>
                <w:color w:val="333333"/>
                <w:sz w:val="19"/>
                <w:szCs w:val="19"/>
              </w:rPr>
              <w:t xml:space="preserve">Given I need to review a past report, when I search by date or report ID, then I can view the full reconciliation state as it existed at any point during that report's lifecycle.</w:t>
            </w:r>
          </w:p>
          <w:p>
            <w:pPr>
              <w:pStyle w:val="ListParagraph"/>
              <w:numPr>
                <w:ilvl w:val="0"/>
                <w:numId w:val="3"/>
              </w:numPr>
            </w:pPr>
            <w:r>
              <w:rPr>
                <w:rFonts w:ascii="Arial" w:cs="Arial" w:eastAsia="Arial" w:hAnsi="Arial"/>
                <w:color w:val="333333"/>
                <w:sz w:val="19"/>
                <w:szCs w:val="19"/>
              </w:rPr>
              <w:t xml:space="preserve">Given I need to export for audit, when I select a report and click 'Export,' then a PDF is generated within 30 seconds containing all records, match status, exceptions, resolutions, and sign-offs.</w:t>
            </w:r>
          </w:p>
          <w:p>
            <w:pPr>
              <w:pStyle w:val="ListParagraph"/>
              <w:numPr>
                <w:ilvl w:val="0"/>
                <w:numId w:val="3"/>
              </w:numPr>
            </w:pPr>
            <w:r>
              <w:rPr>
                <w:rFonts w:ascii="Arial" w:cs="Arial" w:eastAsia="Arial" w:hAnsi="Arial"/>
                <w:color w:val="333333"/>
                <w:sz w:val="19"/>
                <w:szCs w:val="19"/>
              </w:rPr>
              <w:t xml:space="preserve">Given an audit log entry exists, when any user (including admins) attempts to modify it, then the system rejects the modification and logs the attempt.</w:t>
            </w:r>
          </w:p>
        </w:tc>
      </w:tr>
      <w:tr>
        <w:tc>
          <w:tcPr>
            <w:tcW w:type="dxa" w:w="1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864"/>
                <w:sz w:val="19"/>
                <w:szCs w:val="19"/>
              </w:rPr>
              <w:t xml:space="preserve">Notes</w:t>
            </w:r>
          </w:p>
        </w:tc>
        <w:tc>
          <w:tcPr>
            <w:tcW w:type="dxa" w:w="79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666666"/>
                <w:sz w:val="19"/>
                <w:szCs w:val="19"/>
              </w:rPr>
              <w:t xml:space="preserve">Immutability requirement added after legal review. Export format (PDF) confirmed with compliance; CSV also desired for Phase 2.</w:t>
            </w:r>
          </w:p>
        </w:tc>
      </w:tr>
    </w:tbl>
    <w:p>
      <w:pPr>
        <w:spacing w:before="120" w:after="0"/>
      </w:pPr>
      <w:r>
        <w:t xml:space="preserve"/>
      </w:r>
    </w:p>
    <w:p>
      <w:pPr>
        <w:pageBreakBefore/>
      </w:pPr>
      <w:r>
        <w:t xml:space="preserve"/>
      </w:r>
    </w:p>
    <w:p>
      <w:pPr>
        <w:pStyle w:val="Heading1"/>
        <w:shd w:fill="1F3864" w:val="clear"/>
        <w:spacing w:before="300" w:after="200"/>
        <w:ind w:left="200" w:right="200"/>
      </w:pPr>
      <w:r>
        <w:rPr>
          <w:rFonts w:ascii="Arial" w:cs="Arial" w:eastAsia="Arial" w:hAnsi="Arial"/>
          <w:b/>
          <w:bCs/>
          <w:color w:val="FFFFFF"/>
          <w:sz w:val="32"/>
          <w:szCs w:val="32"/>
        </w:rPr>
        <w:t xml:space="preserve">SECTION 4  |  Requirements Specification (Excerpt)</w:t>
      </w:r>
    </w:p>
    <w:p>
      <w:pPr>
        <w:spacing w:before="120" w:after="0"/>
      </w:pPr>
      <w:r>
        <w:t xml:space="preserve"/>
      </w:r>
    </w:p>
    <w:p>
      <w:pPr>
        <w:spacing w:before="60" w:after="60"/>
      </w:pPr>
      <w:r>
        <w:rPr>
          <w:rFonts w:ascii="Arial" w:cs="Arial" w:eastAsia="Arial" w:hAnsi="Arial"/>
          <w:color w:val="333333"/>
          <w:sz w:val="20"/>
          <w:szCs w:val="20"/>
        </w:rPr>
        <w:t xml:space="preserve">This section contains an excerpt from the functional requirements specification produced for the reconciliation app, covering the exception management module. The full specification included 28 functional requirements, 9 non-functional requirements, and 4 integration requirements.</w:t>
      </w:r>
    </w:p>
    <w:p>
      <w:pPr>
        <w:spacing w:before="120" w:after="0"/>
      </w:pPr>
      <w:r>
        <w:t xml:space="preserve"/>
      </w:r>
    </w:p>
    <w:p>
      <w:pPr>
        <w:pStyle w:val="Heading2"/>
        <w:pBdr>
          <w:bottom w:val="single" w:color="2E5FA3" w:sz="4" w:space="2"/>
        </w:pBdr>
        <w:spacing w:before="280" w:after="100"/>
      </w:pPr>
      <w:r>
        <w:rPr>
          <w:rFonts w:ascii="Arial" w:cs="Arial" w:eastAsia="Arial" w:hAnsi="Arial"/>
          <w:b/>
          <w:bCs/>
          <w:color w:val="1F3864"/>
          <w:sz w:val="26"/>
          <w:szCs w:val="26"/>
        </w:rPr>
        <w:t xml:space="preserve">Functional Requirements — Exception Management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4560"/>
        <w:gridCol w:w="1200"/>
        <w:gridCol w:w="150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Req ID</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Category</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Requirement</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Priority</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Source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FR-10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Exception Display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The system shall display all unresolved exceptions in a queue sorted by age (oldest first) with filtering by status, analyst, and date range.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Must Have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US-03; Ops Analyst interview</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FR-11</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Exception Detail</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For each exception, the system shall display: mismatched field name(s), value from each source feed, record creation timestamp, and full match attempt history.</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Must Have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US-03; Ops Lead interview</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FR-12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Resolution Submission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The system shall require a resolution reason selected from a controlled vocabulary before an exception can be marked resolved. Free-text notes are optional.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Must Have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US-03; Compliance review</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FR-13</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Escalation</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The system shall allow analysts to escalate exceptions to the Ops Lead queue. Escalation shall require a mandatory reason field and shall automatically notify the Ops Lead via email.</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Must Have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US-03; Ops Lead interview</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FR-14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SLA Alerting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The system shall send automated reminders to the assigned analyst and Ops Lead when an exception remains unresolved for 4 business hours.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Should Have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US-03; Ops Lead interview</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FR-15</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Audit Logging</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Every action taken on an exception (view, resolution attempt, resolution, escalation, sign-off) shall be logged with user ID, action type, timestamp, and record ID. Logs shall be immutable.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Must Have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US-04; Legal review</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FR-16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Bulk Actions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The system shall allow analysts to select multiple exceptions and apply a single resolution reason in bulk, subject to Ops Lead approval for batches &gt; 10 records.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Could Have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Ops Analyst interview</w:t>
            </w:r>
          </w:p>
        </w:tc>
      </w:tr>
    </w:tbl>
    <w:p>
      <w:pPr>
        <w:spacing w:before="160" w:after="0"/>
      </w:pPr>
      <w:r>
        <w:t xml:space="preserve"/>
      </w:r>
    </w:p>
    <w:p>
      <w:pPr>
        <w:pStyle w:val="Heading2"/>
        <w:pBdr>
          <w:bottom w:val="single" w:color="2E5FA3" w:sz="4" w:space="2"/>
        </w:pBdr>
        <w:spacing w:before="280" w:after="100"/>
      </w:pPr>
      <w:r>
        <w:rPr>
          <w:rFonts w:ascii="Arial" w:cs="Arial" w:eastAsia="Arial" w:hAnsi="Arial"/>
          <w:b/>
          <w:bCs/>
          <w:color w:val="1F3864"/>
          <w:sz w:val="26"/>
          <w:szCs w:val="26"/>
        </w:rPr>
        <w:t xml:space="preserve">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4960"/>
        <w:gridCol w:w="200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Req ID</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Category</w:t>
            </w:r>
          </w:p>
        </w:tc>
        <w:tc>
          <w:tcPr>
            <w:tcW w:type="dxa" w:w="4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Requirement</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Acceptance Measure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NFR-01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Performance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The exception queue shall load within 3 seconds for up to 500 records on a standard corporate network connection.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Load time ≤ 3s at p95 in load testing</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NFR-02</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Reliability</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The reconciliation matching engine shall achieve 99.5% uptime during business hours (6 AM – 8 PM PT, Mon–Fri).</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Monitored via uptime dashboard; SLA tracked monthly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NFR-03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Audit Integrity</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Audit log entries shall be immutable and protected against modification by any user role, including system administrators.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Verified via penetration test and role-based access audit</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NFR-04</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Usability</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A new Operations Analyst with no prior system training shall be able to resolve a standard exception without assistance within 10 minutes.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Validated via usability test with 3 new analysts</w:t>
            </w:r>
          </w:p>
        </w:tc>
      </w:tr>
    </w:tbl>
    <w:p>
      <w:pPr>
        <w:spacing w:before="160" w:after="0"/>
      </w:pPr>
      <w:r>
        <w:t xml:space="preserve"/>
      </w:r>
    </w:p>
    <w:p>
      <w:pPr>
        <w:pStyle w:val="Heading2"/>
        <w:pBdr>
          <w:bottom w:val="single" w:color="2E5FA3" w:sz="4" w:space="2"/>
        </w:pBdr>
        <w:spacing w:before="280" w:after="100"/>
      </w:pPr>
      <w:r>
        <w:rPr>
          <w:rFonts w:ascii="Arial" w:cs="Arial" w:eastAsia="Arial" w:hAnsi="Arial"/>
          <w:b/>
          <w:bCs/>
          <w:color w:val="1F3864"/>
          <w:sz w:val="26"/>
          <w:szCs w:val="26"/>
        </w:rPr>
        <w:t xml:space="preserve">Requirements Traceability (Excerpt)</w:t>
      </w:r>
    </w:p>
    <w:p>
      <w:pPr>
        <w:spacing w:before="60" w:after="60"/>
      </w:pPr>
      <w:r>
        <w:rPr>
          <w:rFonts w:ascii="Arial" w:cs="Arial" w:eastAsia="Arial" w:hAnsi="Arial"/>
          <w:color w:val="333333"/>
          <w:sz w:val="20"/>
          <w:szCs w:val="20"/>
        </w:rPr>
        <w:t xml:space="preserve">The traceability matrix ensures every requirement is tied back to a user story, a stakeholder source, and a QA test case — enabling full coverage validation before release.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2400"/>
        <w:gridCol w:w="2160"/>
        <w:gridCol w:w="210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Req ID</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User Story</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Business Need</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Test Case(s)</w:t>
            </w:r>
          </w:p>
        </w:tc>
        <w:tc>
          <w:tcPr>
            <w:tcW w:type="dxa" w:w="2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Status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FR-10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US-03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Analysts need visibility into all exceptions without manual tracking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TC-21, TC-22, TC-23</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Accepted by QA</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FR-12</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US-03</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Compliance requires documented rationale for every resolution</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TC-28, TC-29</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Accepted by QA</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FR-15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US-04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Legal requires tamper-proof audit trail for regulatory review</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TC-41, TC-42, TC-43</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Accepted by QA</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NFR-03</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US-04</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Legal requires immutability even from admin access</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Security Test ST-07</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Pending pen test</w:t>
            </w:r>
          </w:p>
        </w:tc>
      </w:tr>
    </w:tbl>
    <w:p>
      <w:pPr>
        <w:spacing w:before="200" w:after="0"/>
      </w:pPr>
      <w:r>
        <w:t xml:space="preserve"/>
      </w:r>
    </w:p>
    <w:p>
      <w:pPr>
        <w:pStyle w:val="Heading2"/>
        <w:pBdr>
          <w:bottom w:val="single" w:color="2E5FA3" w:sz="4" w:space="2"/>
        </w:pBdr>
        <w:spacing w:before="280" w:after="100"/>
      </w:pPr>
      <w:r>
        <w:rPr>
          <w:rFonts w:ascii="Arial" w:cs="Arial" w:eastAsia="Arial" w:hAnsi="Arial"/>
          <w:b/>
          <w:bCs/>
          <w:color w:val="1F3864"/>
          <w:sz w:val="26"/>
          <w:szCs w:val="26"/>
        </w:rPr>
        <w:t xml:space="preserve">Reflection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7" w:val="clear"/>
            <w:tcMar>
              <w:top w:type="dxa" w:w="140"/>
              <w:left w:type="dxa" w:w="200"/>
              <w:bottom w:type="dxa" w:w="140"/>
              <w:right w:type="dxa" w:w="200"/>
            </w:tcMar>
          </w:tcPr>
          <w:p>
            <w:pPr>
              <w:spacing w:after="80"/>
            </w:pPr>
            <w:r>
              <w:rPr>
                <w:rFonts w:ascii="Arial" w:cs="Arial" w:eastAsia="Arial" w:hAnsi="Arial"/>
                <w:b/>
                <w:bCs/>
                <w:color w:val="1F3864"/>
                <w:sz w:val="20"/>
                <w:szCs w:val="20"/>
              </w:rPr>
              <w:t xml:space="preserve">What I'd do differently with more time:</w:t>
            </w:r>
          </w:p>
          <w:p>
            <w:pPr>
              <w:pStyle w:val="ListParagraph"/>
              <w:numPr>
                <w:ilvl w:val="0"/>
                <w:numId w:val="2"/>
              </w:numPr>
              <w:spacing w:before="40" w:after="40"/>
            </w:pPr>
            <w:r>
              <w:rPr>
                <w:rFonts w:ascii="Arial" w:cs="Arial" w:eastAsia="Arial" w:hAnsi="Arial"/>
                <w:color w:val="333333"/>
                <w:sz w:val="19"/>
                <w:szCs w:val="19"/>
              </w:rPr>
              <w:t xml:space="preserve">Run a formal usability test on the exception queue UI before finalizing FR-10/FR-11 — I captured the need from interviews but didn't validate the display logic with actual users doing the task.</w:t>
            </w:r>
          </w:p>
          <w:p>
            <w:pPr>
              <w:pStyle w:val="ListParagraph"/>
              <w:numPr>
                <w:ilvl w:val="0"/>
                <w:numId w:val="2"/>
              </w:numPr>
              <w:spacing w:before="40" w:after="40"/>
            </w:pPr>
            <w:r>
              <w:rPr>
                <w:rFonts w:ascii="Arial" w:cs="Arial" w:eastAsia="Arial" w:hAnsi="Arial"/>
                <w:color w:val="333333"/>
                <w:sz w:val="19"/>
                <w:szCs w:val="19"/>
              </w:rPr>
              <w:t xml:space="preserve">Develop a formal impact assessment for the escalation workflow change — ops leads flagged in UAT that their queue volume increased, which we could have anticipated with more structured change impact analysis.</w:t>
            </w:r>
          </w:p>
          <w:p>
            <w:pPr>
              <w:pStyle w:val="ListParagraph"/>
              <w:numPr>
                <w:ilvl w:val="0"/>
                <w:numId w:val="2"/>
              </w:numPr>
              <w:spacing w:before="40" w:after="40"/>
            </w:pPr>
            <w:r>
              <w:rPr>
                <w:rFonts w:ascii="Arial" w:cs="Arial" w:eastAsia="Arial" w:hAnsi="Arial"/>
                <w:color w:val="333333"/>
                <w:sz w:val="19"/>
                <w:szCs w:val="19"/>
              </w:rPr>
              <w:t xml:space="preserve">Document the controlled vocabulary for resolution reasons earlier — finalizing it in a workshop during Sprint 2 created a brief dependency delay for engineering.</w:t>
            </w:r>
          </w:p>
        </w:tc>
      </w:tr>
    </w:tbl>
    <w:p>
      <w:pPr>
        <w:spacing w:before="80" w:after="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abstractNum>
  <w:abstractNum w:abstractNumId="3" w15:restartNumberingAfterBreak="0">
    <w:multiLevelType w:val="hybridMultilevel"/>
    <w:lvl w:ilvl="0" w15:tentative="1">
      <w:start w:val="1"/>
      <w:numFmt w:val="bullet"/>
      <w:lvlText w:val="–"/>
      <w:lvlJc w:val="left"/>
      <w:pPr>
        <w:ind w:left="840" w:hanging="280"/>
      </w:pPr>
    </w:lvl>
  </w:abstractNum>
  <w:abstractNum w:abstractNumId="4" w15:restartNumberingAfterBreak="0">
    <w:multiLevelType w:val="hybridMultilevel"/>
    <w:lvl w:ilvl="0" w15:tentative="1">
      <w:start w:val="1"/>
      <w:numFmt w:val="decimal"/>
      <w:lvlText w:val="%1."/>
      <w:lvlJc w:val="left"/>
      <w:pPr>
        <w:ind w:left="480" w:hanging="28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color w:val="FFFFFF"/>
      <w:sz w:val="32"/>
      <w:szCs w:val="32"/>
    </w:rPr>
  </w:style>
  <w:style w:type="paragraph" w:styleId="Heading2">
    <w:name w:val="Heading 2"/>
    <w:basedOn w:val="Normal"/>
    <w:next w:val="Normal"/>
    <w:qFormat/>
    <w:pPr>
      <w:spacing w:before="200" w:after="100"/>
      <w:outlineLvl w:val="1"/>
    </w:pPr>
    <w:rPr>
      <w:rFonts w:ascii="Arial" w:cs="Arial" w:eastAsia="Arial" w:hAnsi="Arial"/>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2026-02-20T00:23:04.393Z</dcterms:created>
  <dcterms:modified xsi:type="dcterms:W3CDTF">2026-02-20T00:23:04.394Z</dcterms:modified>
</cp:coreProperties>
</file>

<file path=docProps/custom.xml><?xml version="1.0" encoding="utf-8"?>
<Properties xmlns="http://schemas.openxmlformats.org/officeDocument/2006/custom-properties" xmlns:vt="http://schemas.openxmlformats.org/officeDocument/2006/docPropsVTypes"/>
</file>