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pPr>
      <w:r>
        <w:rPr>
          <w:rFonts w:ascii="Arial" w:cs="Arial" w:eastAsia="Arial" w:hAnsi="Arial"/>
          <w:b/>
          <w:bCs/>
          <w:color w:val="1B2A4A"/>
          <w:sz w:val="44"/>
          <w:szCs w:val="44"/>
        </w:rPr>
        <w:t xml:space="preserve">Adaptive Learning Intelligence Platform</w:t>
      </w:r>
    </w:p>
    <w:p>
      <w:pPr>
        <w:spacing w:before="0" w:after="60"/>
      </w:pPr>
      <w:r>
        <w:rPr>
          <w:rFonts w:ascii="Arial" w:cs="Arial" w:eastAsia="Arial" w:hAnsi="Arial"/>
          <w:color w:val="2563EB"/>
          <w:sz w:val="30"/>
          <w:szCs w:val="30"/>
        </w:rPr>
        <w:t xml:space="preserve">Fractions Domain — Data Model v1.0</w:t>
      </w:r>
    </w:p>
    <w:p>
      <w:pPr>
        <w:spacing w:before="0" w:after="40"/>
      </w:pPr>
      <w:r>
        <w:rPr>
          <w:rFonts w:ascii="Arial" w:cs="Arial" w:eastAsia="Arial" w:hAnsi="Arial"/>
          <w:color w:val="6B7280"/>
          <w:sz w:val="22"/>
          <w:szCs w:val="22"/>
        </w:rPr>
        <w:t xml:space="preserve">Micro-Skills  ·  Prerequisite Graph  ·  Misconception Taxonomy</w:t>
      </w:r>
    </w:p>
    <w:p>
      <w:pPr>
        <w:spacing w:before="0" w:after="400"/>
      </w:pPr>
      <w:r>
        <w:rPr>
          <w:rFonts w:ascii="Arial" w:cs="Arial" w:eastAsia="Arial" w:hAnsi="Arial"/>
          <w:color w:val="6B7280"/>
          <w:sz w:val="20"/>
          <w:szCs w:val="20"/>
        </w:rPr>
        <w:t xml:space="preserve">Your knowledge graph foundation for the cognitive engine build.</w:t>
      </w:r>
    </w:p>
    <w:p>
      <w:pPr>
        <w:pBdr>
          <w:bottom w:val="single" w:color="2563EB" w:sz="4" w:space="1"/>
        </w:pBdr>
        <w:spacing w:before="160" w:after="160"/>
      </w:pPr>
      <w:r>
        <w:t xml:space="preserve"/>
      </w:r>
    </w:p>
    <w:p>
      <w:pPr>
        <w:spacing w:before="340" w:after="120"/>
      </w:pPr>
      <w:r>
        <w:rPr>
          <w:rFonts w:ascii="Arial" w:cs="Arial" w:eastAsia="Arial" w:hAnsi="Arial"/>
          <w:b/>
          <w:bCs/>
          <w:color w:val="1B2A4A"/>
          <w:sz w:val="28"/>
          <w:szCs w:val="28"/>
        </w:rPr>
        <w:t xml:space="preserve">1.  What This Document Is</w:t>
      </w:r>
    </w:p>
    <w:p>
      <w:pPr>
        <w:spacing w:before="60" w:after="60"/>
      </w:pPr>
      <w:r>
        <w:rPr>
          <w:rFonts w:ascii="Arial" w:cs="Arial" w:eastAsia="Arial" w:hAnsi="Arial"/>
          <w:color w:val="111827"/>
          <w:sz w:val="20"/>
          <w:szCs w:val="20"/>
        </w:rPr>
        <w:t xml:space="preserve">This is your foundational data model — the raw material that powers every layer of your cognitive engine: the knowledge graph, mastery tracking, misconception detection, and adaptive sequencing logic.</w:t>
      </w:r>
    </w:p>
    <w:p>
      <w:pPr>
        <w:spacing w:before="60" w:after="40"/>
      </w:pPr>
      <w:r>
        <w:rPr>
          <w:rFonts w:ascii="Arial" w:cs="Arial" w:eastAsia="Arial" w:hAnsi="Arial"/>
          <w:color w:val="111827"/>
          <w:sz w:val="20"/>
          <w:szCs w:val="20"/>
        </w:rPr>
        <w:t xml:space="preserve">It covers three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7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Contains</w:t>
            </w:r>
          </w:p>
        </w:tc>
      </w:tr>
      <w:tr>
        <w:tc>
          <w:tcPr>
            <w:tcW w:type="dxa" w:w="16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1B2A4A"/>
                <w:sz w:val="20"/>
                <w:szCs w:val="20"/>
              </w:rPr>
              <w:t xml:space="preserve">Micro-Skills</w:t>
            </w:r>
          </w:p>
        </w:tc>
        <w:tc>
          <w:tcPr>
            <w:tcW w:type="dxa" w:w="7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8 atomic learning units, each with ID, description, prerequisites, mastery goal, and difficulty</w:t>
            </w:r>
          </w:p>
        </w:tc>
      </w:tr>
      <w:tr>
        <w:tc>
          <w:tcPr>
            <w:tcW w:type="dxa" w:w="160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tcPr>
          <w:p>
            <w:r>
              <w:rPr>
                <w:rFonts w:ascii="Arial" w:cs="Arial" w:eastAsia="Arial" w:hAnsi="Arial"/>
                <w:b/>
                <w:bCs/>
                <w:color w:val="0D9488"/>
                <w:sz w:val="20"/>
                <w:szCs w:val="20"/>
              </w:rPr>
              <w:t xml:space="preserve">Knowledge Graph</w:t>
            </w:r>
          </w:p>
        </w:tc>
        <w:tc>
          <w:tcPr>
            <w:tcW w:type="dxa" w:w="7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Prerequisite relationships between micro-skills — defines valid learning paths and unlock logic</w:t>
            </w:r>
          </w:p>
        </w:tc>
      </w:tr>
      <w:tr>
        <w:tc>
          <w:tcPr>
            <w:tcW w:type="dxa" w:w="16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DC2626"/>
                <w:sz w:val="20"/>
                <w:szCs w:val="20"/>
              </w:rPr>
              <w:t xml:space="preserve">Misconceptions</w:t>
            </w:r>
          </w:p>
        </w:tc>
        <w:tc>
          <w:tcPr>
            <w:tcW w:type="dxa" w:w="7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6 misconception types with root cause, example wrong answer, linked skills, and remediation strategy</w:t>
            </w:r>
          </w:p>
        </w:tc>
      </w:tr>
    </w:tbl>
    <w:p>
      <w:pPr>
        <w:pBdr>
          <w:bottom w:val="single" w:color="E5E7EB" w:sz="4" w:space="1"/>
        </w:pBdr>
        <w:spacing w:before="160" w:after="160"/>
      </w:pPr>
      <w:r>
        <w:t xml:space="preserve"/>
      </w:r>
    </w:p>
    <w:p>
      <w:pPr>
        <w:spacing w:before="340" w:after="120"/>
      </w:pPr>
      <w:r>
        <w:rPr>
          <w:rFonts w:ascii="Arial" w:cs="Arial" w:eastAsia="Arial" w:hAnsi="Arial"/>
          <w:b/>
          <w:bCs/>
          <w:color w:val="1B2A4A"/>
          <w:sz w:val="28"/>
          <w:szCs w:val="28"/>
        </w:rPr>
        <w:t xml:space="preserve">2.  Micro-Skills (MS-01 → MS-08)</w:t>
      </w:r>
    </w:p>
    <w:p>
      <w:pPr>
        <w:spacing w:before="10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60"/>
        <w:gridCol w:w="2100"/>
      </w:tblGrid>
      <w:tr>
        <w:tc>
          <w:tcPr>
            <w:tcW w:type="dxa" w:w="10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MS-01</w:t>
            </w:r>
          </w:p>
        </w:tc>
        <w:tc>
          <w:tcPr>
            <w:tcW w:type="dxa" w:w="626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1B2A4A"/>
                <w:sz w:val="20"/>
                <w:szCs w:val="20"/>
              </w:rPr>
              <w:t xml:space="preserve">What is a Fraction?</w:t>
            </w:r>
          </w:p>
        </w:tc>
        <w:tc>
          <w:tcPr>
            <w:tcW w:type="dxa" w:w="21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Foundational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Description</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Understand that a fraction represents part of a whole. Identify numerator and denominator. Read and write fractions correctly.</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Prerequisites</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0D9488"/>
                <w:sz w:val="20"/>
                <w:szCs w:val="20"/>
              </w:rPr>
              <w:t xml:space="preserve">None — entry point</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Mastery Goal</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Student can identify numerator/denominator and explain what a fraction means in their own words.</w:t>
            </w:r>
          </w:p>
        </w:tc>
      </w:tr>
    </w:tbl>
    <w:p>
      <w:pPr>
        <w:spacing w:before="2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60"/>
        <w:gridCol w:w="2100"/>
      </w:tblGrid>
      <w:tr>
        <w:tc>
          <w:tcPr>
            <w:tcW w:type="dxa" w:w="10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MS-02</w:t>
            </w:r>
          </w:p>
        </w:tc>
        <w:tc>
          <w:tcPr>
            <w:tcW w:type="dxa" w:w="626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1B2A4A"/>
                <w:sz w:val="20"/>
                <w:szCs w:val="20"/>
              </w:rPr>
              <w:t xml:space="preserve">Fractions on a Number Line</w:t>
            </w:r>
          </w:p>
        </w:tc>
        <w:tc>
          <w:tcPr>
            <w:tcW w:type="dxa" w:w="21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Foundational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Description</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Place fractions on a number line. Understand that fractions have magnitude and relative position between whole numbers.</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Prerequisites</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MS-01 (What is a Fraction?)</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Mastery Goal</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Student can place at least 4/5 fractions correctly on a number line without assistance.</w:t>
            </w:r>
          </w:p>
        </w:tc>
      </w:tr>
    </w:tbl>
    <w:p>
      <w:pPr>
        <w:spacing w:before="2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60"/>
        <w:gridCol w:w="2100"/>
      </w:tblGrid>
      <w:tr>
        <w:tc>
          <w:tcPr>
            <w:tcW w:type="dxa" w:w="10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MS-03</w:t>
            </w:r>
          </w:p>
        </w:tc>
        <w:tc>
          <w:tcPr>
            <w:tcW w:type="dxa" w:w="626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1B2A4A"/>
                <w:sz w:val="20"/>
                <w:szCs w:val="20"/>
              </w:rPr>
              <w:t xml:space="preserve">Equivalent Fractions</w:t>
            </w:r>
          </w:p>
        </w:tc>
        <w:tc>
          <w:tcPr>
            <w:tcW w:type="dxa" w:w="2100"/>
            <w:tcBorders>
              <w:top w:val="single" w:color="E5E7EB" w:sz="1"/>
              <w:left w:val="single" w:color="E5E7EB" w:sz="1"/>
              <w:bottom w:val="single" w:color="E5E7EB" w:sz="1"/>
              <w:right w:val="single" w:color="E5E7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Developing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Description</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Recognise that different fractions can represent the same value. Generate equivalent fractions by multiplying/dividing numerator and denominator by the same number.</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Prerequisites</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MS-01, MS-02</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Mastery Goal</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Student can generate and verify equivalent fractions consistently across 5+ variations.</w:t>
            </w:r>
          </w:p>
        </w:tc>
      </w:tr>
    </w:tbl>
    <w:p>
      <w:pPr>
        <w:spacing w:before="2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60"/>
        <w:gridCol w:w="2100"/>
      </w:tblGrid>
      <w:tr>
        <w:tc>
          <w:tcPr>
            <w:tcW w:type="dxa" w:w="10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MS-04</w:t>
            </w:r>
          </w:p>
        </w:tc>
        <w:tc>
          <w:tcPr>
            <w:tcW w:type="dxa" w:w="626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1B2A4A"/>
                <w:sz w:val="20"/>
                <w:szCs w:val="20"/>
              </w:rPr>
              <w:t xml:space="preserve">Simplifying Fractions</w:t>
            </w:r>
          </w:p>
        </w:tc>
        <w:tc>
          <w:tcPr>
            <w:tcW w:type="dxa" w:w="2100"/>
            <w:tcBorders>
              <w:top w:val="single" w:color="E5E7EB" w:sz="1"/>
              <w:left w:val="single" w:color="E5E7EB" w:sz="1"/>
              <w:bottom w:val="single" w:color="E5E7EB" w:sz="1"/>
              <w:right w:val="single" w:color="E5E7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Developing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Description</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Reduce fractions to their simplest form using GCF. Recognise when a fraction is already fully simplified.</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Prerequisites</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MS-03 (Equivalent Fractions), understanding of factors</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Mastery Goal</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Student simplifies fractions correctly without prompting in 4/5 attempts.</w:t>
            </w:r>
          </w:p>
        </w:tc>
      </w:tr>
    </w:tbl>
    <w:p>
      <w:pPr>
        <w:spacing w:before="2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60"/>
        <w:gridCol w:w="2100"/>
      </w:tblGrid>
      <w:tr>
        <w:tc>
          <w:tcPr>
            <w:tcW w:type="dxa" w:w="10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MS-05</w:t>
            </w:r>
          </w:p>
        </w:tc>
        <w:tc>
          <w:tcPr>
            <w:tcW w:type="dxa" w:w="626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1B2A4A"/>
                <w:sz w:val="20"/>
                <w:szCs w:val="20"/>
              </w:rPr>
              <w:t xml:space="preserve">Comparing Fractions</w:t>
            </w:r>
          </w:p>
        </w:tc>
        <w:tc>
          <w:tcPr>
            <w:tcW w:type="dxa" w:w="2100"/>
            <w:tcBorders>
              <w:top w:val="single" w:color="E5E7EB" w:sz="1"/>
              <w:left w:val="single" w:color="E5E7EB" w:sz="1"/>
              <w:bottom w:val="single" w:color="E5E7EB" w:sz="1"/>
              <w:right w:val="single" w:color="E5E7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Developing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Description</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Compare two or more fractions using cross-multiplication, common denominators, or benchmarking (e.g. vs 1/2).</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Prerequisites</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MS-03, MS-04</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Mastery Goal</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Student correctly compares fractions and explains reasoning in 4/5 attempts.</w:t>
            </w:r>
          </w:p>
        </w:tc>
      </w:tr>
    </w:tbl>
    <w:p>
      <w:pPr>
        <w:spacing w:before="2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60"/>
        <w:gridCol w:w="2100"/>
      </w:tblGrid>
      <w:tr>
        <w:tc>
          <w:tcPr>
            <w:tcW w:type="dxa" w:w="10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MS-06</w:t>
            </w:r>
          </w:p>
        </w:tc>
        <w:tc>
          <w:tcPr>
            <w:tcW w:type="dxa" w:w="626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1B2A4A"/>
                <w:sz w:val="20"/>
                <w:szCs w:val="20"/>
              </w:rPr>
              <w:t xml:space="preserve">Adding Fractions (Same Denominator)</w:t>
            </w:r>
          </w:p>
        </w:tc>
        <w:tc>
          <w:tcPr>
            <w:tcW w:type="dxa" w:w="2100"/>
            <w:tcBorders>
              <w:top w:val="single" w:color="E5E7EB" w:sz="1"/>
              <w:left w:val="single" w:color="E5E7EB" w:sz="1"/>
              <w:bottom w:val="single" w:color="E5E7EB" w:sz="1"/>
              <w:right w:val="single" w:color="E5E7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Developing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Description</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Add fractions that share a common denominator. Simplify the result where needed.</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Prerequisites</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MS-04, MS-05</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Mastery Goal</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Student adds same-denominator fractions and simplifies in 4/5 attempts.</w:t>
            </w:r>
          </w:p>
        </w:tc>
      </w:tr>
    </w:tbl>
    <w:p>
      <w:pPr>
        <w:spacing w:before="2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60"/>
        <w:gridCol w:w="2100"/>
      </w:tblGrid>
      <w:tr>
        <w:tc>
          <w:tcPr>
            <w:tcW w:type="dxa" w:w="10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MS-07</w:t>
            </w:r>
          </w:p>
        </w:tc>
        <w:tc>
          <w:tcPr>
            <w:tcW w:type="dxa" w:w="626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1B2A4A"/>
                <w:sz w:val="20"/>
                <w:szCs w:val="20"/>
              </w:rPr>
              <w:t xml:space="preserve">Adding Fractions (Different Denominators)</w:t>
            </w:r>
          </w:p>
        </w:tc>
        <w:tc>
          <w:tcPr>
            <w:tcW w:type="dxa" w:w="210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Description</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Find LCM to create common denominator. Convert fractions, add, and simplify result.</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Prerequisites</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MS-06, understanding of LCM</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Mastery Goal</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Student correctly adds unlike fractions and simplifies across 5+ varied problems.</w:t>
            </w:r>
          </w:p>
        </w:tc>
      </w:tr>
    </w:tbl>
    <w:p>
      <w:pPr>
        <w:spacing w:before="2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60"/>
        <w:gridCol w:w="2100"/>
      </w:tblGrid>
      <w:tr>
        <w:tc>
          <w:tcPr>
            <w:tcW w:type="dxa" w:w="10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MS-08</w:t>
            </w:r>
          </w:p>
        </w:tc>
        <w:tc>
          <w:tcPr>
            <w:tcW w:type="dxa" w:w="626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1B2A4A"/>
                <w:sz w:val="20"/>
                <w:szCs w:val="20"/>
              </w:rPr>
              <w:t xml:space="preserve">Subtracting Fractions</w:t>
            </w:r>
          </w:p>
        </w:tc>
        <w:tc>
          <w:tcPr>
            <w:tcW w:type="dxa" w:w="210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Description</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Subtract fractions with same and different denominators. Apply same LCM logic as addition.</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Prerequisites</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MS-07</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Mastery Goal</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Student subtracts fractions correctly with and without common denominators.</w:t>
            </w:r>
          </w:p>
        </w:tc>
      </w:tr>
    </w:tbl>
    <w:p>
      <w:pPr>
        <w:pBdr>
          <w:bottom w:val="single" w:color="E5E7EB" w:sz="4" w:space="1"/>
        </w:pBdr>
        <w:spacing w:before="160" w:after="160"/>
      </w:pPr>
      <w:r>
        <w:t xml:space="preserve"/>
      </w:r>
    </w:p>
    <w:p>
      <w:pPr>
        <w:spacing w:before="340" w:after="120"/>
      </w:pPr>
      <w:r>
        <w:rPr>
          <w:rFonts w:ascii="Arial" w:cs="Arial" w:eastAsia="Arial" w:hAnsi="Arial"/>
          <w:b/>
          <w:bCs/>
          <w:color w:val="1B2A4A"/>
          <w:sz w:val="28"/>
          <w:szCs w:val="28"/>
        </w:rPr>
        <w:t xml:space="preserve">3.  Prerequisite Knowledge Graph</w:t>
      </w:r>
    </w:p>
    <w:p>
      <w:pPr>
        <w:spacing w:before="60" w:after="60"/>
      </w:pPr>
      <w:r>
        <w:rPr>
          <w:rFonts w:ascii="Arial" w:cs="Arial" w:eastAsia="Arial" w:hAnsi="Arial"/>
          <w:color w:val="111827"/>
          <w:sz w:val="20"/>
          <w:szCs w:val="20"/>
        </w:rPr>
        <w:t xml:space="preserve">The graph below defines the only valid learning paths through the fractions domain. The adaptive engine uses this to determine which skill to unlock next and which remediation path to follow when a student is stuck.</w:t>
      </w:r>
    </w:p>
    <w:p>
      <w:pPr>
        <w:spacing w:before="1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From</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To</w:t>
            </w:r>
          </w:p>
        </w:tc>
        <w:tc>
          <w:tcPr>
            <w:tcW w:type="dxa" w:w="6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Relationship &amp; Logic</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Entry</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MS-01</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0D9488"/>
                <w:sz w:val="20"/>
                <w:szCs w:val="20"/>
              </w:rPr>
              <w:t xml:space="preserve">Entry point — no prerequisites</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MS-01</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MS-02</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DC2626"/>
                <w:sz w:val="20"/>
                <w:szCs w:val="20"/>
              </w:rPr>
              <w:t xml:space="preserve">REQUIRES — must master before unlocking</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MS-01</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MS-03</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DC2626"/>
                <w:sz w:val="20"/>
                <w:szCs w:val="20"/>
              </w:rPr>
              <w:t xml:space="preserve">REQUIRES — must master before unlocking</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MS-02</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MS-03</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0D9488"/>
                <w:sz w:val="20"/>
                <w:szCs w:val="20"/>
              </w:rPr>
              <w:t xml:space="preserve">SUPPORTS — strengthens understanding</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MS-03</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MS-04</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DC2626"/>
                <w:sz w:val="20"/>
                <w:szCs w:val="20"/>
              </w:rPr>
              <w:t xml:space="preserve">REQUIRES — must master before unlocking</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MS-03</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MS-05</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DC2626"/>
                <w:sz w:val="20"/>
                <w:szCs w:val="20"/>
              </w:rPr>
              <w:t xml:space="preserve">REQUIRES — must master before unlocking</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MS-04</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MS-05</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DC2626"/>
                <w:sz w:val="20"/>
                <w:szCs w:val="20"/>
              </w:rPr>
              <w:t xml:space="preserve">REQUIRES — must master before unlocking</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MS-04</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MS-06</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DC2626"/>
                <w:sz w:val="20"/>
                <w:szCs w:val="20"/>
              </w:rPr>
              <w:t xml:space="preserve">REQUIRES — must master before unlocking</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MS-05</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MS-06</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0D9488"/>
                <w:sz w:val="20"/>
                <w:szCs w:val="20"/>
              </w:rPr>
              <w:t xml:space="preserve">SUPPORTS — strengthens understanding</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MS-06</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MS-07</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DC2626"/>
                <w:sz w:val="20"/>
                <w:szCs w:val="20"/>
              </w:rPr>
              <w:t xml:space="preserve">REQUIRES — must master before unlocking</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MS-07</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MS-08</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DC2626"/>
                <w:sz w:val="20"/>
                <w:szCs w:val="20"/>
              </w:rPr>
              <w:t xml:space="preserve">REQUIRES — must master before unlocking</w:t>
            </w:r>
          </w:p>
        </w:tc>
      </w:tr>
    </w:tbl>
    <w:p>
      <w:pPr>
        <w:spacing w:before="160" w:after="60"/>
      </w:pPr>
      <w:r>
        <w:t xml:space="preserve"/>
      </w:r>
    </w:p>
    <w:p>
      <w:pPr>
        <w:spacing w:before="60" w:after="60"/>
      </w:pPr>
      <w:r>
        <w:rPr>
          <w:rFonts w:ascii="Arial" w:cs="Arial" w:eastAsia="Arial" w:hAnsi="Arial"/>
          <w:b/>
          <w:bCs/>
          <w:color w:val="1B2A4A"/>
          <w:sz w:val="20"/>
          <w:szCs w:val="20"/>
        </w:rPr>
        <w:t xml:space="preserve">Unlock rule:  </w:t>
      </w:r>
      <w:r>
        <w:rPr>
          <w:rFonts w:ascii="Arial" w:cs="Arial" w:eastAsia="Arial" w:hAnsi="Arial"/>
          <w:color w:val="111827"/>
          <w:sz w:val="20"/>
          <w:szCs w:val="20"/>
        </w:rPr>
        <w:t xml:space="preserve">A skill unlocks only when all REQUIRES prerequisites reach mastery score ≥ 0.80. SUPPORTS prerequisites improve sequencing quality but do not block progress.</w:t>
      </w:r>
    </w:p>
    <w:p>
      <w:pPr>
        <w:pBdr>
          <w:bottom w:val="single" w:color="E5E7EB" w:sz="4" w:space="1"/>
        </w:pBdr>
        <w:spacing w:before="160" w:after="160"/>
      </w:pPr>
      <w:r>
        <w:t xml:space="preserve"/>
      </w:r>
    </w:p>
    <w:p>
      <w:pPr>
        <w:spacing w:before="340" w:after="120"/>
      </w:pPr>
      <w:r>
        <w:rPr>
          <w:rFonts w:ascii="Arial" w:cs="Arial" w:eastAsia="Arial" w:hAnsi="Arial"/>
          <w:b/>
          <w:bCs/>
          <w:color w:val="1B2A4A"/>
          <w:sz w:val="28"/>
          <w:szCs w:val="28"/>
        </w:rPr>
        <w:t xml:space="preserve">4.  Misconception Taxonomy (M1 → M6)</w:t>
      </w:r>
    </w:p>
    <w:p>
      <w:pPr>
        <w:spacing w:before="60" w:after="60"/>
      </w:pPr>
      <w:r>
        <w:rPr>
          <w:rFonts w:ascii="Arial" w:cs="Arial" w:eastAsia="Arial" w:hAnsi="Arial"/>
          <w:color w:val="111827"/>
          <w:sz w:val="20"/>
          <w:szCs w:val="20"/>
        </w:rPr>
        <w:t xml:space="preserve">Each misconception is a specific, recurring cognitive error pattern. When the system detects one, it does not simply mark the answer wrong — it classifies the error, adjusts the mastery score accordingly, and routes the student to the corresponding remediation path.</w:t>
      </w:r>
    </w:p>
    <w:p>
      <w:pPr>
        <w:spacing w:before="1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DC2626"/>
                <w:sz w:val="20"/>
                <w:szCs w:val="20"/>
              </w:rPr>
              <w:t xml:space="preserve">HIGH — blocks progress, immediate remediation</w:t>
            </w:r>
          </w:p>
        </w:tc>
        <w:tc>
          <w:tcPr>
            <w:tcW w:type="dxa" w:w="312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bCs/>
                <w:color w:val="EA580C"/>
                <w:sz w:val="20"/>
                <w:szCs w:val="20"/>
              </w:rPr>
              <w:t xml:space="preserve">MEDIUM — recurring but manageable</w:t>
            </w:r>
          </w:p>
        </w:tc>
        <w:tc>
          <w:tcPr>
            <w:tcW w:type="dxa" w:w="312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Arial" w:cs="Arial" w:eastAsia="Arial" w:hAnsi="Arial"/>
                <w:b/>
                <w:bCs/>
                <w:color w:val="16A34A"/>
                <w:sz w:val="20"/>
                <w:szCs w:val="20"/>
              </w:rPr>
              <w:t xml:space="preserve">LOW — cosmetic/habit, address after mastery</w:t>
            </w:r>
          </w:p>
        </w:tc>
      </w:tr>
    </w:tbl>
    <w:p>
      <w:pPr>
        <w:spacing w:before="1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160"/>
        <w:gridCol w:w="2200"/>
      </w:tblGrid>
      <w:tr>
        <w:tc>
          <w:tcPr>
            <w:tcW w:type="dxa" w:w="1000"/>
            <w:tcBorders>
              <w:top w:val="single" w:color="E5E7EB" w:sz="1"/>
              <w:left w:val="single" w:color="E5E7EB" w:sz="1"/>
              <w:bottom w:val="single" w:color="E5E7EB" w:sz="1"/>
              <w:right w:val="single" w:color="E5E7E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M1</w:t>
            </w:r>
          </w:p>
        </w:tc>
        <w:tc>
          <w:tcPr>
            <w:tcW w:type="dxa" w:w="616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1B2A4A"/>
                <w:sz w:val="20"/>
                <w:szCs w:val="20"/>
              </w:rPr>
              <w:t xml:space="preserve">Denominator Addition Error</w:t>
            </w:r>
          </w:p>
        </w:tc>
        <w:tc>
          <w:tcPr>
            <w:tcW w:type="dxa" w:w="2200"/>
            <w:tcBorders>
              <w:top w:val="single" w:color="E5E7EB" w:sz="1"/>
              <w:left w:val="single" w:color="E5E7EB" w:sz="1"/>
              <w:bottom w:val="single" w:color="E5E7EB" w:sz="1"/>
              <w:right w:val="single" w:color="E5E7E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Severity: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What It Looks Like</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Student adds both numerators AND both denominators separately.</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Example Error</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1/3 + 1/4 = 2/7</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Root Cause</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Treats numerator and denominator as independent whole numbers. Doesn't understand that the denominator defines the unit size.</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Linked Skills</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563EB"/>
                <w:sz w:val="20"/>
                <w:szCs w:val="20"/>
              </w:rPr>
              <w:t xml:space="preserve">MS-06, MS-07</w:t>
            </w:r>
          </w:p>
        </w:tc>
      </w:tr>
      <w:tr>
        <w:tc>
          <w:tcPr>
            <w:tcW w:type="dxa" w:w="180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tcPr>
          <w:p>
            <w:r>
              <w:rPr>
                <w:rFonts w:ascii="Arial" w:cs="Arial" w:eastAsia="Arial" w:hAnsi="Arial"/>
                <w:b/>
                <w:bCs/>
                <w:color w:val="0D9488"/>
                <w:sz w:val="20"/>
                <w:szCs w:val="20"/>
              </w:rPr>
              <w:t xml:space="preserve">Remediation</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Use visual models (pie charts, bars). Ask: 'If I have 1 slice of a 3-slice pizza and 1 slice of a 4-slice pizza, do I have 2 slices of a 7-slice pizza?'</w:t>
            </w:r>
          </w:p>
        </w:tc>
      </w:tr>
    </w:tbl>
    <w:p>
      <w:pPr>
        <w:spacing w:before="2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160"/>
        <w:gridCol w:w="2200"/>
      </w:tblGrid>
      <w:tr>
        <w:tc>
          <w:tcPr>
            <w:tcW w:type="dxa" w:w="1000"/>
            <w:tcBorders>
              <w:top w:val="single" w:color="E5E7EB" w:sz="1"/>
              <w:left w:val="single" w:color="E5E7EB" w:sz="1"/>
              <w:bottom w:val="single" w:color="E5E7EB" w:sz="1"/>
              <w:right w:val="single" w:color="E5E7E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M2</w:t>
            </w:r>
          </w:p>
        </w:tc>
        <w:tc>
          <w:tcPr>
            <w:tcW w:type="dxa" w:w="616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1B2A4A"/>
                <w:sz w:val="20"/>
                <w:szCs w:val="20"/>
              </w:rPr>
              <w:t xml:space="preserve">Numerator/Denominator Confusion</w:t>
            </w:r>
          </w:p>
        </w:tc>
        <w:tc>
          <w:tcPr>
            <w:tcW w:type="dxa" w:w="2200"/>
            <w:tcBorders>
              <w:top w:val="single" w:color="E5E7EB" w:sz="1"/>
              <w:left w:val="single" w:color="E5E7EB" w:sz="1"/>
              <w:bottom w:val="single" w:color="E5E7EB" w:sz="1"/>
              <w:right w:val="single" w:color="E5E7E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Severity: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What It Looks Like</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Student swaps the roles — treats denominator as the part and numerator as the whole.</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Example Error</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In 3/4, student says '4 is the part you have'</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Root Cause</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Memorised positions without understanding meaning. Often happens when fractions are introduced purely symbolically.</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Linked Skills</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563EB"/>
                <w:sz w:val="20"/>
                <w:szCs w:val="20"/>
              </w:rPr>
              <w:t xml:space="preserve">MS-01, MS-02</w:t>
            </w:r>
          </w:p>
        </w:tc>
      </w:tr>
      <w:tr>
        <w:tc>
          <w:tcPr>
            <w:tcW w:type="dxa" w:w="180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tcPr>
          <w:p>
            <w:r>
              <w:rPr>
                <w:rFonts w:ascii="Arial" w:cs="Arial" w:eastAsia="Arial" w:hAnsi="Arial"/>
                <w:b/>
                <w:bCs/>
                <w:color w:val="0D9488"/>
                <w:sz w:val="20"/>
                <w:szCs w:val="20"/>
              </w:rPr>
              <w:t xml:space="preserve">Remediation</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Return to physical objects. Cover 3 out of 4 blocks. Count what's covered (numerator) and total (denominator). Rebuild the meaning before the symbol.</w:t>
            </w:r>
          </w:p>
        </w:tc>
      </w:tr>
    </w:tbl>
    <w:p>
      <w:pPr>
        <w:spacing w:before="2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160"/>
        <w:gridCol w:w="2200"/>
      </w:tblGrid>
      <w:tr>
        <w:tc>
          <w:tcPr>
            <w:tcW w:type="dxa" w:w="1000"/>
            <w:tcBorders>
              <w:top w:val="single" w:color="E5E7EB" w:sz="1"/>
              <w:left w:val="single" w:color="E5E7EB" w:sz="1"/>
              <w:bottom w:val="single" w:color="E5E7EB" w:sz="1"/>
              <w:right w:val="single" w:color="E5E7EB" w:sz="1"/>
            </w:tcBorders>
            <w:shd w:fill="EA580C" w:val="clear"/>
            <w:tcMar>
              <w:top w:type="dxa" w:w="100"/>
              <w:left w:type="dxa" w:w="140"/>
              <w:bottom w:type="dxa" w:w="100"/>
              <w:right w:type="dxa" w:w="140"/>
            </w:tcMar>
          </w:tcPr>
          <w:p>
            <w:r>
              <w:rPr>
                <w:rFonts w:ascii="Arial" w:cs="Arial" w:eastAsia="Arial" w:hAnsi="Arial"/>
                <w:b/>
                <w:bCs/>
                <w:color w:val="FFFFFF"/>
                <w:sz w:val="20"/>
                <w:szCs w:val="20"/>
              </w:rPr>
              <w:t xml:space="preserve">M3</w:t>
            </w:r>
          </w:p>
        </w:tc>
        <w:tc>
          <w:tcPr>
            <w:tcW w:type="dxa" w:w="616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1B2A4A"/>
                <w:sz w:val="20"/>
                <w:szCs w:val="20"/>
              </w:rPr>
              <w:t xml:space="preserve">Equivalent Fraction Direction Error</w:t>
            </w:r>
          </w:p>
        </w:tc>
        <w:tc>
          <w:tcPr>
            <w:tcW w:type="dxa" w:w="2200"/>
            <w:tcBorders>
              <w:top w:val="single" w:color="E5E7EB" w:sz="1"/>
              <w:left w:val="single" w:color="E5E7EB" w:sz="1"/>
              <w:bottom w:val="single" w:color="E5E7EB" w:sz="1"/>
              <w:right w:val="single" w:color="E5E7EB" w:sz="1"/>
            </w:tcBorders>
            <w:shd w:fill="EA580C" w:val="clear"/>
            <w:tcMar>
              <w:top w:type="dxa" w:w="100"/>
              <w:left w:type="dxa" w:w="140"/>
              <w:bottom w:type="dxa" w:w="100"/>
              <w:right w:type="dxa" w:w="140"/>
            </w:tcMar>
          </w:tcPr>
          <w:p>
            <w:r>
              <w:rPr>
                <w:rFonts w:ascii="Arial" w:cs="Arial" w:eastAsia="Arial" w:hAnsi="Arial"/>
                <w:b/>
                <w:bCs/>
                <w:color w:val="FFFFFF"/>
                <w:sz w:val="20"/>
                <w:szCs w:val="20"/>
              </w:rPr>
              <w:t xml:space="preserve">Severity: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What It Looks Like</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Student only multiplies OR only divides — doesn't apply the same operation to both numerator and denominator.</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Example Error</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2/3 → multiplies numerator by 2, leaves denominator: 4/3</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Root Cause</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Partial rule application. Understands the concept but doesn't consistently apply it to both parts.</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Linked Skills</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563EB"/>
                <w:sz w:val="20"/>
                <w:szCs w:val="20"/>
              </w:rPr>
              <w:t xml:space="preserve">MS-03, MS-04</w:t>
            </w:r>
          </w:p>
        </w:tc>
      </w:tr>
      <w:tr>
        <w:tc>
          <w:tcPr>
            <w:tcW w:type="dxa" w:w="180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tcPr>
          <w:p>
            <w:r>
              <w:rPr>
                <w:rFonts w:ascii="Arial" w:cs="Arial" w:eastAsia="Arial" w:hAnsi="Arial"/>
                <w:b/>
                <w:bCs/>
                <w:color w:val="0D9488"/>
                <w:sz w:val="20"/>
                <w:szCs w:val="20"/>
              </w:rPr>
              <w:t xml:space="preserve">Remediation</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Reinforce the rule as a paired operation: 'whatever you do to the top, you must do to the bottom.' Use fraction walls to show visually.</w:t>
            </w:r>
          </w:p>
        </w:tc>
      </w:tr>
    </w:tbl>
    <w:p>
      <w:pPr>
        <w:spacing w:before="2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160"/>
        <w:gridCol w:w="2200"/>
      </w:tblGrid>
      <w:tr>
        <w:tc>
          <w:tcPr>
            <w:tcW w:type="dxa" w:w="1000"/>
            <w:tcBorders>
              <w:top w:val="single" w:color="E5E7EB" w:sz="1"/>
              <w:left w:val="single" w:color="E5E7EB" w:sz="1"/>
              <w:bottom w:val="single" w:color="E5E7EB" w:sz="1"/>
              <w:right w:val="single" w:color="E5E7EB" w:sz="1"/>
            </w:tcBorders>
            <w:shd w:fill="EA580C" w:val="clear"/>
            <w:tcMar>
              <w:top w:type="dxa" w:w="100"/>
              <w:left w:type="dxa" w:w="140"/>
              <w:bottom w:type="dxa" w:w="100"/>
              <w:right w:type="dxa" w:w="140"/>
            </w:tcMar>
          </w:tcPr>
          <w:p>
            <w:r>
              <w:rPr>
                <w:rFonts w:ascii="Arial" w:cs="Arial" w:eastAsia="Arial" w:hAnsi="Arial"/>
                <w:b/>
                <w:bCs/>
                <w:color w:val="FFFFFF"/>
                <w:sz w:val="20"/>
                <w:szCs w:val="20"/>
              </w:rPr>
              <w:t xml:space="preserve">M4</w:t>
            </w:r>
          </w:p>
        </w:tc>
        <w:tc>
          <w:tcPr>
            <w:tcW w:type="dxa" w:w="616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1B2A4A"/>
                <w:sz w:val="20"/>
                <w:szCs w:val="20"/>
              </w:rPr>
              <w:t xml:space="preserve">Failure to Simplify</w:t>
            </w:r>
          </w:p>
        </w:tc>
        <w:tc>
          <w:tcPr>
            <w:tcW w:type="dxa" w:w="2200"/>
            <w:tcBorders>
              <w:top w:val="single" w:color="E5E7EB" w:sz="1"/>
              <w:left w:val="single" w:color="E5E7EB" w:sz="1"/>
              <w:bottom w:val="single" w:color="E5E7EB" w:sz="1"/>
              <w:right w:val="single" w:color="E5E7EB" w:sz="1"/>
            </w:tcBorders>
            <w:shd w:fill="EA580C" w:val="clear"/>
            <w:tcMar>
              <w:top w:type="dxa" w:w="100"/>
              <w:left w:type="dxa" w:w="140"/>
              <w:bottom w:type="dxa" w:w="100"/>
              <w:right w:type="dxa" w:w="140"/>
            </w:tcMar>
          </w:tcPr>
          <w:p>
            <w:r>
              <w:rPr>
                <w:rFonts w:ascii="Arial" w:cs="Arial" w:eastAsia="Arial" w:hAnsi="Arial"/>
                <w:b/>
                <w:bCs/>
                <w:color w:val="FFFFFF"/>
                <w:sz w:val="20"/>
                <w:szCs w:val="20"/>
              </w:rPr>
              <w:t xml:space="preserve">Severity: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What It Looks Like</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Student arrives at correct answer but does not reduce to simplest form.</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Example Error</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1/2 + 1/2 = 2/2 (not simplified to 1)</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Root Cause</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Doesn't see simplification as part of the solution. May not recognise when a fraction can be reduced.</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Linked Skills</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563EB"/>
                <w:sz w:val="20"/>
                <w:szCs w:val="20"/>
              </w:rPr>
              <w:t xml:space="preserve">MS-04, MS-06, MS-07</w:t>
            </w:r>
          </w:p>
        </w:tc>
      </w:tr>
      <w:tr>
        <w:tc>
          <w:tcPr>
            <w:tcW w:type="dxa" w:w="180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tcPr>
          <w:p>
            <w:r>
              <w:rPr>
                <w:rFonts w:ascii="Arial" w:cs="Arial" w:eastAsia="Arial" w:hAnsi="Arial"/>
                <w:b/>
                <w:bCs/>
                <w:color w:val="0D9488"/>
                <w:sz w:val="20"/>
                <w:szCs w:val="20"/>
              </w:rPr>
              <w:t xml:space="preserve">Remediation</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Always ask 'Can this be simpler?' as a final step habit. Practice GCF identification as a warm-up before simplification problems.</w:t>
            </w:r>
          </w:p>
        </w:tc>
      </w:tr>
    </w:tbl>
    <w:p>
      <w:pPr>
        <w:spacing w:before="2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160"/>
        <w:gridCol w:w="2200"/>
      </w:tblGrid>
      <w:tr>
        <w:tc>
          <w:tcPr>
            <w:tcW w:type="dxa" w:w="1000"/>
            <w:tcBorders>
              <w:top w:val="single" w:color="E5E7EB" w:sz="1"/>
              <w:left w:val="single" w:color="E5E7EB" w:sz="1"/>
              <w:bottom w:val="single" w:color="E5E7EB" w:sz="1"/>
              <w:right w:val="single" w:color="E5E7EB" w:sz="1"/>
            </w:tcBorders>
            <w:shd w:fill="EA580C" w:val="clear"/>
            <w:tcMar>
              <w:top w:type="dxa" w:w="100"/>
              <w:left w:type="dxa" w:w="140"/>
              <w:bottom w:type="dxa" w:w="100"/>
              <w:right w:type="dxa" w:w="140"/>
            </w:tcMar>
          </w:tcPr>
          <w:p>
            <w:r>
              <w:rPr>
                <w:rFonts w:ascii="Arial" w:cs="Arial" w:eastAsia="Arial" w:hAnsi="Arial"/>
                <w:b/>
                <w:bCs/>
                <w:color w:val="FFFFFF"/>
                <w:sz w:val="20"/>
                <w:szCs w:val="20"/>
              </w:rPr>
              <w:t xml:space="preserve">M5</w:t>
            </w:r>
          </w:p>
        </w:tc>
        <w:tc>
          <w:tcPr>
            <w:tcW w:type="dxa" w:w="616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1B2A4A"/>
                <w:sz w:val="20"/>
                <w:szCs w:val="20"/>
              </w:rPr>
              <w:t xml:space="preserve">Wrong LCM for Common Denominator</w:t>
            </w:r>
          </w:p>
        </w:tc>
        <w:tc>
          <w:tcPr>
            <w:tcW w:type="dxa" w:w="2200"/>
            <w:tcBorders>
              <w:top w:val="single" w:color="E5E7EB" w:sz="1"/>
              <w:left w:val="single" w:color="E5E7EB" w:sz="1"/>
              <w:bottom w:val="single" w:color="E5E7EB" w:sz="1"/>
              <w:right w:val="single" w:color="E5E7EB" w:sz="1"/>
            </w:tcBorders>
            <w:shd w:fill="EA580C" w:val="clear"/>
            <w:tcMar>
              <w:top w:type="dxa" w:w="100"/>
              <w:left w:type="dxa" w:w="140"/>
              <w:bottom w:type="dxa" w:w="100"/>
              <w:right w:type="dxa" w:w="140"/>
            </w:tcMar>
          </w:tcPr>
          <w:p>
            <w:r>
              <w:rPr>
                <w:rFonts w:ascii="Arial" w:cs="Arial" w:eastAsia="Arial" w:hAnsi="Arial"/>
                <w:b/>
                <w:bCs/>
                <w:color w:val="FFFFFF"/>
                <w:sz w:val="20"/>
                <w:szCs w:val="20"/>
              </w:rPr>
              <w:t xml:space="preserve">Severity: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What It Looks Like</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Student uses incorrect common denominator — often just multiplies the two denominators instead of finding LCM.</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Example Error</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1/4 + 1/6 → uses 24 as denominator instead of 12</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Root Cause</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Knows they need a common denominator but uses a shortcut that works sometimes but not optimally.</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Linked Skills</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563EB"/>
                <w:sz w:val="20"/>
                <w:szCs w:val="20"/>
              </w:rPr>
              <w:t xml:space="preserve">MS-07, MS-08</w:t>
            </w:r>
          </w:p>
        </w:tc>
      </w:tr>
      <w:tr>
        <w:tc>
          <w:tcPr>
            <w:tcW w:type="dxa" w:w="180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tcPr>
          <w:p>
            <w:r>
              <w:rPr>
                <w:rFonts w:ascii="Arial" w:cs="Arial" w:eastAsia="Arial" w:hAnsi="Arial"/>
                <w:b/>
                <w:bCs/>
                <w:color w:val="0D9488"/>
                <w:sz w:val="20"/>
                <w:szCs w:val="20"/>
              </w:rPr>
              <w:t xml:space="preserve">Remediation</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Distinguish between 'a common multiple' and 'the LEAST common multiple.' Show that using a non-LCM still works but creates bigger numbers requiring more simplification.</w:t>
            </w:r>
          </w:p>
        </w:tc>
      </w:tr>
    </w:tbl>
    <w:p>
      <w:pPr>
        <w:spacing w:before="2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160"/>
        <w:gridCol w:w="2200"/>
      </w:tblGrid>
      <w:tr>
        <w:tc>
          <w:tcPr>
            <w:tcW w:type="dxa" w:w="1000"/>
            <w:tcBorders>
              <w:top w:val="single" w:color="E5E7EB" w:sz="1"/>
              <w:left w:val="single" w:color="E5E7EB" w:sz="1"/>
              <w:bottom w:val="single" w:color="E5E7EB" w:sz="1"/>
              <w:right w:val="single" w:color="E5E7E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M6</w:t>
            </w:r>
          </w:p>
        </w:tc>
        <w:tc>
          <w:tcPr>
            <w:tcW w:type="dxa" w:w="616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1B2A4A"/>
                <w:sz w:val="20"/>
                <w:szCs w:val="20"/>
              </w:rPr>
              <w:t xml:space="preserve">Comparison by Numerator Only</w:t>
            </w:r>
          </w:p>
        </w:tc>
        <w:tc>
          <w:tcPr>
            <w:tcW w:type="dxa" w:w="2200"/>
            <w:tcBorders>
              <w:top w:val="single" w:color="E5E7EB" w:sz="1"/>
              <w:left w:val="single" w:color="E5E7EB" w:sz="1"/>
              <w:bottom w:val="single" w:color="E5E7EB" w:sz="1"/>
              <w:right w:val="single" w:color="E5E7E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Severity: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What It Looks Like</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Student compares fractions by looking only at numerators, ignoring denominators.</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Example Error</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Concludes 3/8 &gt; 1/2 because 3 &gt; 1</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Root Cause</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Applies whole number comparison logic to fractions. Doesn't account for different unit sizes.</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Linked Skills</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563EB"/>
                <w:sz w:val="20"/>
                <w:szCs w:val="20"/>
              </w:rPr>
              <w:t xml:space="preserve">MS-05</w:t>
            </w:r>
          </w:p>
        </w:tc>
      </w:tr>
      <w:tr>
        <w:tc>
          <w:tcPr>
            <w:tcW w:type="dxa" w:w="180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tcPr>
          <w:p>
            <w:r>
              <w:rPr>
                <w:rFonts w:ascii="Arial" w:cs="Arial" w:eastAsia="Arial" w:hAnsi="Arial"/>
                <w:b/>
                <w:bCs/>
                <w:color w:val="0D9488"/>
                <w:sz w:val="20"/>
                <w:szCs w:val="20"/>
              </w:rPr>
              <w:t xml:space="preserve">Remediation</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Use benchmarking: 'Is this fraction more or less than 1/2?' Use identical visual models (same-size wholes) divided into different parts.</w:t>
            </w:r>
          </w:p>
        </w:tc>
      </w:tr>
    </w:tbl>
    <w:p>
      <w:pPr>
        <w:pBdr>
          <w:bottom w:val="single" w:color="E5E7EB" w:sz="4" w:space="1"/>
        </w:pBdr>
        <w:spacing w:before="160" w:after="160"/>
      </w:pPr>
      <w:r>
        <w:t xml:space="preserve"/>
      </w:r>
    </w:p>
    <w:p>
      <w:pPr>
        <w:spacing w:before="340" w:after="120"/>
      </w:pPr>
      <w:r>
        <w:rPr>
          <w:rFonts w:ascii="Arial" w:cs="Arial" w:eastAsia="Arial" w:hAnsi="Arial"/>
          <w:b/>
          <w:bCs/>
          <w:color w:val="1B2A4A"/>
          <w:sz w:val="28"/>
          <w:szCs w:val="28"/>
        </w:rPr>
        <w:t xml:space="preserve">5.  Mastery Scoring Reference</w:t>
      </w:r>
    </w:p>
    <w:p>
      <w:pPr>
        <w:spacing w:before="60" w:after="60"/>
      </w:pPr>
      <w:r>
        <w:rPr>
          <w:rFonts w:ascii="Arial" w:cs="Arial" w:eastAsia="Arial" w:hAnsi="Arial"/>
          <w:color w:val="111827"/>
          <w:sz w:val="20"/>
          <w:szCs w:val="20"/>
        </w:rPr>
        <w:t xml:space="preserve">These delta values are your starting assumptions. Instrument them from day one and recalibrate after your first 20 sessions.</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23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Score Delta</w:t>
            </w:r>
          </w:p>
        </w:tc>
        <w:tc>
          <w:tcPr>
            <w:tcW w:type="dxa" w:w="23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Correct, no hint</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6A34A"/>
                <w:sz w:val="20"/>
                <w:szCs w:val="20"/>
              </w:rPr>
              <w:t xml:space="preserve">+0.15</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6B7280"/>
                <w:sz w:val="20"/>
                <w:szCs w:val="20"/>
              </w:rPr>
              <w:t xml:space="preserve">Strong signal</w:t>
            </w:r>
          </w:p>
        </w:tc>
      </w:tr>
      <w:tr>
        <w:tc>
          <w:tcPr>
            <w:tcW w:type="dxa" w:w="4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Correct, with hint</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0D9488"/>
                <w:sz w:val="20"/>
                <w:szCs w:val="20"/>
              </w:rPr>
              <w:t xml:space="preserve">+0.08</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6B7280"/>
                <w:sz w:val="20"/>
                <w:szCs w:val="20"/>
              </w:rPr>
              <w:t xml:space="preserve">Partial signal</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Correct explanation of reasoning</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6A34A"/>
                <w:sz w:val="20"/>
                <w:szCs w:val="20"/>
              </w:rPr>
              <w:t xml:space="preserve">+0.20</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6B7280"/>
                <w:sz w:val="20"/>
                <w:szCs w:val="20"/>
              </w:rPr>
              <w:t xml:space="preserve">Highest confidence</w:t>
            </w:r>
          </w:p>
        </w:tc>
      </w:tr>
      <w:tr>
        <w:tc>
          <w:tcPr>
            <w:tcW w:type="dxa" w:w="4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Incorrect, conceptual error</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EA580C"/>
                <w:sz w:val="20"/>
                <w:szCs w:val="20"/>
              </w:rPr>
              <w:t xml:space="preserve">−0.10</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6B7280"/>
                <w:sz w:val="20"/>
                <w:szCs w:val="20"/>
              </w:rPr>
              <w:t xml:space="preserve">Misconception signal</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Repeated same misconception</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−0.15</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6B7280"/>
                <w:sz w:val="20"/>
                <w:szCs w:val="20"/>
              </w:rPr>
              <w:t xml:space="preserve">Pattern = deeper issue</w:t>
            </w:r>
          </w:p>
        </w:tc>
      </w:tr>
    </w:tbl>
    <w:p>
      <w:pPr>
        <w:spacing w:before="1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Score Range</w:t>
            </w:r>
          </w:p>
        </w:tc>
        <w:tc>
          <w:tcPr>
            <w:tcW w:type="dxa" w:w="23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6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System Action</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6A34A"/>
                <w:sz w:val="20"/>
                <w:szCs w:val="20"/>
              </w:rPr>
              <w:t xml:space="preserve">0.80 – 1.00</w:t>
            </w:r>
          </w:p>
        </w:tc>
        <w:tc>
          <w:tcPr>
            <w:tcW w:type="dxa" w:w="234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r>
              <w:rPr>
                <w:rFonts w:ascii="Arial" w:cs="Arial" w:eastAsia="Arial" w:hAnsi="Arial"/>
                <w:b/>
                <w:bCs/>
                <w:color w:val="16A34A"/>
                <w:sz w:val="20"/>
                <w:szCs w:val="20"/>
              </w:rPr>
              <w:t xml:space="preserve">Mastered</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Unlock next skill in graph</w:t>
            </w:r>
          </w:p>
        </w:tc>
      </w:tr>
      <w:tr>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EA580C"/>
                <w:sz w:val="20"/>
                <w:szCs w:val="20"/>
              </w:rPr>
              <w:t xml:space="preserve">0.50 – 0.79</w:t>
            </w:r>
          </w:p>
        </w:tc>
        <w:tc>
          <w:tcPr>
            <w:tcW w:type="dxa" w:w="234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bCs/>
                <w:color w:val="EA580C"/>
                <w:sz w:val="20"/>
                <w:szCs w:val="20"/>
              </w:rPr>
              <w:t xml:space="preserve">Developing</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Reinforcement practice — varied difficulty</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0.00 – 0.49</w:t>
            </w:r>
          </w:p>
        </w:tc>
        <w:tc>
          <w:tcPr>
            <w:tcW w:type="dxa" w:w="234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DC2626"/>
                <w:sz w:val="20"/>
                <w:szCs w:val="20"/>
              </w:rPr>
              <w:t xml:space="preserve">Weak</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Remediation — explain root cause, restart from simpler variant</w:t>
            </w:r>
          </w:p>
        </w:tc>
      </w:tr>
    </w:tbl>
    <w:p>
      <w:pPr>
        <w:pBdr>
          <w:bottom w:val="single" w:color="E5E7EB" w:sz="4" w:space="1"/>
        </w:pBdr>
        <w:spacing w:before="160" w:after="160"/>
      </w:pPr>
      <w:r>
        <w:t xml:space="preserve"/>
      </w:r>
    </w:p>
    <w:p>
      <w:pPr>
        <w:spacing w:before="340" w:after="120"/>
      </w:pPr>
      <w:r>
        <w:rPr>
          <w:rFonts w:ascii="Arial" w:cs="Arial" w:eastAsia="Arial" w:hAnsi="Arial"/>
          <w:b/>
          <w:bCs/>
          <w:color w:val="1B2A4A"/>
          <w:sz w:val="28"/>
          <w:szCs w:val="28"/>
        </w:rPr>
        <w:t xml:space="preserve">6.  Build Notes for Week 1</w:t>
      </w:r>
    </w:p>
    <w:p>
      <w:pPr>
        <w:spacing w:before="60" w:after="60"/>
      </w:pPr>
      <w:r>
        <w:rPr>
          <w:rFonts w:ascii="Arial" w:cs="Arial" w:eastAsia="Arial" w:hAnsi="Arial"/>
          <w:color w:val="111827"/>
          <w:sz w:val="20"/>
          <w:szCs w:val="20"/>
        </w:rPr>
        <w:t xml:space="preserve">Translate this document into code in the following order:</w:t>
      </w:r>
    </w:p>
    <w:p>
      <w:pPr>
        <w:spacing w:before="10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960"/>
      </w:tblGrid>
      <w:tr>
        <w:tc>
          <w:tcPr>
            <w:tcW w:type="dxa" w:w="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to Build</w:t>
            </w:r>
          </w:p>
        </w:tc>
        <w:tc>
          <w:tcPr>
            <w:tcW w:type="dxa" w:w="6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1</w:t>
            </w:r>
          </w:p>
        </w:tc>
        <w:tc>
          <w:tcPr>
            <w:tcW w:type="dxa" w:w="20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1B2A4A"/>
                <w:sz w:val="20"/>
                <w:szCs w:val="20"/>
              </w:rPr>
              <w:t xml:space="preserve">Data schema</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Create MicroSkill, Prerequisite, MisconceptionType tables in Supabase. IDs from this doc become your primary keys.</w:t>
            </w:r>
          </w:p>
        </w:tc>
      </w:tr>
      <w:tr>
        <w:tc>
          <w:tcPr>
            <w:tcW w:type="dxa" w:w="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2</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Seed data</w:t>
            </w:r>
          </w:p>
        </w:tc>
        <w:tc>
          <w:tcPr>
            <w:tcW w:type="dxa" w:w="6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Populate all 8 micro-skills and 6 misconceptions exactly as defined here. Do not modify IDs — they will be referenced throughout the codebase.</w:t>
            </w:r>
          </w:p>
        </w:tc>
      </w:tr>
      <w:tr>
        <w:tc>
          <w:tcPr>
            <w:tcW w:type="dxa" w:w="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3</w:t>
            </w:r>
          </w:p>
        </w:tc>
        <w:tc>
          <w:tcPr>
            <w:tcW w:type="dxa" w:w="20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1B2A4A"/>
                <w:sz w:val="20"/>
                <w:szCs w:val="20"/>
              </w:rPr>
              <w:t xml:space="preserve">Graph traversal</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Write a function: getNextSkill(studentState) that reads the prerequisite graph and returns the next unlocked skill.</w:t>
            </w:r>
          </w:p>
        </w:tc>
      </w:tr>
      <w:tr>
        <w:tc>
          <w:tcPr>
            <w:tcW w:type="dxa" w:w="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4</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Misconception classifier</w:t>
            </w:r>
          </w:p>
        </w:tc>
        <w:tc>
          <w:tcPr>
            <w:tcW w:type="dxa" w:w="6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Start rule-based: map known wrong answer patterns to M1–M6. Add AI classification only after rule-based baseline is working.</w:t>
            </w:r>
          </w:p>
        </w:tc>
      </w:tr>
      <w:tr>
        <w:tc>
          <w:tcPr>
            <w:tcW w:type="dxa" w:w="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5</w:t>
            </w:r>
          </w:p>
        </w:tc>
        <w:tc>
          <w:tcPr>
            <w:tcW w:type="dxa" w:w="20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r>
              <w:rPr>
                <w:rFonts w:ascii="Arial" w:cs="Arial" w:eastAsia="Arial" w:hAnsi="Arial"/>
                <w:b/>
                <w:bCs/>
                <w:color w:val="1B2A4A"/>
                <w:sz w:val="20"/>
                <w:szCs w:val="20"/>
              </w:rPr>
              <w:t xml:space="preserve">Mastery updater</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Implement updateMastery(skillId, event) using the delta table in Section 5. Log every update for recalibration.</w:t>
            </w:r>
          </w:p>
        </w:tc>
      </w:tr>
      <w:tr>
        <w:tc>
          <w:tcPr>
            <w:tcW w:type="dxa" w:w="400"/>
            <w:tcBorders>
              <w:top w:val="single" w:color="E5E7EB" w:sz="1"/>
              <w:left w:val="single" w:color="E5E7EB" w:sz="1"/>
              <w:bottom w:val="single" w:color="E5E7EB" w:sz="1"/>
              <w:right w:val="single" w:color="E5E7EB"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6</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B2A4A"/>
                <w:sz w:val="20"/>
                <w:szCs w:val="20"/>
              </w:rPr>
              <w:t xml:space="preserve">Instrumentation</w:t>
            </w:r>
          </w:p>
        </w:tc>
        <w:tc>
          <w:tcPr>
            <w:tcW w:type="dxa" w:w="6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Log every answer, every delta, every misconception hit from day one. You will need this data to recalibrate scoring at week 8.</w:t>
            </w:r>
          </w:p>
        </w:tc>
      </w:tr>
    </w:tbl>
    <w:p>
      <w:pPr>
        <w:spacing w:before="300" w:after="100"/>
      </w:pPr>
      <w:r>
        <w:rPr>
          <w:rFonts w:ascii="Arial" w:cs="Arial" w:eastAsia="Arial" w:hAnsi="Arial"/>
          <w:color w:val="6B7280"/>
          <w:sz w:val="18"/>
          <w:szCs w:val="18"/>
        </w:rPr>
        <w:t xml:space="preserve">Last updated: March 2026  ·  Version 1.0  ·  Fractions Domain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2026-03-07T04:56:48.134Z</dcterms:created>
  <dcterms:modified xsi:type="dcterms:W3CDTF">2026-03-07T04:56:48.160Z</dcterms:modified>
</cp:coreProperties>
</file>

<file path=docProps/custom.xml><?xml version="1.0" encoding="utf-8"?>
<Properties xmlns="http://schemas.openxmlformats.org/officeDocument/2006/custom-properties" xmlns:vt="http://schemas.openxmlformats.org/officeDocument/2006/docPropsVTypes"/>
</file>