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right="180"/>
        <w:rPr>
          <w:b w:val="1"/>
          <w:bCs w:val="1"/>
          <w:color w:val="202124"/>
          <w:sz w:val="36"/>
          <w:szCs w:val="36"/>
        </w:rPr>
      </w:pPr>
      <w:bookmarkStart w:colFirst="0" w:colLast="0" w:name="_z8nwoy7qlozh" w:id="0"/>
      <w:bookmarkEnd w:id="0"/>
      <w:r w:rsidDel="00000000" w:rsidR="00000000" w:rsidRPr="00000000">
        <w:rPr>
          <w:b w:val="1"/>
          <w:bCs w:val="1"/>
          <w:color w:val="202124"/>
          <w:sz w:val="36"/>
          <w:szCs w:val="36"/>
          <w:rtl w:val="0"/>
        </w:rPr>
        <w:t xml:space="preserve">About Dataset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rapid growth of e-commerce has transformed how consumers shop. While some customers fully embrace online shopping, others still prefer visiting physical stores, and many adopt a hybrid approach.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This dataset simulates real-world consumer behaviour by combining demographic information, digital habits, shopping patterns, logistics preferences, and psychological factors.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goal is to help data scientists and analysts: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Explore shopping behaviour trends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Perform exploratory data analysis (EDA)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Build classification models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Understand factors influencing shopping channel preference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dataset contains 11,789 records and 26 features, designed to provide realistic patterns and balanced class distribution for machine learning projects.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