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Title"/>
      </w:pPr>
      <w:r>
        <w:t>MultiDoc-ChatBot.py</w:t>
      </w:r>
    </w:p>
    <w:p>
      <w:pPr>
        <w:pStyle w:val="AppSubtitle"/>
      </w:pPr>
      <w:r>
        <w:t>Technical Specification &amp; System Capabilities Blueprint</w:t>
      </w:r>
    </w:p>
    <w:p>
      <w:r>
        <w:rPr>
          <w:b/>
        </w:rPr>
        <w:t xml:space="preserve">MultiDoc-ChatBot.py </w:t>
      </w:r>
      <w:r>
        <w:t>is an enterprise-ready Python application leveraging Retrieval-Augmented Generation (RAG) frameworks to enable intelligent conversations over multi-format documents. Built on top of the Streamlit application layer and engineered using LangChain orchestration, the platform seamlessly toggles between automated general chatbot behaviors and semantic document indexing using cloud-hosted large language models (LLMs) and optimized internal vector data structures.</w:t>
      </w:r>
    </w:p>
    <w:p>
      <w:pPr>
        <w:pStyle w:val="Heading1"/>
      </w:pPr>
      <w:r>
        <w:t>1. Core Application Framework &amp; UI</w:t>
      </w:r>
    </w:p>
    <w:p>
      <w:r>
        <w:t>The primary container layer executes continuous interface orchestration, baseline state management, runtime operational checks, and secure environment configuration mapping.</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140" w:type="dxa"/>
              <w:bottom w:w="140" w:type="dxa"/>
              <w:left w:w="150" w:type="dxa"/>
              <w:right w:w="150" w:type="dxa"/>
            </w:tcMar>
          </w:tcPr>
          <w:p>
            <w:pPr>
              <w:jc w:val="left"/>
            </w:pPr>
            <w:r>
              <w:rPr>
                <w:rFonts w:ascii="Arial" w:hAnsi="Arial"/>
                <w:b/>
                <w:color w:val="FFFFFF"/>
                <w:sz w:val="20"/>
              </w:rPr>
              <w:t>Capability</w:t>
            </w:r>
          </w:p>
        </w:tc>
        <w:tc>
          <w:tcPr>
            <w:tcW w:type="dxa" w:w="6192"/>
            <w:shd w:fill="1B365D"/>
            <w:tcMar>
              <w:top w:w="140" w:type="dxa"/>
              <w:bottom w:w="140" w:type="dxa"/>
              <w:left w:w="150" w:type="dxa"/>
              <w:right w:w="150" w:type="dxa"/>
            </w:tcMar>
          </w:tcPr>
          <w:p>
            <w:pPr>
              <w:jc w:val="left"/>
            </w:pPr>
            <w:r>
              <w:rPr>
                <w:rFonts w:ascii="Arial" w:hAnsi="Arial"/>
                <w:b/>
                <w:color w:val="FFFFFF"/>
                <w:sz w:val="20"/>
              </w:rPr>
              <w:t>Technical Implementation &amp; Mechanics</w:t>
            </w:r>
          </w:p>
        </w:tc>
      </w:tr>
      <w:tr>
        <w:tc>
          <w:tcPr>
            <w:tcW w:type="dxa" w:w="3168"/>
            <w:shd w:fill="FFFFFF"/>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b/>
                <w:color w:val="2B2B2B"/>
                <w:sz w:val="19"/>
              </w:rPr>
              <w:t>Streamlit Web UI</w:t>
            </w:r>
          </w:p>
        </w:tc>
        <w:tc>
          <w:tcPr>
            <w:tcW w:type="dxa" w:w="6192"/>
            <w:shd w:fill="FFFFFF"/>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color w:val="2B2B2B"/>
                <w:sz w:val="19"/>
              </w:rPr>
              <w:t>Provides an engineered web panel featuring a dedicated title block, interactive sidebar mechanics for uploading assets, and a responsive, conversational stream block layout.</w:t>
            </w:r>
          </w:p>
        </w:tc>
      </w:tr>
      <w:tr>
        <w:tc>
          <w:tcPr>
            <w:tcW w:type="dxa" w:w="3168"/>
            <w:shd w:fill="F4F6F8"/>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b/>
                <w:color w:val="2B2B2B"/>
                <w:sz w:val="19"/>
              </w:rPr>
              <w:t>Dual-Mode Execution</w:t>
            </w:r>
          </w:p>
        </w:tc>
        <w:tc>
          <w:tcPr>
            <w:tcW w:type="dxa" w:w="6192"/>
            <w:shd w:fill="F4F6F8"/>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color w:val="2B2B2B"/>
                <w:sz w:val="19"/>
              </w:rPr>
              <w:t>Employs an absolute routing gate that monitors active buffers. The system instantly switches between General Chat mode and Contextual Document Q&amp;A depending on file existence.</w:t>
            </w:r>
          </w:p>
        </w:tc>
      </w:tr>
      <w:tr>
        <w:tc>
          <w:tcPr>
            <w:tcW w:type="dxa" w:w="3168"/>
            <w:shd w:fill="FFFFFF"/>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b/>
                <w:color w:val="2B2B2B"/>
                <w:sz w:val="19"/>
              </w:rPr>
              <w:t>Session State Management</w:t>
            </w:r>
          </w:p>
        </w:tc>
        <w:tc>
          <w:tcPr>
            <w:tcW w:type="dxa" w:w="6192"/>
            <w:shd w:fill="FFFFFF"/>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color w:val="2B2B2B"/>
                <w:sz w:val="19"/>
              </w:rPr>
              <w:t>Implements persistent state controls using Streamlit's session_state primitives to map chat histories, underlying QA vector chains, and system chatbot objects across ongoing runtime refreshes.</w:t>
            </w:r>
          </w:p>
        </w:tc>
      </w:tr>
      <w:tr>
        <w:tc>
          <w:tcPr>
            <w:tcW w:type="dxa" w:w="3168"/>
            <w:shd w:fill="F4F6F8"/>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b/>
                <w:color w:val="2B2B2B"/>
                <w:sz w:val="19"/>
              </w:rPr>
              <w:t>Environment Config</w:t>
            </w:r>
          </w:p>
        </w:tc>
        <w:tc>
          <w:tcPr>
            <w:tcW w:type="dxa" w:w="6192"/>
            <w:shd w:fill="F4F6F8"/>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color w:val="2B2B2B"/>
                <w:sz w:val="19"/>
              </w:rPr>
              <w:t>Utilizes python-dotenv frameworks to strictly intercept system tokens, explicit model selectors, and foundational hyperparameters directly from protected local .env structures.</w:t>
            </w:r>
          </w:p>
        </w:tc>
      </w:tr>
      <w:tr>
        <w:tc>
          <w:tcPr>
            <w:tcW w:type="dxa" w:w="3168"/>
            <w:shd w:fill="FFFFFF"/>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b/>
                <w:color w:val="2B2B2B"/>
                <w:sz w:val="19"/>
              </w:rPr>
              <w:t>Token Validation Guardrail</w:t>
            </w:r>
          </w:p>
        </w:tc>
        <w:tc>
          <w:tcPr>
            <w:tcW w:type="dxa" w:w="6192"/>
            <w:shd w:fill="FFFFFF"/>
            <w:tcMar>
              <w:top w:w="120" w:type="dxa"/>
              <w:bottom w:w="120" w:type="dxa"/>
              <w:left w:w="150" w:type="dxa"/>
              <w:right w:w="150" w:type="dxa"/>
            </w:tcMar>
            <w:tcBorders>
              <w:top w:val="single" w:sz="4" w:space="0" w:color="D3D3D3"/>
              <w:bottom w:val="single" w:sz="4" w:space="0" w:color="D3D3D3"/>
              <w:left w:val="none"/>
              <w:right w:val="none"/>
            </w:tcBorders>
          </w:tcPr>
          <w:p>
            <w:r>
              <w:rPr>
                <w:rFonts w:ascii="Arial" w:hAnsi="Arial"/>
                <w:color w:val="2B2B2B"/>
                <w:sz w:val="19"/>
              </w:rPr>
              <w:t>Enforces a systematic runtime check at structural initiation, raising descriptive technical failures and halting processing if the foundational HUGGINGFACEHUB_API_TOKEN is missing.</w:t>
            </w:r>
          </w:p>
        </w:tc>
      </w:tr>
    </w:tbl>
    <w:p>
      <w:pPr>
        <w:spacing w:after="240"/>
      </w:pPr>
    </w:p>
    <w:p>
      <w:pPr>
        <w:pStyle w:val="Heading1"/>
      </w:pPr>
      <w:r>
        <w:t>2. File Ingestion &amp; Data Processing Pipeline</w:t>
      </w:r>
    </w:p>
    <w:p>
      <w:r>
        <w:t>To support agnostic knowledge parsing, the codebase features highly specialized raw text wrappers, tabular row compilers, and schema processors capable of segmenting diverse unstructured files into token-optimized operational arrays.</w:t>
      </w:r>
    </w:p>
    <w:p>
      <w:pPr>
        <w:pStyle w:val="Heading2"/>
      </w:pPr>
      <w:r>
        <w:t>Supported File Formats &amp; Targeted Parsers</w:t>
      </w:r>
    </w:p>
    <w:p>
      <w:pPr>
        <w:pStyle w:val="ListBullet"/>
        <w:spacing w:after="80"/>
      </w:pPr>
      <w:r>
        <w:rPr>
          <w:b/>
          <w:color w:val="1B365D"/>
        </w:rPr>
        <w:t xml:space="preserve">Portable Document Format (PDF): </w:t>
      </w:r>
      <w:r>
        <w:t>Processed explicitly through PyPDF2 binary streams, iterating across text layout objects to pull unmapped text structures sequentially.</w:t>
      </w:r>
    </w:p>
    <w:p>
      <w:pPr>
        <w:pStyle w:val="ListBullet"/>
        <w:spacing w:after="80"/>
      </w:pPr>
      <w:r>
        <w:rPr>
          <w:b/>
          <w:color w:val="1B365D"/>
        </w:rPr>
        <w:t xml:space="preserve">Word Documents (DOCX): </w:t>
      </w:r>
      <w:r>
        <w:t>Compiled utilizing structural open-xml abstractions via python-docx, cleanly mapping paragraphs and native layout boundaries.</w:t>
      </w:r>
    </w:p>
    <w:p>
      <w:pPr>
        <w:pStyle w:val="ListBullet"/>
        <w:spacing w:after="80"/>
      </w:pPr>
      <w:r>
        <w:rPr>
          <w:b/>
          <w:color w:val="1B365D"/>
        </w:rPr>
        <w:t xml:space="preserve">Tabular Files (CSV &amp; XLSX): </w:t>
      </w:r>
      <w:r>
        <w:t>Parsed into standardized memory matrices via pandas, maintaining structured element rows and data alignment features.</w:t>
      </w:r>
    </w:p>
    <w:p>
      <w:pPr>
        <w:pStyle w:val="ListBullet"/>
        <w:spacing w:after="80"/>
      </w:pPr>
      <w:r>
        <w:rPr>
          <w:b/>
          <w:color w:val="1B365D"/>
        </w:rPr>
        <w:t xml:space="preserve">JavaScript Object Notation (JSON): </w:t>
      </w:r>
      <w:r>
        <w:t>De-serialized completely utilizing Python's built-in structural json parser to convert metadata fields or text keys into indexed text.</w:t>
      </w:r>
    </w:p>
    <w:p>
      <w:pPr>
        <w:pStyle w:val="ListBullet"/>
        <w:spacing w:after="80"/>
      </w:pPr>
      <w:r>
        <w:rPr>
          <w:b/>
          <w:color w:val="1B365D"/>
        </w:rPr>
        <w:t xml:space="preserve">Plain Text (TXT): </w:t>
      </w:r>
      <w:r>
        <w:t>Captured instantly via basic system text decoders using universal UTF-8 safe decoding templates.</w:t>
      </w:r>
    </w:p>
    <w:p>
      <w:pPr>
        <w:pStyle w:val="Heading2"/>
      </w:pPr>
      <w:r>
        <w:t>Segmentation, Execution Feedback &amp; UI Controls</w:t>
      </w:r>
    </w:p>
    <w:p>
      <w:pPr>
        <w:pStyle w:val="ListBullet"/>
        <w:spacing w:after="80"/>
      </w:pPr>
      <w:r>
        <w:rPr>
          <w:b/>
          <w:color w:val="5C768D"/>
        </w:rPr>
        <w:t xml:space="preserve">Advanced Chunk Segmentation: </w:t>
      </w:r>
      <w:r>
        <w:t>Utilizes LangChain's CharacterTextSplitter algorithm to slice incoming long-form strings into deterministic chunks, parameterized safely via configurable CHUNK_SIZE and CHUNK_OVERLAP parameters to preserve local semantic context.</w:t>
      </w:r>
    </w:p>
    <w:p>
      <w:pPr>
        <w:pStyle w:val="ListBullet"/>
        <w:spacing w:after="80"/>
      </w:pPr>
      <w:r>
        <w:rPr>
          <w:b/>
          <w:color w:val="5C768D"/>
        </w:rPr>
        <w:t xml:space="preserve">Native Sidebar Upload Container: </w:t>
      </w:r>
      <w:r>
        <w:t>Deploys an asynchronous structural uploader directly inside the sidebar layout, facilitating clean, multi-file sandboxing isolated from the primary message interface.</w:t>
      </w:r>
    </w:p>
    <w:p>
      <w:pPr>
        <w:pStyle w:val="ListBullet"/>
        <w:spacing w:after="80"/>
      </w:pPr>
      <w:r>
        <w:rPr>
          <w:b/>
          <w:color w:val="5C768D"/>
        </w:rPr>
        <w:t xml:space="preserve">Visual Activity Feedback: </w:t>
      </w:r>
      <w:r>
        <w:t>Engages responsive, visual application processing components (Streamlit Spinners) while background processes execute intensive vector conversions and initial text indexes.</w:t>
      </w:r>
    </w:p>
    <w:p>
      <w:pPr>
        <w:pStyle w:val="ListBullet"/>
        <w:spacing w:after="80"/>
      </w:pPr>
      <w:r>
        <w:rPr>
          <w:b/>
          <w:color w:val="5C768D"/>
        </w:rPr>
        <w:t xml:space="preserve">Validation &amp; Processing Feedback: </w:t>
      </w:r>
      <w:r>
        <w:t>Pushes structured text responses displaying clear success strings alongside the exact system metadata and filenames once an upload passes validation checks.</w:t>
      </w:r>
    </w:p>
    <w:p>
      <w:pPr>
        <w:pStyle w:val="ListBullet"/>
        <w:spacing w:after="80"/>
      </w:pPr>
      <w:r>
        <w:rPr>
          <w:b/>
          <w:color w:val="5C768D"/>
        </w:rPr>
        <w:t xml:space="preserve">Memory-Safe Sidebar Previews: </w:t>
      </w:r>
      <w:r>
        <w:t>Implements layout optimization protections by rendering only the first 10 generated text chunks into the sidebar interface as an index validation check, eliminating browser page-bloat.</w:t>
      </w:r>
    </w:p>
    <w:p>
      <w:pPr>
        <w:spacing w:after="240"/>
      </w:pPr>
    </w:p>
    <w:p>
      <w:pPr>
        <w:pStyle w:val="Heading1"/>
      </w:pPr>
      <w:r>
        <w:t>3. AI &amp; Retrieval-Augmented Generation (RAG) Architecture</w:t>
      </w:r>
    </w:p>
    <w:p>
      <w:r>
        <w:t>The application relies on a structural workflow that embeds extracted strings into low-latency semantic stores, querying localized text domains before packaging prompts into remote cloud LLM API frameworks.</w:t>
      </w:r>
    </w:p>
    <w:p>
      <w:pPr>
        <w:spacing w:before="160" w:after="240"/>
        <w:ind w:left="720" w:right="720"/>
      </w:pPr>
      <w:r>
        <w:rPr>
          <w:rFonts w:ascii="Consolas" w:hAnsi="Consolas"/>
          <w:color w:val="1B365D"/>
          <w:sz w:val="19"/>
        </w:rPr>
        <w:t>System Dataflow Topology:</w:t>
        <w:br/>
        <w:t>[Document Upload] ➔ [Text Splitting] ➔ [HuggingFace Embeddings] ➔ [FAISS Vector Index]</w:t>
        <w:br/>
        <w:t xml:space="preserve">                                                                         ▼</w:t>
        <w:br/>
        <w:t>[User Prompt Input] ➔ [FAISS Similarity Search] ➔ [Context Pack] ➔ [ChatHuggingFace Endpoint]</w:t>
      </w:r>
    </w:p>
    <w:p>
      <w:pPr>
        <w:spacing w:after="120"/>
        <w:ind w:left="360"/>
      </w:pPr>
      <w:r>
        <w:rPr>
          <w:b/>
          <w:color w:val="1B365D"/>
          <w:sz w:val="21"/>
        </w:rPr>
        <w:t>■  Vector Generation Mechanics</w:t>
        <w:br/>
      </w:r>
      <w:r>
        <w:rPr>
          <w:sz w:val="20"/>
        </w:rPr>
        <w:t>Vector embeddings are derived locally via HuggingFaceEmbeddings pipelines, transforming partitioned text blocks into mathematically addressable multi-dimensional vectors based on the model declared inside the EMBEDDING_MODEL_NAME setting.</w:t>
      </w:r>
    </w:p>
    <w:p>
      <w:pPr>
        <w:spacing w:after="120"/>
        <w:ind w:left="360"/>
      </w:pPr>
      <w:r>
        <w:rPr>
          <w:b/>
          <w:color w:val="1B365D"/>
          <w:sz w:val="21"/>
        </w:rPr>
        <w:t>■  In-Memory Store Indexes</w:t>
        <w:br/>
      </w:r>
      <w:r>
        <w:rPr>
          <w:sz w:val="20"/>
        </w:rPr>
        <w:t>Instantiates isolated local multi-dimensional arrays using the optimized Facebook AI Similarity Search (FAISS) structural engine, enabling ultra-low-latency vector distance checking without relying on bulky external server configurations.</w:t>
      </w:r>
    </w:p>
    <w:p>
      <w:pPr>
        <w:spacing w:after="120"/>
        <w:ind w:left="360"/>
      </w:pPr>
      <w:r>
        <w:rPr>
          <w:b/>
          <w:color w:val="1B365D"/>
          <w:sz w:val="21"/>
        </w:rPr>
        <w:t>■  Context Retrieval Logic</w:t>
        <w:br/>
      </w:r>
      <w:r>
        <w:rPr>
          <w:sz w:val="20"/>
        </w:rPr>
        <w:t>Leverages standard LangChain FAISS retrieval wrappers configured out-of-the-box to execute k-nearest-neighbor similarity lookups based on semantic proximity, purposefully ignoring fixed threshold gates or manual score cuts.</w:t>
      </w:r>
    </w:p>
    <w:p>
      <w:pPr>
        <w:spacing w:after="120"/>
        <w:ind w:left="360"/>
      </w:pPr>
      <w:r>
        <w:rPr>
          <w:b/>
          <w:color w:val="1B365D"/>
          <w:sz w:val="21"/>
        </w:rPr>
        <w:t>■  Prompt Stuffing Strategies</w:t>
        <w:br/>
      </w:r>
      <w:r>
        <w:rPr>
          <w:sz w:val="20"/>
        </w:rPr>
        <w:t>Utilizes standard RetrievalQA frameworks built on top of the 'stuff' architecture chain type, ensuring matching vector chunks are compiled cleanly alongside raw system directives into one monolithic prompt structure before deployment.</w:t>
      </w:r>
    </w:p>
    <w:p>
      <w:pPr>
        <w:spacing w:after="120"/>
        <w:ind w:left="360"/>
      </w:pPr>
      <w:r>
        <w:rPr>
          <w:b/>
          <w:color w:val="1B365D"/>
          <w:sz w:val="21"/>
        </w:rPr>
        <w:t>■  Remote LLM Orchestration</w:t>
        <w:br/>
      </w:r>
      <w:r>
        <w:rPr>
          <w:sz w:val="20"/>
        </w:rPr>
        <w:t>Routes finalized context matrices securely through LangChain's HuggingFaceEndpoint adapter straight into specialized ChatHuggingFace classes, interacting directly with the model specified under HF_MODEL_ID.</w:t>
      </w:r>
    </w:p>
    <w:p>
      <w:pPr>
        <w:spacing w:after="120"/>
        <w:ind w:left="360"/>
      </w:pPr>
      <w:r>
        <w:rPr>
          <w:b/>
          <w:color w:val="1B365D"/>
          <w:sz w:val="21"/>
        </w:rPr>
        <w:t>■  Hyperparameter Adaptability</w:t>
        <w:br/>
      </w:r>
      <w:r>
        <w:rPr>
          <w:sz w:val="20"/>
        </w:rPr>
        <w:t>Safeguards structural output accuracy by exposing model temperature curves and absolute token ceilings (max_tokens) directly within the environment variables block, allowing runtime model tuning without touching code logic.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5C76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Title">
    <w:name w:val="AppTitle"/>
    <w:pPr>
      <w:spacing w:after="80" w:before="0"/>
    </w:pPr>
    <w:rPr>
      <w:rFonts w:ascii="Arial" w:hAnsi="Arial"/>
      <w:b/>
      <w:color w:val="1B365D"/>
      <w:sz w:val="48"/>
    </w:rPr>
  </w:style>
  <w:style w:type="paragraph" w:customStyle="1" w:styleId="AppSubtitle">
    <w:name w:val="AppSubtitle"/>
    <w:pPr>
      <w:spacing w:after="480"/>
    </w:pPr>
    <w:rPr>
      <w:rFonts w:ascii="Arial" w:hAnsi="Arial"/>
      <w:i/>
      <w:color w:val="5C768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