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d-f2-presentation-outline-markdown-ppt"/>
    <w:p>
      <w:pPr>
        <w:pStyle w:val="Heading1"/>
      </w:pPr>
      <w:r>
        <w:t xml:space="preserve">D-F2 — Presentation outline (Markdown / PPT)</w:t>
      </w:r>
    </w:p>
    <w:p>
      <w:pPr>
        <w:pStyle w:val="FirstParagraph"/>
      </w:pPr>
      <w:r>
        <w:rPr>
          <w:b/>
          <w:bCs/>
        </w:rPr>
        <w:t xml:space="preserve">Source of truth:</w:t>
      </w:r>
      <w:r>
        <w:t xml:space="preserve"> </w:t>
      </w:r>
      <w:r>
        <w:rPr>
          <w:rStyle w:val="VerbatimChar"/>
        </w:rPr>
        <w:t xml:space="preserve">reports/Research_Report_Final.md</w:t>
      </w:r>
      <w:r>
        <w:t xml:space="preserve"> </w:t>
      </w:r>
      <w:r>
        <w:t xml:space="preserve">(D-F1 v1.0, 29 July 2026)</w:t>
      </w:r>
      <w:r>
        <w:br/>
      </w:r>
      <w:r>
        <w:rPr>
          <w:b/>
          <w:bCs/>
        </w:rPr>
        <w:t xml:space="preserve">Deliverable:</w:t>
      </w:r>
      <w:r>
        <w:t xml:space="preserve"> </w:t>
      </w:r>
      <w:r>
        <w:t xml:space="preserve">Oral presentation outline —</w:t>
      </w:r>
      <w:r>
        <w:t xml:space="preserve"> </w:t>
      </w:r>
      <w:r>
        <w:rPr>
          <w:b/>
          <w:bCs/>
        </w:rPr>
        <w:t xml:space="preserve">24 slides</w:t>
      </w:r>
      <w:r>
        <w:t xml:space="preserve"> </w:t>
      </w:r>
      <w:r>
        <w:t xml:space="preserve">(~10–15 minutes at ~40–45 s/slide)</w:t>
      </w:r>
      <w:r>
        <w:br/>
      </w:r>
      <w:r>
        <w:rPr>
          <w:b/>
          <w:bCs/>
        </w:rPr>
        <w:t xml:space="preserve">Figure root:</w:t>
      </w:r>
      <w:r>
        <w:t xml:space="preserve"> </w:t>
      </w:r>
      <w:r>
        <w:rPr>
          <w:rStyle w:val="VerbatimChar"/>
        </w:rPr>
        <w:t xml:space="preserve">reports/figures/</w:t>
      </w:r>
      <w:r>
        <w:t xml:space="preserve"> </w:t>
      </w:r>
      <w:r>
        <w:t xml:space="preserve">(paths below are relative to</w:t>
      </w:r>
      <w:r>
        <w:t xml:space="preserve"> </w:t>
      </w:r>
      <w:r>
        <w:rPr>
          <w:rStyle w:val="VerbatimChar"/>
        </w:rPr>
        <w:t xml:space="preserve">reports/</w:t>
      </w:r>
      <w:r>
        <w:t xml:space="preserve">)</w:t>
      </w:r>
    </w:p>
    <w:p>
      <w:pPr>
        <w:pStyle w:val="BodyText"/>
      </w:pPr>
      <w:r>
        <w:rPr>
          <w:b/>
          <w:bCs/>
        </w:rPr>
        <w:t xml:space="preserve">Format:</w:t>
      </w:r>
      <w:r>
        <w:t xml:space="preserve"> </w:t>
      </w:r>
      <w:r>
        <w:t xml:space="preserve">Each slide =</w:t>
      </w:r>
      <w:r>
        <w:t xml:space="preserve"> </w:t>
      </w:r>
      <w:r>
        <w:rPr>
          <w:b/>
          <w:bCs/>
        </w:rPr>
        <w:t xml:space="preserve">Title</w:t>
      </w:r>
      <w:r>
        <w:t xml:space="preserve"> </w:t>
      </w:r>
      <w:r>
        <w:t xml:space="preserve">·</w:t>
      </w:r>
      <w:r>
        <w:t xml:space="preserve"> </w:t>
      </w:r>
      <w:r>
        <w:rPr>
          <w:b/>
          <w:bCs/>
        </w:rPr>
        <w:t xml:space="preserve">Bullets</w:t>
      </w:r>
      <w:r>
        <w:t xml:space="preserve"> </w:t>
      </w:r>
      <w:r>
        <w:t xml:space="preserve">(≤6) ·</w:t>
      </w:r>
      <w:r>
        <w:t xml:space="preserve"> </w:t>
      </w:r>
      <w:r>
        <w:rPr>
          <w:b/>
          <w:bCs/>
        </w:rPr>
        <w:t xml:space="preserve">Figure placement</w:t>
      </w:r>
      <w:r>
        <w:t xml:space="preserve"> </w:t>
      </w:r>
      <w:r>
        <w:t xml:space="preserve">·</w:t>
      </w:r>
      <w:r>
        <w:t xml:space="preserve"> </w:t>
      </w:r>
      <w:r>
        <w:rPr>
          <w:b/>
          <w:bCs/>
        </w:rPr>
        <w:t xml:space="preserve">Speaker notes</w:t>
      </w:r>
    </w:p>
    <w:p>
      <w:r>
        <w:pict>
          <v:rect style="width:0;height:1.5pt" o:hralign="center" o:hrstd="t" o:hr="t"/>
        </w:pict>
      </w:r>
    </w:p>
    <w:bookmarkStart w:id="9" w:name="slide-1-title"/>
    <w:p>
      <w:pPr>
        <w:pStyle w:val="Heading2"/>
      </w:pPr>
      <w:r>
        <w:t xml:space="preserve">Slide 1 — Title</w:t>
      </w:r>
    </w:p>
    <w:p>
      <w:pPr>
        <w:pStyle w:val="FirstParagraph"/>
      </w:pPr>
      <w:r>
        <w:rPr>
          <w:b/>
          <w:bCs/>
        </w:rPr>
        <w:t xml:space="preserve">Title:</w:t>
      </w:r>
      <w:r>
        <w:t xml:space="preserve"> </w:t>
      </w:r>
      <w:r>
        <w:t xml:space="preserve">Reproducible AI-Assisted Earthquake Early Warning Research for Western Seismic Regions</w:t>
      </w:r>
    </w:p>
    <w:p>
      <w:pPr>
        <w:pStyle w:val="BodyText"/>
      </w:pPr>
      <w:r>
        <w:rPr>
          <w:b/>
          <w:bCs/>
        </w:rPr>
        <w:t xml:space="preserve">Subtitle:</w:t>
      </w:r>
      <w:r>
        <w:t xml:space="preserve"> </w:t>
      </w:r>
      <w:r>
        <w:t xml:space="preserve">Method Development on a California FDSN Pilot with Transfer Path to European Networks</w:t>
      </w:r>
    </w:p>
    <w:p>
      <w:pPr>
        <w:pStyle w:val="BodyText"/>
      </w:pPr>
      <w:r>
        <w:rPr>
          <w:b/>
          <w:bCs/>
        </w:rPr>
        <w:t xml:space="preserve">Bullets:</w:t>
      </w:r>
      <w:r>
        <w:t xml:space="preserve"> </w:t>
      </w:r>
      <w:r>
        <w:t xml:space="preserve">- AMGCR Earthquake Research</w:t>
      </w:r>
      <w:r>
        <w:t xml:space="preserve"> </w:t>
      </w:r>
      <w:r>
        <w:t xml:space="preserve">- Final Research Proposal and Technical Report (D-F1)</w:t>
      </w:r>
      <w:r>
        <w:t xml:space="preserve"> </w:t>
      </w:r>
      <w:r>
        <w:t xml:space="preserve">- Swiss certificate programme — AMGCR</w:t>
      </w:r>
      <w:r>
        <w:t xml:space="preserve"> </w:t>
      </w:r>
      <w:r>
        <w:t xml:space="preserve">- 29 July 2026</w:t>
      </w:r>
    </w:p>
    <w:p>
      <w:pPr>
        <w:pStyle w:val="BodyText"/>
      </w:pPr>
      <w:r>
        <w:rPr>
          <w:b/>
          <w:bCs/>
        </w:rPr>
        <w:t xml:space="preserve">Figure:</w:t>
      </w:r>
      <w:r>
        <w:t xml:space="preserve"> </w:t>
      </w:r>
      <w:r>
        <w:t xml:space="preserve">None</w:t>
      </w:r>
    </w:p>
    <w:p>
      <w:pPr>
        <w:pStyle w:val="BodyText"/>
      </w:pPr>
      <w:r>
        <w:rPr>
          <w:b/>
          <w:bCs/>
        </w:rPr>
        <w:t xml:space="preserve">Speaker notes:</w:t>
      </w:r>
      <w:r>
        <w:t xml:space="preserve"> </w:t>
      </w:r>
      <w:r>
        <w:t xml:space="preserve">This presentation summarises the completed California FDSN pilot and the European-oriented framing of the AMGCR certificate project. All results are drawn from the final technical report and frozen repository artefacts dated 2026-07-29. No new analyses are presented today.</w:t>
      </w:r>
    </w:p>
    <w:p>
      <w:r>
        <w:pict>
          <v:rect style="width:0;height:1.5pt" o:hralign="center" o:hrstd="t" o:hr="t"/>
        </w:pict>
      </w:r>
    </w:p>
    <w:bookmarkEnd w:id="9"/>
    <w:bookmarkStart w:id="10" w:name="slide-2-introduction-motivation"/>
    <w:p>
      <w:pPr>
        <w:pStyle w:val="Heading2"/>
      </w:pPr>
      <w:r>
        <w:t xml:space="preserve">Slide 2 — Introduction: motivation</w:t>
      </w:r>
    </w:p>
    <w:p>
      <w:pPr>
        <w:pStyle w:val="FirstParagraph"/>
      </w:pPr>
      <w:r>
        <w:rPr>
          <w:b/>
          <w:bCs/>
        </w:rPr>
        <w:t xml:space="preserve">Title:</w:t>
      </w:r>
      <w:r>
        <w:t xml:space="preserve"> </w:t>
      </w:r>
      <w:r>
        <w:t xml:space="preserve">Why Earthquake Early Warning and open methods matter</w:t>
      </w:r>
    </w:p>
    <w:p>
      <w:pPr>
        <w:pStyle w:val="BodyText"/>
      </w:pPr>
      <w:r>
        <w:rPr>
          <w:b/>
          <w:bCs/>
        </w:rPr>
        <w:t xml:space="preserve">Bullets:</w:t>
      </w:r>
      <w:r>
        <w:t xml:space="preserve"> </w:t>
      </w:r>
      <w:r>
        <w:t xml:space="preserve">- EEW: alerts seconds to tens of seconds before strong shaking</w:t>
      </w:r>
      <w:r>
        <w:t xml:space="preserve"> </w:t>
      </w:r>
      <w:r>
        <w:t xml:space="preserve">- Based on P-wave detection, magnitude estimation, ground-motion prediction</w:t>
      </w:r>
      <w:r>
        <w:t xml:space="preserve"> </w:t>
      </w:r>
      <w:r>
        <w:t xml:space="preserve">- Risk in Europe: Mediterranean belt, Alps, anthropogenic seismicity</w:t>
      </w:r>
      <w:r>
        <w:t xml:space="preserve"> </w:t>
      </w:r>
      <w:r>
        <w:t xml:space="preserve">- Switzerland and EU expect documented, open methodologies</w:t>
      </w:r>
      <w:r>
        <w:t xml:space="preserve"> </w:t>
      </w:r>
      <w:r>
        <w:t xml:space="preserve">- Not black-box prototypes for civil protection</w:t>
      </w:r>
    </w:p>
    <w:p>
      <w:pPr>
        <w:pStyle w:val="BodyText"/>
      </w:pPr>
      <w:r>
        <w:rPr>
          <w:b/>
          <w:bCs/>
        </w:rPr>
        <w:t xml:space="preserve">Figure:</w:t>
      </w:r>
      <w:r>
        <w:t xml:space="preserve"> </w:t>
      </w:r>
      <w:r>
        <w:t xml:space="preserve">None</w:t>
      </w:r>
    </w:p>
    <w:p>
      <w:pPr>
        <w:pStyle w:val="BodyText"/>
      </w:pPr>
      <w:r>
        <w:rPr>
          <w:b/>
          <w:bCs/>
        </w:rPr>
        <w:t xml:space="preserve">Speaker notes:</w:t>
      </w:r>
      <w:r>
        <w:t xml:space="preserve"> </w:t>
      </w:r>
      <w:r>
        <w:t xml:space="preserve">The report opens with European relevance even though the pilot uses California data. Public and regulatory acceptance of EEW depends on traceable processing and explicit limitations. This project aligns with that expectation for certificate-level research.</w:t>
      </w:r>
    </w:p>
    <w:p>
      <w:r>
        <w:pict>
          <v:rect style="width:0;height:1.5pt" o:hralign="center" o:hrstd="t" o:hr="t"/>
        </w:pict>
      </w:r>
    </w:p>
    <w:bookmarkEnd w:id="10"/>
    <w:bookmarkStart w:id="11" w:name="slide-3-programme-positioning"/>
    <w:p>
      <w:pPr>
        <w:pStyle w:val="Heading2"/>
      </w:pPr>
      <w:r>
        <w:t xml:space="preserve">Slide 3 — Programme positioning</w:t>
      </w:r>
    </w:p>
    <w:p>
      <w:pPr>
        <w:pStyle w:val="FirstParagraph"/>
      </w:pPr>
      <w:r>
        <w:rPr>
          <w:b/>
          <w:bCs/>
        </w:rPr>
        <w:t xml:space="preserve">Title:</w:t>
      </w:r>
      <w:r>
        <w:t xml:space="preserve"> </w:t>
      </w:r>
      <w:r>
        <w:t xml:space="preserve">Europe-focused programme; California as methods laboratory</w:t>
      </w:r>
    </w:p>
    <w:p>
      <w:pPr>
        <w:pStyle w:val="BodyText"/>
      </w:pPr>
      <w:r>
        <w:rPr>
          <w:b/>
          <w:bCs/>
        </w:rPr>
        <w:t xml:space="preserve">Bullets:</w:t>
      </w:r>
      <w:r>
        <w:t xml:space="preserve"> </w:t>
      </w:r>
      <w:r>
        <w:t xml:space="preserve">- Primary long-term target: European seismic networks</w:t>
      </w:r>
      <w:r>
        <w:t xml:space="preserve"> </w:t>
      </w:r>
      <w:r>
        <w:t xml:space="preserve">- California IRIS/EarthScope pilot:</w:t>
      </w:r>
      <w:r>
        <w:t xml:space="preserve"> </w:t>
      </w:r>
      <w:r>
        <w:rPr>
          <w:b/>
          <w:bCs/>
        </w:rPr>
        <w:t xml:space="preserve">completed</w:t>
      </w:r>
      <w:r>
        <w:t xml:space="preserve"> </w:t>
      </w:r>
      <w:r>
        <w:t xml:space="preserve">validation lab</w:t>
      </w:r>
      <w:r>
        <w:t xml:space="preserve"> </w:t>
      </w:r>
      <w:r>
        <w:t xml:space="preserve">- Initial EarthESND codebase: reference only (</w:t>
      </w:r>
      <w:r>
        <w:rPr>
          <w:b/>
          <w:bCs/>
        </w:rPr>
        <w:t xml:space="preserve">88 tests</w:t>
      </w:r>
      <w:r>
        <w:t xml:space="preserve"> </w:t>
      </w:r>
      <w:r>
        <w:t xml:space="preserve">on full checkout)</w:t>
      </w:r>
      <w:r>
        <w:t xml:space="preserve"> </w:t>
      </w:r>
      <w:r>
        <w:t xml:space="preserve">- Active work: real waveforms, theory, figures, tables, formal reporting</w:t>
      </w:r>
      <w:r>
        <w:t xml:space="preserve"> </w:t>
      </w:r>
      <w:r>
        <w:t xml:space="preserve">- Pilot freeze: 2026-07-29; report consolidates completed science</w:t>
      </w:r>
    </w:p>
    <w:p>
      <w:pPr>
        <w:pStyle w:val="BodyText"/>
      </w:pPr>
      <w:r>
        <w:rPr>
          <w:b/>
          <w:bCs/>
        </w:rPr>
        <w:t xml:space="preserve">Figure:</w:t>
      </w:r>
      <w:r>
        <w:t xml:space="preserve"> </w:t>
      </w:r>
      <w:r>
        <w:t xml:space="preserve">None</w:t>
      </w:r>
    </w:p>
    <w:p>
      <w:pPr>
        <w:pStyle w:val="BodyText"/>
      </w:pPr>
      <w:r>
        <w:rPr>
          <w:b/>
          <w:bCs/>
        </w:rPr>
        <w:t xml:space="preserve">Speaker notes:</w:t>
      </w:r>
      <w:r>
        <w:t xml:space="preserve"> </w:t>
      </w:r>
      <w:r>
        <w:t xml:space="preserve">The charter reframed the project from paper reproduction toward a logical European EEW workflow. EarthESND remains an architecture benchmark, not the geographic endpoint. California was chosen for mature FDSN APIs and ObsPy practice.</w:t>
      </w:r>
    </w:p>
    <w:p>
      <w:r>
        <w:pict>
          <v:rect style="width:0;height:1.5pt" o:hralign="center" o:hrstd="t" o:hr="t"/>
        </w:pict>
      </w:r>
    </w:p>
    <w:bookmarkEnd w:id="11"/>
    <w:bookmarkStart w:id="12" w:name="slide-4-research-gap"/>
    <w:p>
      <w:pPr>
        <w:pStyle w:val="Heading2"/>
      </w:pPr>
      <w:r>
        <w:t xml:space="preserve">Slide 4 — Research gap</w:t>
      </w:r>
    </w:p>
    <w:p>
      <w:pPr>
        <w:pStyle w:val="FirstParagraph"/>
      </w:pPr>
      <w:r>
        <w:rPr>
          <w:b/>
          <w:bCs/>
        </w:rPr>
        <w:t xml:space="preserve">Title:</w:t>
      </w:r>
      <w:r>
        <w:t xml:space="preserve"> </w:t>
      </w:r>
      <w:r>
        <w:t xml:space="preserve">Gaps this workflow addresses</w:t>
      </w:r>
    </w:p>
    <w:p>
      <w:pPr>
        <w:pStyle w:val="BodyText"/>
      </w:pPr>
      <w:r>
        <w:rPr>
          <w:b/>
          <w:bCs/>
        </w:rPr>
        <w:t xml:space="preserve">Bullets:</w:t>
      </w:r>
      <w:r>
        <w:t xml:space="preserve"> </w:t>
      </w:r>
      <w:r>
        <w:t xml:space="preserve">- Few packaged, documented EEW workflows for</w:t>
      </w:r>
      <w:r>
        <w:t xml:space="preserve"> </w:t>
      </w:r>
      <w:r>
        <w:rPr>
          <w:b/>
          <w:bCs/>
        </w:rPr>
        <w:t xml:space="preserve">European FDSN</w:t>
      </w:r>
      <w:r>
        <w:t xml:space="preserve"> </w:t>
      </w:r>
      <w:r>
        <w:t xml:space="preserve">data</w:t>
      </w:r>
      <w:r>
        <w:t xml:space="preserve"> </w:t>
      </w:r>
      <w:r>
        <w:t xml:space="preserve">- Many studies lack trails from raw MiniSEED to ML-ready features</w:t>
      </w:r>
      <w:r>
        <w:t xml:space="preserve"> </w:t>
      </w:r>
      <w:r>
        <w:t xml:space="preserve">- Benchmark code (EarthESND) decoupled from Western pilot science</w:t>
      </w:r>
      <w:r>
        <w:t xml:space="preserve"> </w:t>
      </w:r>
      <w:r>
        <w:t xml:space="preserve">- Small-N pilots cannot support operational EEW claims</w:t>
      </w:r>
      <w:r>
        <w:t xml:space="preserve"> </w:t>
      </w:r>
      <w:r>
        <w:t xml:space="preserve">- Gap to validated European input stated explicitly</w:t>
      </w:r>
    </w:p>
    <w:p>
      <w:pPr>
        <w:pStyle w:val="BodyText"/>
      </w:pPr>
      <w:r>
        <w:rPr>
          <w:b/>
          <w:bCs/>
        </w:rPr>
        <w:t xml:space="preserve">Figure:</w:t>
      </w:r>
      <w:r>
        <w:t xml:space="preserve"> </w:t>
      </w:r>
      <w:r>
        <w:t xml:space="preserve">None</w:t>
      </w:r>
    </w:p>
    <w:p>
      <w:pPr>
        <w:pStyle w:val="BodyText"/>
      </w:pPr>
      <w:r>
        <w:rPr>
          <w:b/>
          <w:bCs/>
        </w:rPr>
        <w:t xml:space="preserve">Speaker notes:</w:t>
      </w:r>
      <w:r>
        <w:t xml:space="preserve"> </w:t>
      </w:r>
      <w:r>
        <w:t xml:space="preserve">The report lists four gap themes: European programme need, end-to-end openness, separation of reference code from active science, and pilot-scale validity. The presentation does not claim to close the operational gap—only to document a reproducible methods path.</w:t>
      </w:r>
    </w:p>
    <w:p>
      <w:r>
        <w:pict>
          <v:rect style="width:0;height:1.5pt" o:hralign="center" o:hrstd="t" o:hr="t"/>
        </w:pict>
      </w:r>
    </w:p>
    <w:bookmarkEnd w:id="12"/>
    <w:bookmarkStart w:id="13" w:name="slide-5-objectives"/>
    <w:p>
      <w:pPr>
        <w:pStyle w:val="Heading2"/>
      </w:pPr>
      <w:r>
        <w:t xml:space="preserve">Slide 5 — Objectives</w:t>
      </w:r>
    </w:p>
    <w:p>
      <w:pPr>
        <w:pStyle w:val="FirstParagraph"/>
      </w:pPr>
      <w:r>
        <w:rPr>
          <w:b/>
          <w:bCs/>
        </w:rPr>
        <w:t xml:space="preserve">Title:</w:t>
      </w:r>
      <w:r>
        <w:t xml:space="preserve"> </w:t>
      </w:r>
      <w:r>
        <w:t xml:space="preserve">Objectives and completion status</w:t>
      </w:r>
    </w:p>
    <w:p>
      <w:pPr>
        <w:pStyle w:val="BodyText"/>
      </w:pPr>
      <w:r>
        <w:rPr>
          <w:b/>
          <w:bCs/>
        </w:rPr>
        <w:t xml:space="preserve">Bullets:</w:t>
      </w:r>
      <w:r>
        <w:t xml:space="preserve"> </w:t>
      </w:r>
      <w:r>
        <w:t xml:space="preserve">-</w:t>
      </w:r>
      <w:r>
        <w:t xml:space="preserve"> </w:t>
      </w:r>
      <w:r>
        <w:rPr>
          <w:b/>
          <w:bCs/>
        </w:rPr>
        <w:t xml:space="preserve">Primary:</w:t>
      </w:r>
      <w:r>
        <w:t xml:space="preserve"> </w:t>
      </w:r>
      <w:r>
        <w:t xml:space="preserve">Reproducible, AI-ready EEW workflow for European networks</w:t>
      </w:r>
      <w:r>
        <w:t xml:space="preserve"> </w:t>
      </w:r>
      <w:r>
        <w:t xml:space="preserve">-</w:t>
      </w:r>
      <w:r>
        <w:t xml:space="preserve"> </w:t>
      </w:r>
      <w:r>
        <w:rPr>
          <w:b/>
          <w:bCs/>
        </w:rPr>
        <w:t xml:space="preserve">Secondary (done):</w:t>
      </w:r>
      <w:r>
        <w:t xml:space="preserve"> </w:t>
      </w:r>
      <w:r>
        <w:t xml:space="preserve">California pilot end-to-end</w:t>
      </w:r>
      <w:r>
        <w:t xml:space="preserve"> </w:t>
      </w:r>
      <w:r>
        <w:t xml:space="preserve">-</w:t>
      </w:r>
      <w:r>
        <w:t xml:space="preserve"> </w:t>
      </w:r>
      <w:r>
        <w:rPr>
          <w:b/>
          <w:bCs/>
        </w:rPr>
        <w:t xml:space="preserve">O1–O6:</w:t>
      </w:r>
      <w:r>
        <w:t xml:space="preserve"> </w:t>
      </w:r>
      <w:r>
        <w:t xml:space="preserve">Download, EDA, signal, preprocessing,</w:t>
      </w:r>
      <w:r>
        <w:t xml:space="preserve"> </w:t>
      </w:r>
      <w:r>
        <w:rPr>
          <w:b/>
          <w:bCs/>
        </w:rPr>
        <w:t xml:space="preserve">8×18</w:t>
      </w:r>
      <w:r>
        <w:t xml:space="preserve"> </w:t>
      </w:r>
      <w:r>
        <w:t xml:space="preserve">features, interpretation —</w:t>
      </w:r>
      <w:r>
        <w:t xml:space="preserve"> </w:t>
      </w:r>
      <w:r>
        <w:rPr>
          <w:b/>
          <w:bCs/>
        </w:rPr>
        <w:t xml:space="preserve">completed</w:t>
      </w:r>
      <w:r>
        <w:t xml:space="preserve"> </w:t>
      </w:r>
      <w:r>
        <w:t xml:space="preserve">-</w:t>
      </w:r>
      <w:r>
        <w:t xml:space="preserve"> </w:t>
      </w:r>
      <w:r>
        <w:rPr>
          <w:b/>
          <w:bCs/>
        </w:rPr>
        <w:t xml:space="preserve">O4 note:</w:t>
      </w:r>
      <w:r>
        <w:t xml:space="preserve"> </w:t>
      </w:r>
      <w:r>
        <w:t xml:space="preserve">Instrument response</w:t>
      </w:r>
      <w:r>
        <w:t xml:space="preserve"> </w:t>
      </w:r>
      <w:r>
        <w:rPr>
          <w:b/>
          <w:bCs/>
        </w:rPr>
        <w:t xml:space="preserve">0/8</w:t>
      </w:r>
      <w:r>
        <w:t xml:space="preserve"> </w:t>
      </w:r>
      <w:r>
        <w:t xml:space="preserve">applied; documented</w:t>
      </w:r>
      <w:r>
        <w:t xml:space="preserve"> </w:t>
      </w:r>
      <w:r>
        <w:t xml:space="preserve">-</w:t>
      </w:r>
      <w:r>
        <w:t xml:space="preserve"> </w:t>
      </w:r>
      <w:r>
        <w:rPr>
          <w:b/>
          <w:bCs/>
        </w:rPr>
        <w:t xml:space="preserve">O7–O9:</w:t>
      </w:r>
      <w:r>
        <w:t xml:space="preserve"> </w:t>
      </w:r>
      <w:r>
        <w:t xml:space="preserve">Europe scale, AI training, real-time —</w:t>
      </w:r>
      <w:r>
        <w:t xml:space="preserve"> </w:t>
      </w:r>
      <w:r>
        <w:rPr>
          <w:b/>
          <w:bCs/>
        </w:rPr>
        <w:t xml:space="preserve">proposed</w:t>
      </w:r>
      <w:r>
        <w:t xml:space="preserve"> </w:t>
      </w:r>
      <w:r>
        <w:t xml:space="preserve">-</w:t>
      </w:r>
      <w:r>
        <w:t xml:space="preserve"> </w:t>
      </w:r>
      <w:r>
        <w:rPr>
          <w:b/>
          <w:bCs/>
        </w:rPr>
        <w:t xml:space="preserve">O10:</w:t>
      </w:r>
      <w:r>
        <w:t xml:space="preserve"> </w:t>
      </w:r>
      <w:r>
        <w:t xml:space="preserve">Proposal/report —</w:t>
      </w:r>
      <w:r>
        <w:t xml:space="preserve"> </w:t>
      </w:r>
      <w:r>
        <w:rPr>
          <w:b/>
          <w:bCs/>
        </w:rPr>
        <w:t xml:space="preserve">completed</w:t>
      </w:r>
      <w:r>
        <w:t xml:space="preserve"> </w:t>
      </w:r>
      <w:r>
        <w:t xml:space="preserve">(D-F1 supersedes v1)</w:t>
      </w:r>
    </w:p>
    <w:p>
      <w:pPr>
        <w:pStyle w:val="BodyText"/>
      </w:pPr>
      <w:r>
        <w:rPr>
          <w:b/>
          <w:bCs/>
        </w:rPr>
        <w:t xml:space="preserve">Figure:</w:t>
      </w:r>
      <w:r>
        <w:t xml:space="preserve"> </w:t>
      </w:r>
      <w:r>
        <w:t xml:space="preserve">None (optional: show</w:t>
      </w:r>
      <w:r>
        <w:t xml:space="preserve"> </w:t>
      </w:r>
      <w:r>
        <w:rPr>
          <w:b/>
          <w:bCs/>
        </w:rPr>
        <w:t xml:space="preserve">Table 3</w:t>
      </w:r>
      <w:r>
        <w:t xml:space="preserve"> </w:t>
      </w:r>
      <w:r>
        <w:t xml:space="preserve">from report as handout)</w:t>
      </w:r>
    </w:p>
    <w:p>
      <w:pPr>
        <w:pStyle w:val="BodyText"/>
      </w:pPr>
      <w:r>
        <w:rPr>
          <w:b/>
          <w:bCs/>
        </w:rPr>
        <w:t xml:space="preserve">Speaker notes:</w:t>
      </w:r>
      <w:r>
        <w:t xml:space="preserve"> </w:t>
      </w:r>
      <w:r>
        <w:t xml:space="preserve">Objectives map directly to repository phases and scripts. Completed objectives O1–O6 match the certificate pipeline through feature engineering. Proposed objectives are roadmap items, not results of this pilot.</w:t>
      </w:r>
    </w:p>
    <w:p>
      <w:r>
        <w:pict>
          <v:rect style="width:0;height:1.5pt" o:hralign="center" o:hrstd="t" o:hr="t"/>
        </w:pict>
      </w:r>
    </w:p>
    <w:bookmarkEnd w:id="13"/>
    <w:bookmarkStart w:id="14" w:name="slide-6-literature-eew-fundamentals"/>
    <w:p>
      <w:pPr>
        <w:pStyle w:val="Heading2"/>
      </w:pPr>
      <w:r>
        <w:t xml:space="preserve">Slide 6 — Literature: EEW fundamentals</w:t>
      </w:r>
    </w:p>
    <w:p>
      <w:pPr>
        <w:pStyle w:val="FirstParagraph"/>
      </w:pPr>
      <w:r>
        <w:rPr>
          <w:b/>
          <w:bCs/>
        </w:rPr>
        <w:t xml:space="preserve">Title:</w:t>
      </w:r>
      <w:r>
        <w:t xml:space="preserve"> </w:t>
      </w:r>
      <w:r>
        <w:t xml:space="preserve">Literature — onsite EEW</w:t>
      </w:r>
    </w:p>
    <w:p>
      <w:pPr>
        <w:pStyle w:val="BodyText"/>
      </w:pPr>
      <w:r>
        <w:rPr>
          <w:b/>
          <w:bCs/>
        </w:rPr>
        <w:t xml:space="preserve">Bullets:</w:t>
      </w:r>
      <w:r>
        <w:t xml:space="preserve"> </w:t>
      </w:r>
      <w:r>
        <w:t xml:space="preserve">- STA/LTA and similar triggers for P-wave onset</w:t>
      </w:r>
      <w:r>
        <w:t xml:space="preserve"> </w:t>
      </w:r>
      <w:r>
        <w:t xml:space="preserve">- Early-window amplitude/velocity for magnitude and alerts</w:t>
      </w:r>
      <w:r>
        <w:t xml:space="preserve"> </w:t>
      </w:r>
      <w:r>
        <w:t xml:space="preserve">- Trade-offs: latency, false alarms, magnitude saturation</w:t>
      </w:r>
      <w:r>
        <w:t xml:space="preserve"> </w:t>
      </w:r>
      <w:r>
        <w:t xml:space="preserve">- Allen and Kanamori (2003); Hoshiba et al. (2008)</w:t>
      </w:r>
      <w:r>
        <w:t xml:space="preserve"> </w:t>
      </w:r>
      <w:r>
        <w:t xml:space="preserve">- European focus: metadata, latency budgets, uncertainty communication</w:t>
      </w:r>
    </w:p>
    <w:p>
      <w:pPr>
        <w:pStyle w:val="BodyText"/>
      </w:pPr>
      <w:r>
        <w:rPr>
          <w:b/>
          <w:bCs/>
        </w:rPr>
        <w:t xml:space="preserve">Figure:</w:t>
      </w:r>
      <w:r>
        <w:t xml:space="preserve"> </w:t>
      </w:r>
      <w:r>
        <w:t xml:space="preserve">None</w:t>
      </w:r>
    </w:p>
    <w:p>
      <w:pPr>
        <w:pStyle w:val="BodyText"/>
      </w:pPr>
      <w:r>
        <w:rPr>
          <w:b/>
          <w:bCs/>
        </w:rPr>
        <w:t xml:space="preserve">Speaker notes:</w:t>
      </w:r>
      <w:r>
        <w:t xml:space="preserve"> </w:t>
      </w:r>
      <w:r>
        <w:t xml:space="preserve">Classical EEW literature motivates the signal-analysis phase. The pilot uses ObsPy classic STA/LTA with documented window lengths and threshold, not operational network tuning. European deployments emphasise standardised metadata and user-facing uncertainty.</w:t>
      </w:r>
    </w:p>
    <w:p>
      <w:r>
        <w:pict>
          <v:rect style="width:0;height:1.5pt" o:hralign="center" o:hrstd="t" o:hr="t"/>
        </w:pict>
      </w:r>
    </w:p>
    <w:bookmarkEnd w:id="14"/>
    <w:bookmarkStart w:id="15" w:name="Xc9791b3df7a450a5c7983c95622867bf95ec7ae"/>
    <w:p>
      <w:pPr>
        <w:pStyle w:val="Heading2"/>
      </w:pPr>
      <w:r>
        <w:t xml:space="preserve">Slide 7 — Literature: data, software, and ML context</w:t>
      </w:r>
    </w:p>
    <w:p>
      <w:pPr>
        <w:pStyle w:val="FirstParagraph"/>
      </w:pPr>
      <w:r>
        <w:rPr>
          <w:b/>
          <w:bCs/>
        </w:rPr>
        <w:t xml:space="preserve">Title:</w:t>
      </w:r>
      <w:r>
        <w:t xml:space="preserve"> </w:t>
      </w:r>
      <w:r>
        <w:t xml:space="preserve">Literature — ObsPy, FDSN, ML, reproducibility</w:t>
      </w:r>
    </w:p>
    <w:p>
      <w:pPr>
        <w:pStyle w:val="BodyText"/>
      </w:pPr>
      <w:r>
        <w:rPr>
          <w:b/>
          <w:bCs/>
        </w:rPr>
        <w:t xml:space="preserve">Bullets:</w:t>
      </w:r>
      <w:r>
        <w:t xml:space="preserve"> </w:t>
      </w:r>
      <w:r>
        <w:t xml:space="preserve">-</w:t>
      </w:r>
      <w:r>
        <w:t xml:space="preserve"> </w:t>
      </w:r>
      <w:r>
        <w:rPr>
          <w:b/>
          <w:bCs/>
        </w:rPr>
        <w:t xml:space="preserve">ObsPy</w:t>
      </w:r>
      <w:r>
        <w:t xml:space="preserve"> </w:t>
      </w:r>
      <w:r>
        <w:t xml:space="preserve">(Krischer et al., 2015): MiniSEED, FDSN, processing</w:t>
      </w:r>
      <w:r>
        <w:t xml:space="preserve"> </w:t>
      </w:r>
      <w:r>
        <w:t xml:space="preserve">-</w:t>
      </w:r>
      <w:r>
        <w:t xml:space="preserve"> </w:t>
      </w:r>
      <w:r>
        <w:rPr>
          <w:b/>
          <w:bCs/>
        </w:rPr>
        <w:t xml:space="preserve">USGS</w:t>
      </w:r>
      <w:r>
        <w:t xml:space="preserve"> </w:t>
      </w:r>
      <w:r>
        <w:t xml:space="preserve">events +</w:t>
      </w:r>
      <w:r>
        <w:t xml:space="preserve"> </w:t>
      </w:r>
      <w:r>
        <w:rPr>
          <w:b/>
          <w:bCs/>
        </w:rPr>
        <w:t xml:space="preserve">EarthScope</w:t>
      </w:r>
      <w:r>
        <w:t xml:space="preserve"> </w:t>
      </w:r>
      <w:r>
        <w:t xml:space="preserve">waveforms in this pilot</w:t>
      </w:r>
      <w:r>
        <w:t xml:space="preserve"> </w:t>
      </w:r>
      <w:r>
        <w:t xml:space="preserve">- ML/reservoir methods need large datasets and response handling</w:t>
      </w:r>
      <w:r>
        <w:t xml:space="preserve"> </w:t>
      </w:r>
      <w:r>
        <w:t xml:space="preserve">-</w:t>
      </w:r>
      <w:r>
        <w:t xml:space="preserve"> </w:t>
      </w:r>
      <w:r>
        <w:rPr>
          <w:b/>
          <w:bCs/>
        </w:rPr>
        <w:t xml:space="preserve">EarthESND:</w:t>
      </w:r>
      <w:r>
        <w:t xml:space="preserve"> </w:t>
      </w:r>
      <w:r>
        <w:t xml:space="preserve">ESN/DENN; Japan K-NET context;</w:t>
      </w:r>
      <w:r>
        <w:t xml:space="preserve"> </w:t>
      </w:r>
      <w:r>
        <w:rPr>
          <w:b/>
          <w:bCs/>
        </w:rPr>
        <w:t xml:space="preserve">reference code only</w:t>
      </w:r>
      <w:r>
        <w:t xml:space="preserve"> </w:t>
      </w:r>
      <w:r>
        <w:t xml:space="preserve">here</w:t>
      </w:r>
      <w:r>
        <w:t xml:space="preserve"> </w:t>
      </w:r>
      <w:r>
        <w:t xml:space="preserve">- Reproducibility: manifests, JSON configs, phase reports</w:t>
      </w:r>
    </w:p>
    <w:p>
      <w:pPr>
        <w:pStyle w:val="BodyText"/>
      </w:pPr>
      <w:r>
        <w:rPr>
          <w:b/>
          <w:bCs/>
        </w:rPr>
        <w:t xml:space="preserve">Figure:</w:t>
      </w:r>
      <w:r>
        <w:t xml:space="preserve"> </w:t>
      </w:r>
      <w:r>
        <w:t xml:space="preserve">None</w:t>
      </w:r>
    </w:p>
    <w:p>
      <w:pPr>
        <w:pStyle w:val="BodyText"/>
      </w:pPr>
      <w:r>
        <w:rPr>
          <w:b/>
          <w:bCs/>
        </w:rPr>
        <w:t xml:space="preserve">Speaker notes:</w:t>
      </w:r>
      <w:r>
        <w:t xml:space="preserve"> </w:t>
      </w:r>
      <w:r>
        <w:t xml:space="preserve">The same FDSN abstraction is intended for ORFEUS/EIDA later. EarthESND is cited as literature and implemented in src for future comparison, not trained on California in the completed work. Reproducibility is a first-class deliverable alongside science.</w:t>
      </w:r>
    </w:p>
    <w:p>
      <w:r>
        <w:pict>
          <v:rect style="width:0;height:1.5pt" o:hralign="center" o:hrstd="t" o:hr="t"/>
        </w:pict>
      </w:r>
    </w:p>
    <w:bookmarkEnd w:id="15"/>
    <w:bookmarkStart w:id="16" w:name="slide-8-california-pilot-dataset"/>
    <w:p>
      <w:pPr>
        <w:pStyle w:val="Heading2"/>
      </w:pPr>
      <w:r>
        <w:t xml:space="preserve">Slide 8 — California pilot dataset</w:t>
      </w:r>
    </w:p>
    <w:p>
      <w:pPr>
        <w:pStyle w:val="FirstParagraph"/>
      </w:pPr>
      <w:r>
        <w:rPr>
          <w:b/>
          <w:bCs/>
        </w:rPr>
        <w:t xml:space="preserve">Title:</w:t>
      </w:r>
      <w:r>
        <w:t xml:space="preserve"> </w:t>
      </w:r>
      <w:r>
        <w:t xml:space="preserve">Dataset — completed California pilot</w:t>
      </w:r>
    </w:p>
    <w:p>
      <w:pPr>
        <w:pStyle w:val="BodyText"/>
      </w:pPr>
      <w:r>
        <w:rPr>
          <w:b/>
          <w:bCs/>
        </w:rPr>
        <w:t xml:space="preserve">Bullets:</w:t>
      </w:r>
      <w:r>
        <w:t xml:space="preserve"> </w:t>
      </w:r>
      <w:r>
        <w:t xml:space="preserve">-</w:t>
      </w:r>
      <w:r>
        <w:t xml:space="preserve"> </w:t>
      </w:r>
      <w:r>
        <w:rPr>
          <w:b/>
          <w:bCs/>
        </w:rPr>
        <w:t xml:space="preserve">8</w:t>
      </w:r>
      <w:r>
        <w:t xml:space="preserve"> </w:t>
      </w:r>
      <w:r>
        <w:t xml:space="preserve">events; M</w:t>
      </w:r>
      <w:r>
        <w:t xml:space="preserve"> </w:t>
      </w:r>
      <w:r>
        <w:rPr>
          <w:b/>
          <w:bCs/>
        </w:rPr>
        <w:t xml:space="preserve">4.05–4.87</w:t>
      </w:r>
      <w:r>
        <w:t xml:space="preserve"> </w:t>
      </w:r>
      <w:r>
        <w:t xml:space="preserve">(</w:t>
      </w:r>
      <w:r>
        <w:rPr>
          <w:rStyle w:val="VerbatimChar"/>
        </w:rPr>
        <w:t xml:space="preserve">mw</w:t>
      </w:r>
      <w:r>
        <w:t xml:space="preserve">,</w:t>
      </w:r>
      <w:r>
        <w:t xml:space="preserve"> </w:t>
      </w:r>
      <w:r>
        <w:rPr>
          <w:rStyle w:val="VerbatimChar"/>
        </w:rPr>
        <w:t xml:space="preserve">ml</w:t>
      </w:r>
      <w:r>
        <w:t xml:space="preserve">); May–Oct</w:t>
      </w:r>
      <w:r>
        <w:t xml:space="preserve"> </w:t>
      </w:r>
      <w:r>
        <w:rPr>
          <w:b/>
          <w:bCs/>
        </w:rPr>
        <w:t xml:space="preserve">2024</w:t>
      </w:r>
      <w:r>
        <w:t xml:space="preserve"> </w:t>
      </w:r>
      <w:r>
        <w:t xml:space="preserve">-</w:t>
      </w:r>
      <w:r>
        <w:t xml:space="preserve"> </w:t>
      </w:r>
      <w:r>
        <w:rPr>
          <w:b/>
          <w:bCs/>
        </w:rPr>
        <w:t xml:space="preserve">BHZ</w:t>
      </w:r>
      <w:r>
        <w:t xml:space="preserve">,</w:t>
      </w:r>
      <w:r>
        <w:t xml:space="preserve"> </w:t>
      </w:r>
      <w:r>
        <w:rPr>
          <w:b/>
          <w:bCs/>
        </w:rPr>
        <w:t xml:space="preserve">40 Hz</w:t>
      </w:r>
      <w:r>
        <w:t xml:space="preserve">,</w:t>
      </w:r>
      <w:r>
        <w:t xml:space="preserve"> </w:t>
      </w:r>
      <w:r>
        <w:rPr>
          <w:b/>
          <w:bCs/>
        </w:rPr>
        <w:t xml:space="preserve">300 s</w:t>
      </w:r>
      <w:r>
        <w:t xml:space="preserve"> </w:t>
      </w:r>
      <w:r>
        <w:t xml:space="preserve">from catalog origin time</w:t>
      </w:r>
      <w:r>
        <w:t xml:space="preserve"> </w:t>
      </w:r>
      <w:r>
        <w:t xml:space="preserve">-</w:t>
      </w:r>
      <w:r>
        <w:t xml:space="preserve"> </w:t>
      </w:r>
      <w:r>
        <w:rPr>
          <w:b/>
          <w:bCs/>
        </w:rPr>
        <w:t xml:space="preserve">CI.ADO:</w:t>
      </w:r>
      <w:r>
        <w:t xml:space="preserve"> </w:t>
      </w:r>
      <w:r>
        <w:t xml:space="preserve">6 events;</w:t>
      </w:r>
      <w:r>
        <w:t xml:space="preserve"> </w:t>
      </w:r>
      <w:r>
        <w:rPr>
          <w:b/>
          <w:bCs/>
        </w:rPr>
        <w:t xml:space="preserve">CI.USC:</w:t>
      </w:r>
      <w:r>
        <w:t xml:space="preserve"> </w:t>
      </w:r>
      <w:r>
        <w:t xml:space="preserve">2 events</w:t>
      </w:r>
      <w:r>
        <w:t xml:space="preserve"> </w:t>
      </w:r>
      <w:r>
        <w:t xml:space="preserve">- Manifest:</w:t>
      </w:r>
      <w:r>
        <w:t xml:space="preserve"> </w:t>
      </w:r>
      <w:r>
        <w:rPr>
          <w:rStyle w:val="VerbatimChar"/>
        </w:rPr>
        <w:t xml:space="preserve">data/manifests/iris_california_pilot_events.csv</w:t>
      </w:r>
      <w:r>
        <w:t xml:space="preserve"> </w:t>
      </w:r>
      <w:r>
        <w:t xml:space="preserve">-</w:t>
      </w:r>
      <w:r>
        <w:t xml:space="preserve"> </w:t>
      </w:r>
      <w:r>
        <w:rPr>
          <w:b/>
          <w:bCs/>
        </w:rPr>
        <w:t xml:space="preserve">12</w:t>
      </w:r>
      <w:r>
        <w:t xml:space="preserve"> </w:t>
      </w:r>
      <w:r>
        <w:t xml:space="preserve">MiniSEED on disk at EDA;</w:t>
      </w:r>
      <w:r>
        <w:t xml:space="preserve"> </w:t>
      </w:r>
      <w:r>
        <w:rPr>
          <w:b/>
          <w:bCs/>
        </w:rPr>
        <w:t xml:space="preserve">4</w:t>
      </w:r>
      <w:r>
        <w:t xml:space="preserve"> </w:t>
      </w:r>
      <w:r>
        <w:t xml:space="preserve">legacy — analyses use</w:t>
      </w:r>
      <w:r>
        <w:t xml:space="preserve"> </w:t>
      </w:r>
      <w:r>
        <w:rPr>
          <w:b/>
          <w:bCs/>
        </w:rPr>
        <w:t xml:space="preserve">8</w:t>
      </w:r>
      <w:r>
        <w:t xml:space="preserve"> </w:t>
      </w:r>
      <w:r>
        <w:t xml:space="preserve">manifest only</w:t>
      </w:r>
      <w:r>
        <w:t xml:space="preserve"> </w:t>
      </w:r>
      <w:r>
        <w:t xml:space="preserve">- No European waveforms in completed pilot</w:t>
      </w:r>
    </w:p>
    <w:p>
      <w:pPr>
        <w:pStyle w:val="BodyText"/>
      </w:pPr>
      <w:r>
        <w:rPr>
          <w:b/>
          <w:bCs/>
        </w:rPr>
        <w:t xml:space="preserve">Figure:</w:t>
      </w:r>
      <w:r>
        <w:t xml:space="preserve"> </w:t>
      </w:r>
      <w:r>
        <w:t xml:space="preserve">None (optional:</w:t>
      </w:r>
      <w:r>
        <w:t xml:space="preserve"> </w:t>
      </w:r>
      <w:r>
        <w:rPr>
          <w:b/>
          <w:bCs/>
        </w:rPr>
        <w:t xml:space="preserve">Table 1</w:t>
      </w:r>
      <w:r>
        <w:t xml:space="preserve"> </w:t>
      </w:r>
      <w:r>
        <w:t xml:space="preserve">/</w:t>
      </w:r>
      <w:r>
        <w:t xml:space="preserve"> </w:t>
      </w:r>
      <w:r>
        <w:rPr>
          <w:b/>
          <w:bCs/>
        </w:rPr>
        <w:t xml:space="preserve">Table A1</w:t>
      </w:r>
      <w:r>
        <w:t xml:space="preserve"> </w:t>
      </w:r>
      <w:r>
        <w:t xml:space="preserve">from report)</w:t>
      </w:r>
    </w:p>
    <w:p>
      <w:pPr>
        <w:pStyle w:val="BodyText"/>
      </w:pPr>
      <w:r>
        <w:rPr>
          <w:b/>
          <w:bCs/>
        </w:rPr>
        <w:t xml:space="preserve">Speaker notes:</w:t>
      </w:r>
      <w:r>
        <w:t xml:space="preserve"> </w:t>
      </w:r>
      <w:r>
        <w:t xml:space="preserve">Table 1 in the report consolidates these attributes. Legacy files are documented but excluded from cohort summaries. The pilot is intentionally small for certificate timeline while exposing real processing pitfalls.</w:t>
      </w:r>
    </w:p>
    <w:p>
      <w:r>
        <w:pict>
          <v:rect style="width:0;height:1.5pt" o:hralign="center" o:hrstd="t" o:hr="t"/>
        </w:pict>
      </w:r>
    </w:p>
    <w:bookmarkEnd w:id="16"/>
    <w:bookmarkStart w:id="17" w:name="slide-9-fdsn-acquisition-parameters"/>
    <w:p>
      <w:pPr>
        <w:pStyle w:val="Heading2"/>
      </w:pPr>
      <w:r>
        <w:t xml:space="preserve">Slide 9 — FDSN acquisition parameters</w:t>
      </w:r>
    </w:p>
    <w:p>
      <w:pPr>
        <w:pStyle w:val="FirstParagraph"/>
      </w:pPr>
      <w:r>
        <w:rPr>
          <w:b/>
          <w:bCs/>
        </w:rPr>
        <w:t xml:space="preserve">Title:</w:t>
      </w:r>
      <w:r>
        <w:t xml:space="preserve"> </w:t>
      </w:r>
      <w:r>
        <w:t xml:space="preserve">How data were acquired</w:t>
      </w:r>
    </w:p>
    <w:p>
      <w:pPr>
        <w:pStyle w:val="BodyText"/>
      </w:pPr>
      <w:r>
        <w:rPr>
          <w:b/>
          <w:bCs/>
        </w:rPr>
        <w:t xml:space="preserve">Bullets:</w:t>
      </w:r>
      <w:r>
        <w:t xml:space="preserve"> </w:t>
      </w:r>
      <w:r>
        <w:t xml:space="preserve">- USGS event search: California box, 2024, M</w:t>
      </w:r>
      <w:r>
        <w:t xml:space="preserve"> </w:t>
      </w:r>
      <w:r>
        <w:rPr>
          <w:b/>
          <w:bCs/>
        </w:rPr>
        <w:t xml:space="preserve">4.0–7.5</w:t>
      </w:r>
      <w:r>
        <w:t xml:space="preserve"> </w:t>
      </w:r>
      <w:r>
        <w:t xml:space="preserve">→</w:t>
      </w:r>
      <w:r>
        <w:t xml:space="preserve"> </w:t>
      </w:r>
      <w:r>
        <w:rPr>
          <w:b/>
          <w:bCs/>
        </w:rPr>
        <w:t xml:space="preserve">41</w:t>
      </w:r>
      <w:r>
        <w:t xml:space="preserve"> </w:t>
      </w:r>
      <w:r>
        <w:t xml:space="preserve">catalog matches</w:t>
      </w:r>
      <w:r>
        <w:t xml:space="preserve"> </w:t>
      </w:r>
      <w:r>
        <w:t xml:space="preserve">- EarthScope:</w:t>
      </w:r>
      <w:r>
        <w:t xml:space="preserve"> </w:t>
      </w:r>
      <w:r>
        <w:rPr>
          <w:b/>
          <w:bCs/>
        </w:rPr>
        <w:t xml:space="preserve">CI, NC, BK</w:t>
      </w:r>
      <w:r>
        <w:t xml:space="preserve"> </w:t>
      </w:r>
      <w:r>
        <w:t xml:space="preserve">candidates;</w:t>
      </w:r>
      <w:r>
        <w:t xml:space="preserve"> </w:t>
      </w:r>
      <w:r>
        <w:rPr>
          <w:b/>
          <w:bCs/>
        </w:rPr>
        <w:t xml:space="preserve">BHZ</w:t>
      </w:r>
      <w:r>
        <w:t xml:space="preserve">; one trace per event</w:t>
      </w:r>
      <w:r>
        <w:t xml:space="preserve"> </w:t>
      </w:r>
      <w:r>
        <w:t xml:space="preserve">-</w:t>
      </w:r>
      <w:r>
        <w:t xml:space="preserve"> </w:t>
      </w:r>
      <w:r>
        <w:rPr>
          <w:b/>
          <w:bCs/>
        </w:rPr>
        <w:t xml:space="preserve">8</w:t>
      </w:r>
      <w:r>
        <w:t xml:space="preserve"> </w:t>
      </w:r>
      <w:r>
        <w:t xml:space="preserve">events retained with waveforms</w:t>
      </w:r>
      <w:r>
        <w:t xml:space="preserve"> </w:t>
      </w:r>
      <w:r>
        <w:t xml:space="preserve">- Fixed distance-ranked station list — not uniform sampling</w:t>
      </w:r>
      <w:r>
        <w:t xml:space="preserve"> </w:t>
      </w:r>
      <w:r>
        <w:t xml:space="preserve">- Public FDSN; no credentials</w:t>
      </w:r>
      <w:r>
        <w:t xml:space="preserve"> </w:t>
      </w:r>
      <w:r>
        <w:t xml:space="preserve">- Script:</w:t>
      </w:r>
      <w:r>
        <w:t xml:space="preserve"> </w:t>
      </w:r>
      <w:r>
        <w:rPr>
          <w:rStyle w:val="VerbatimChar"/>
        </w:rPr>
        <w:t xml:space="preserve">scripts/download/download_iris_california_pilot.py</w:t>
      </w:r>
    </w:p>
    <w:p>
      <w:pPr>
        <w:pStyle w:val="BodyText"/>
      </w:pPr>
      <w:r>
        <w:rPr>
          <w:b/>
          <w:bCs/>
        </w:rPr>
        <w:t xml:space="preserve">Figure:</w:t>
      </w:r>
      <w:r>
        <w:t xml:space="preserve"> </w:t>
      </w:r>
      <w:r>
        <w:t xml:space="preserve">None (optional:</w:t>
      </w:r>
      <w:r>
        <w:t xml:space="preserve"> </w:t>
      </w:r>
      <w:r>
        <w:rPr>
          <w:b/>
          <w:bCs/>
        </w:rPr>
        <w:t xml:space="preserve">Table 2</w:t>
      </w:r>
      <w:r>
        <w:t xml:space="preserve"> </w:t>
      </w:r>
      <w:r>
        <w:t xml:space="preserve">from report)</w:t>
      </w:r>
    </w:p>
    <w:p>
      <w:pPr>
        <w:pStyle w:val="BodyText"/>
      </w:pPr>
      <w:r>
        <w:rPr>
          <w:b/>
          <w:bCs/>
        </w:rPr>
        <w:t xml:space="preserve">Speaker notes:</w:t>
      </w:r>
      <w:r>
        <w:t xml:space="preserve"> </w:t>
      </w:r>
      <w:r>
        <w:t xml:space="preserve">Acquisition parameters are frozen in the IRIS dataset report cited by D-F1. Station policy explains ADO dominance in later results. Re-running download may yield different events; published science uses the committed manifest.</w:t>
      </w:r>
    </w:p>
    <w:p>
      <w:r>
        <w:pict>
          <v:rect style="width:0;height:1.5pt" o:hralign="center" o:hrstd="t" o:hr="t"/>
        </w:pict>
      </w:r>
    </w:p>
    <w:bookmarkEnd w:id="17"/>
    <w:bookmarkStart w:id="18" w:name="slide-10-end-to-end-workflow"/>
    <w:p>
      <w:pPr>
        <w:pStyle w:val="Heading2"/>
      </w:pPr>
      <w:r>
        <w:t xml:space="preserve">Slide 10 — End-to-end workflow</w:t>
      </w:r>
    </w:p>
    <w:p>
      <w:pPr>
        <w:pStyle w:val="FirstParagraph"/>
      </w:pPr>
      <w:r>
        <w:rPr>
          <w:b/>
          <w:bCs/>
        </w:rPr>
        <w:t xml:space="preserve">Title:</w:t>
      </w:r>
      <w:r>
        <w:t xml:space="preserve"> </w:t>
      </w:r>
      <w:r>
        <w:t xml:space="preserve">California pilot workflow (completed vs proposed)</w:t>
      </w:r>
    </w:p>
    <w:p>
      <w:pPr>
        <w:pStyle w:val="BodyText"/>
      </w:pPr>
      <w:r>
        <w:rPr>
          <w:b/>
          <w:bCs/>
        </w:rPr>
        <w:t xml:space="preserve">Bullets:</w:t>
      </w:r>
      <w:r>
        <w:t xml:space="preserve"> </w:t>
      </w:r>
      <w:r>
        <w:t xml:space="preserve">-</w:t>
      </w:r>
      <w:r>
        <w:t xml:space="preserve"> </w:t>
      </w:r>
      <w:r>
        <w:rPr>
          <w:b/>
          <w:bCs/>
        </w:rPr>
        <w:t xml:space="preserve">Done:</w:t>
      </w:r>
      <w:r>
        <w:t xml:space="preserve"> </w:t>
      </w:r>
      <w:r>
        <w:t xml:space="preserve">Download → EDA → signal → preprocessing → features → interpretation</w:t>
      </w:r>
      <w:r>
        <w:t xml:space="preserve"> </w:t>
      </w:r>
      <w:r>
        <w:t xml:space="preserve">-</w:t>
      </w:r>
      <w:r>
        <w:t xml:space="preserve"> </w:t>
      </w:r>
      <w:r>
        <w:rPr>
          <w:b/>
          <w:bCs/>
        </w:rPr>
        <w:t xml:space="preserve">Done:</w:t>
      </w:r>
      <w:r>
        <w:t xml:space="preserve"> </w:t>
      </w:r>
      <w:r>
        <w:t xml:space="preserve">D-S1/D-S2 statements; D-F1 final report</w:t>
      </w:r>
      <w:r>
        <w:t xml:space="preserve"> </w:t>
      </w:r>
      <w:r>
        <w:t xml:space="preserve">-</w:t>
      </w:r>
      <w:r>
        <w:t xml:space="preserve"> </w:t>
      </w:r>
      <w:r>
        <w:rPr>
          <w:b/>
          <w:bCs/>
        </w:rPr>
        <w:t xml:space="preserve">Outputs:</w:t>
      </w:r>
      <w:r>
        <w:t xml:space="preserve"> </w:t>
      </w:r>
      <w:r>
        <w:rPr>
          <w:rStyle w:val="VerbatimChar"/>
        </w:rPr>
        <w:t xml:space="preserve">reports/eda/</w:t>
      </w:r>
      <w:r>
        <w:t xml:space="preserve">,</w:t>
      </w:r>
      <w:r>
        <w:t xml:space="preserve"> </w:t>
      </w:r>
      <w:r>
        <w:rPr>
          <w:rStyle w:val="VerbatimChar"/>
        </w:rPr>
        <w:t xml:space="preserve">signal_analysis/</w:t>
      </w:r>
      <w:r>
        <w:t xml:space="preserve">,</w:t>
      </w:r>
      <w:r>
        <w:t xml:space="preserve"> </w:t>
      </w:r>
      <w:r>
        <w:rPr>
          <w:rStyle w:val="VerbatimChar"/>
        </w:rPr>
        <w:t xml:space="preserve">preprocessing/</w:t>
      </w:r>
      <w:r>
        <w:t xml:space="preserve">,</w:t>
      </w:r>
      <w:r>
        <w:t xml:space="preserve"> </w:t>
      </w:r>
      <w:r>
        <w:rPr>
          <w:rStyle w:val="VerbatimChar"/>
        </w:rPr>
        <w:t xml:space="preserve">features/</w:t>
      </w:r>
      <w:r>
        <w:t xml:space="preserve">,</w:t>
      </w:r>
      <w:r>
        <w:t xml:space="preserve"> </w:t>
      </w:r>
      <w:r>
        <w:rPr>
          <w:rStyle w:val="VerbatimChar"/>
        </w:rPr>
        <w:t xml:space="preserve">figures/</w:t>
      </w:r>
      <w:r>
        <w:t xml:space="preserve"> </w:t>
      </w:r>
      <w:r>
        <w:t xml:space="preserve">-</w:t>
      </w:r>
      <w:r>
        <w:t xml:space="preserve"> </w:t>
      </w:r>
      <w:r>
        <w:rPr>
          <w:b/>
          <w:bCs/>
        </w:rPr>
        <w:t xml:space="preserve">Not used for pilot:</w:t>
      </w:r>
      <w:r>
        <w:t xml:space="preserve"> </w:t>
      </w:r>
      <w:r>
        <w:t xml:space="preserve">EarthESND</w:t>
      </w:r>
      <w:r>
        <w:t xml:space="preserve"> </w:t>
      </w:r>
      <w:r>
        <w:rPr>
          <w:rStyle w:val="VerbatimChar"/>
        </w:rPr>
        <w:t xml:space="preserve">src/</w:t>
      </w:r>
      <w:r>
        <w:t xml:space="preserve"> </w:t>
      </w:r>
      <w:r>
        <w:t xml:space="preserve">modules</w:t>
      </w:r>
      <w:r>
        <w:t xml:space="preserve"> </w:t>
      </w:r>
      <w:r>
        <w:t xml:space="preserve">-</w:t>
      </w:r>
      <w:r>
        <w:t xml:space="preserve"> </w:t>
      </w:r>
      <w:r>
        <w:rPr>
          <w:b/>
          <w:bCs/>
        </w:rPr>
        <w:t xml:space="preserve">Proposed:</w:t>
      </w:r>
      <w:r>
        <w:t xml:space="preserve"> </w:t>
      </w:r>
      <w:r>
        <w:t xml:space="preserve">European FDSN, larger N, ML, real-time SeedLink</w:t>
      </w:r>
      <w:r>
        <w:t xml:space="preserve"> </w:t>
      </w:r>
      <w:r>
        <w:t xml:space="preserve">- Reproduction: Appendix B commands</w:t>
      </w:r>
    </w:p>
    <w:p>
      <w:pPr>
        <w:pStyle w:val="BodyText"/>
      </w:pPr>
      <w:r>
        <w:rPr>
          <w:b/>
          <w:bCs/>
        </w:rPr>
        <w:t xml:space="preserve">Figure:</w:t>
      </w:r>
      <w:r>
        <w:t xml:space="preserve"> </w:t>
      </w:r>
      <w:r>
        <w:t xml:space="preserve">None (use workflow as</w:t>
      </w:r>
      <w:r>
        <w:t xml:space="preserve"> </w:t>
      </w:r>
      <w:r>
        <w:rPr>
          <w:b/>
          <w:bCs/>
        </w:rPr>
        <w:t xml:space="preserve">text diagram</w:t>
      </w:r>
      <w:r>
        <w:t xml:space="preserve"> </w:t>
      </w:r>
      <w:r>
        <w:t xml:space="preserve">from report §7 on slide; no separate PNG in repository)</w:t>
      </w:r>
    </w:p>
    <w:p>
      <w:pPr>
        <w:pStyle w:val="BodyText"/>
      </w:pPr>
      <w:r>
        <w:rPr>
          <w:b/>
          <w:bCs/>
        </w:rPr>
        <w:t xml:space="preserve">Speaker notes:</w:t>
      </w:r>
      <w:r>
        <w:t xml:space="preserve"> </w:t>
      </w:r>
      <w:r>
        <w:t xml:space="preserve">Walk the audience through the linear pipeline in section 7 of the report. Each stage has a dedicated script and phase report. Proposed items are clearly labelled and must not be presented as completed outcomes.</w:t>
      </w:r>
    </w:p>
    <w:p>
      <w:r>
        <w:pict>
          <v:rect style="width:0;height:1.5pt" o:hralign="center" o:hrstd="t" o:hr="t"/>
        </w:pict>
      </w:r>
    </w:p>
    <w:bookmarkEnd w:id="18"/>
    <w:bookmarkStart w:id="19" w:name="X611a5163980a01fc66cdeb975349dc3c5c1bca0"/>
    <w:p>
      <w:pPr>
        <w:pStyle w:val="Heading2"/>
      </w:pPr>
      <w:r>
        <w:t xml:space="preserve">Slide 11 — Methodology: EDA and signal analysis</w:t>
      </w:r>
    </w:p>
    <w:p>
      <w:pPr>
        <w:pStyle w:val="FirstParagraph"/>
      </w:pPr>
      <w:r>
        <w:rPr>
          <w:b/>
          <w:bCs/>
        </w:rPr>
        <w:t xml:space="preserve">Title:</w:t>
      </w:r>
      <w:r>
        <w:t xml:space="preserve"> </w:t>
      </w:r>
      <w:r>
        <w:t xml:space="preserve">Methods — Phase A.1 EDA &amp; Phase A.2 signal</w:t>
      </w:r>
    </w:p>
    <w:p>
      <w:pPr>
        <w:pStyle w:val="BodyText"/>
      </w:pPr>
      <w:r>
        <w:rPr>
          <w:b/>
          <w:bCs/>
        </w:rPr>
        <w:t xml:space="preserve">Bullets:</w:t>
      </w:r>
      <w:r>
        <w:t xml:space="preserve"> </w:t>
      </w:r>
      <w:r>
        <w:t xml:space="preserve">-</w:t>
      </w:r>
      <w:r>
        <w:t xml:space="preserve"> </w:t>
      </w:r>
      <w:r>
        <w:rPr>
          <w:b/>
          <w:bCs/>
        </w:rPr>
        <w:t xml:space="preserve">EDA:</w:t>
      </w:r>
      <w:r>
        <w:t xml:space="preserve"> </w:t>
      </w:r>
      <w:r>
        <w:t xml:space="preserve">ObsPy inspection; manifest-only summaries; four cohort figures</w:t>
      </w:r>
      <w:r>
        <w:t xml:space="preserve"> </w:t>
      </w:r>
      <w:r>
        <w:t xml:space="preserve">-</w:t>
      </w:r>
      <w:r>
        <w:t xml:space="preserve"> </w:t>
      </w:r>
      <w:r>
        <w:rPr>
          <w:b/>
          <w:bCs/>
        </w:rPr>
        <w:t xml:space="preserve">Signal:</w:t>
      </w:r>
      <w:r>
        <w:t xml:space="preserve"> </w:t>
      </w:r>
      <w:r>
        <w:t xml:space="preserve">Peak/RMS, noise</w:t>
      </w:r>
      <w:r>
        <w:t xml:space="preserve"> </w:t>
      </w:r>
      <w:r>
        <w:rPr>
          <w:b/>
          <w:bCs/>
        </w:rPr>
        <w:t xml:space="preserve">0–5 s</w:t>
      </w:r>
      <w:r>
        <w:t xml:space="preserve"> </w:t>
      </w:r>
      <w:r>
        <w:t xml:space="preserve">proxy, peak SNR</w:t>
      </w:r>
      <w:r>
        <w:t xml:space="preserve"> </w:t>
      </w:r>
      <w:r>
        <w:t xml:space="preserve">-</w:t>
      </w:r>
      <w:r>
        <w:t xml:space="preserve"> </w:t>
      </w:r>
      <w:r>
        <w:rPr>
          <w:b/>
          <w:bCs/>
        </w:rPr>
        <w:t xml:space="preserve">STA/LTA:</w:t>
      </w:r>
      <w:r>
        <w:t xml:space="preserve"> </w:t>
      </w:r>
      <w:r>
        <w:t xml:space="preserve">0.5 s / 10 s, threshold</w:t>
      </w:r>
      <w:r>
        <w:t xml:space="preserve"> </w:t>
      </w:r>
      <w:r>
        <w:rPr>
          <w:b/>
          <w:bCs/>
        </w:rPr>
        <w:t xml:space="preserve">2.5</w:t>
      </w:r>
      <w:r>
        <w:t xml:space="preserve">; P pick + duration</w:t>
      </w:r>
      <w:r>
        <w:t xml:space="preserve"> </w:t>
      </w:r>
      <w:r>
        <w:t xml:space="preserve">- Limitation: windows start at</w:t>
      </w:r>
      <w:r>
        <w:t xml:space="preserve"> </w:t>
      </w:r>
      <w:r>
        <w:rPr>
          <w:b/>
          <w:bCs/>
        </w:rPr>
        <w:t xml:space="preserve">origin</w:t>
      </w:r>
      <w:r>
        <w:t xml:space="preserve"> </w:t>
      </w:r>
      <w:r>
        <w:t xml:space="preserve">— no pre-event quiet time</w:t>
      </w:r>
      <w:r>
        <w:t xml:space="preserve"> </w:t>
      </w:r>
      <w:r>
        <w:t xml:space="preserve">- Scripts:</w:t>
      </w:r>
      <w:r>
        <w:t xml:space="preserve"> </w:t>
      </w:r>
      <w:r>
        <w:rPr>
          <w:rStyle w:val="VerbatimChar"/>
        </w:rPr>
        <w:t xml:space="preserve">run_california_pilot_eda.py</w:t>
      </w:r>
      <w:r>
        <w:t xml:space="preserve">,</w:t>
      </w:r>
      <w:r>
        <w:t xml:space="preserve"> </w:t>
      </w:r>
      <w:r>
        <w:rPr>
          <w:rStyle w:val="VerbatimChar"/>
        </w:rPr>
        <w:t xml:space="preserve">run_california_signal_analysis.py</w:t>
      </w:r>
    </w:p>
    <w:p>
      <w:pPr>
        <w:pStyle w:val="BodyText"/>
      </w:pPr>
      <w:r>
        <w:rPr>
          <w:b/>
          <w:bCs/>
        </w:rPr>
        <w:t xml:space="preserve">Figure:</w:t>
      </w:r>
      <w:r>
        <w:t xml:space="preserve"> </w:t>
      </w:r>
      <w:r>
        <w:t xml:space="preserve">None</w:t>
      </w:r>
    </w:p>
    <w:p>
      <w:pPr>
        <w:pStyle w:val="BodyText"/>
      </w:pPr>
      <w:r>
        <w:rPr>
          <w:b/>
          <w:bCs/>
        </w:rPr>
        <w:t xml:space="preserve">Speaker notes:</w:t>
      </w:r>
      <w:r>
        <w:t xml:space="preserve"> </w:t>
      </w:r>
      <w:r>
        <w:t xml:space="preserve">Methods match SIGNAL_ANALYSIS_REPORT and EDA_REPORT as summarised in D-F1 section 6. The noise window limitation drives SNR caveats in results. P picks are exploratory onsite triggers, not analyst-validated phase picks.</w:t>
      </w:r>
    </w:p>
    <w:p>
      <w:r>
        <w:pict>
          <v:rect style="width:0;height:1.5pt" o:hralign="center" o:hrstd="t" o:hr="t"/>
        </w:pict>
      </w:r>
    </w:p>
    <w:bookmarkEnd w:id="19"/>
    <w:bookmarkStart w:id="20" w:name="X16699c6a55d7339cf1b854f6a2964e8784371a1"/>
    <w:p>
      <w:pPr>
        <w:pStyle w:val="Heading2"/>
      </w:pPr>
      <w:r>
        <w:t xml:space="preserve">Slide 12 — Methodology: preprocessing and features</w:t>
      </w:r>
    </w:p>
    <w:p>
      <w:pPr>
        <w:pStyle w:val="FirstParagraph"/>
      </w:pPr>
      <w:r>
        <w:rPr>
          <w:b/>
          <w:bCs/>
        </w:rPr>
        <w:t xml:space="preserve">Title:</w:t>
      </w:r>
      <w:r>
        <w:t xml:space="preserve"> </w:t>
      </w:r>
      <w:r>
        <w:t xml:space="preserve">Methods — Phase B.1 preprocessing &amp; Phase B.2 features</w:t>
      </w:r>
    </w:p>
    <w:p>
      <w:pPr>
        <w:pStyle w:val="BodyText"/>
      </w:pPr>
      <w:r>
        <w:rPr>
          <w:b/>
          <w:bCs/>
        </w:rPr>
        <w:t xml:space="preserve">Bullets:</w:t>
      </w:r>
      <w:r>
        <w:t xml:space="preserve"> </w:t>
      </w:r>
      <w:r>
        <w:t xml:space="preserve">- Demean, linear detrend,</w:t>
      </w:r>
      <w:r>
        <w:t xml:space="preserve"> </w:t>
      </w:r>
      <w:r>
        <w:rPr>
          <w:b/>
          <w:bCs/>
        </w:rPr>
        <w:t xml:space="preserve">5%</w:t>
      </w:r>
      <w:r>
        <w:t xml:space="preserve"> </w:t>
      </w:r>
      <w:r>
        <w:t xml:space="preserve">Hann taper</w:t>
      </w:r>
      <w:r>
        <w:t xml:space="preserve"> </w:t>
      </w:r>
      <w:r>
        <w:t xml:space="preserve">- Band-pass</w:t>
      </w:r>
      <w:r>
        <w:t xml:space="preserve"> </w:t>
      </w:r>
      <w:r>
        <w:rPr>
          <w:b/>
          <w:bCs/>
        </w:rPr>
        <w:t xml:space="preserve">0.1–15 Hz</w:t>
      </w:r>
      <w:r>
        <w:t xml:space="preserve">, zero-phase</w:t>
      </w:r>
      <w:r>
        <w:t xml:space="preserve"> </w:t>
      </w:r>
      <w:r>
        <w:t xml:space="preserve">- Response removal attempted →</w:t>
      </w:r>
      <w:r>
        <w:t xml:space="preserve"> </w:t>
      </w:r>
      <w:r>
        <w:rPr>
          <w:b/>
          <w:bCs/>
        </w:rPr>
        <w:t xml:space="preserve">0/8 applied</w:t>
      </w:r>
      <w:r>
        <w:t xml:space="preserve"> </w:t>
      </w:r>
      <w:r>
        <w:t xml:space="preserve">(counts remain)</w:t>
      </w:r>
      <w:r>
        <w:t xml:space="preserve"> </w:t>
      </w:r>
      <w:r>
        <w:t xml:space="preserve">- Peak normalisation; stages in</w:t>
      </w:r>
      <w:r>
        <w:t xml:space="preserve"> </w:t>
      </w:r>
      <w:r>
        <w:rPr>
          <w:rStyle w:val="VerbatimChar"/>
        </w:rPr>
        <w:t xml:space="preserve">*_stages.npz</w:t>
      </w:r>
      <w:r>
        <w:t xml:space="preserve"> </w:t>
      </w:r>
      <w:r>
        <w:t xml:space="preserve">-</w:t>
      </w:r>
      <w:r>
        <w:t xml:space="preserve"> </w:t>
      </w:r>
      <w:r>
        <w:rPr>
          <w:b/>
          <w:bCs/>
        </w:rPr>
        <w:t xml:space="preserve">18 features</w:t>
      </w:r>
      <w:r>
        <w:t xml:space="preserve"> </w:t>
      </w:r>
      <w:r>
        <w:t xml:space="preserve">from</w:t>
      </w:r>
      <w:r>
        <w:t xml:space="preserve"> </w:t>
      </w:r>
      <w:r>
        <w:rPr>
          <w:b/>
          <w:bCs/>
        </w:rPr>
        <w:t xml:space="preserve">filtered</w:t>
      </w:r>
      <w:r>
        <w:t xml:space="preserve"> </w:t>
      </w:r>
      <w:r>
        <w:t xml:space="preserve">traces; P times from Phase A.2</w:t>
      </w:r>
      <w:r>
        <w:t xml:space="preserve"> </w:t>
      </w:r>
      <w:r>
        <w:t xml:space="preserve">- Domains: 9 time, 5 frequency, 4 earthquake-related (counts proxies)</w:t>
      </w:r>
    </w:p>
    <w:p>
      <w:pPr>
        <w:pStyle w:val="BodyText"/>
      </w:pPr>
      <w:r>
        <w:rPr>
          <w:b/>
          <w:bCs/>
        </w:rPr>
        <w:t xml:space="preserve">Figure:</w:t>
      </w:r>
      <w:r>
        <w:t xml:space="preserve"> </w:t>
      </w:r>
      <w:r>
        <w:t xml:space="preserve">None (optional:</w:t>
      </w:r>
      <w:r>
        <w:t xml:space="preserve"> </w:t>
      </w:r>
      <w:r>
        <w:rPr>
          <w:b/>
          <w:bCs/>
        </w:rPr>
        <w:t xml:space="preserve">Table 4</w:t>
      </w:r>
      <w:r>
        <w:t xml:space="preserve">,</w:t>
      </w:r>
      <w:r>
        <w:t xml:space="preserve"> </w:t>
      </w:r>
      <w:r>
        <w:rPr>
          <w:b/>
          <w:bCs/>
        </w:rPr>
        <w:t xml:space="preserve">Table 8</w:t>
      </w:r>
      <w:r>
        <w:t xml:space="preserve"> </w:t>
      </w:r>
      <w:r>
        <w:t xml:space="preserve">from report)</w:t>
      </w:r>
    </w:p>
    <w:p>
      <w:pPr>
        <w:pStyle w:val="BodyText"/>
      </w:pPr>
      <w:r>
        <w:rPr>
          <w:b/>
          <w:bCs/>
        </w:rPr>
        <w:t xml:space="preserve">Speaker notes:</w:t>
      </w:r>
      <w:r>
        <w:t xml:space="preserve"> </w:t>
      </w:r>
      <w:r>
        <w:t xml:space="preserve">Preprocessing config is frozen in preprocessing_config.json. PGM and Arias entries are counts-based proxies, not physical intensity. Feature matrix shape is 8×18 plus metadata columns in CSV.</w:t>
      </w:r>
    </w:p>
    <w:p>
      <w:r>
        <w:pict>
          <v:rect style="width:0;height:1.5pt" o:hralign="center" o:hrstd="t" o:hr="t"/>
        </w:pict>
      </w:r>
    </w:p>
    <w:bookmarkEnd w:id="20"/>
    <w:bookmarkStart w:id="21" w:name="slide-13-results-eda-example-waveform"/>
    <w:p>
      <w:pPr>
        <w:pStyle w:val="Heading2"/>
      </w:pPr>
      <w:r>
        <w:t xml:space="preserve">Slide 13 — Results: EDA (example waveform)</w:t>
      </w:r>
    </w:p>
    <w:p>
      <w:pPr>
        <w:pStyle w:val="FirstParagraph"/>
      </w:pPr>
      <w:r>
        <w:rPr>
          <w:b/>
          <w:bCs/>
        </w:rPr>
        <w:t xml:space="preserve">Title:</w:t>
      </w:r>
      <w:r>
        <w:t xml:space="preserve"> </w:t>
      </w:r>
      <w:r>
        <w:t xml:space="preserve">Results — exploratory data analysis (1/2)</w:t>
      </w:r>
    </w:p>
    <w:p>
      <w:pPr>
        <w:pStyle w:val="BodyText"/>
      </w:pPr>
      <w:r>
        <w:rPr>
          <w:b/>
          <w:bCs/>
        </w:rPr>
        <w:t xml:space="preserve">Bullets:</w:t>
      </w:r>
      <w:r>
        <w:t xml:space="preserve"> </w:t>
      </w:r>
      <w:r>
        <w:t xml:space="preserve">- Narrow</w:t>
      </w:r>
      <w:r>
        <w:t xml:space="preserve"> </w:t>
      </w:r>
      <w:r>
        <w:rPr>
          <w:b/>
          <w:bCs/>
        </w:rPr>
        <w:t xml:space="preserve">M 4–5</w:t>
      </w:r>
      <w:r>
        <w:t xml:space="preserve"> </w:t>
      </w:r>
      <w:r>
        <w:t xml:space="preserve">band; not regional completeness</w:t>
      </w:r>
      <w:r>
        <w:t xml:space="preserve"> </w:t>
      </w:r>
      <w:r>
        <w:t xml:space="preserve">- Example: largest pilot M</w:t>
      </w:r>
      <w:r>
        <w:t xml:space="preserve"> </w:t>
      </w:r>
      <w:r>
        <w:rPr>
          <w:b/>
          <w:bCs/>
        </w:rPr>
        <w:t xml:space="preserve">4.87</w:t>
      </w:r>
      <w:r>
        <w:t xml:space="preserve"> </w:t>
      </w:r>
      <w:r>
        <w:t xml:space="preserve">at</w:t>
      </w:r>
      <w:r>
        <w:t xml:space="preserve"> </w:t>
      </w:r>
      <w:r>
        <w:rPr>
          <w:b/>
          <w:bCs/>
        </w:rPr>
        <w:t xml:space="preserve">CI.ADO</w:t>
      </w:r>
      <w:r>
        <w:t xml:space="preserve"> </w:t>
      </w:r>
      <w:r>
        <w:t xml:space="preserve">- Raw amplitudes in</w:t>
      </w:r>
      <w:r>
        <w:t xml:space="preserve"> </w:t>
      </w:r>
      <w:r>
        <w:rPr>
          <w:b/>
          <w:bCs/>
        </w:rPr>
        <w:t xml:space="preserve">digital counts</w:t>
      </w:r>
      <w:r>
        <w:t xml:space="preserve">; 300 s window</w:t>
      </w:r>
      <w:r>
        <w:t xml:space="preserve"> </w:t>
      </w:r>
      <w:r>
        <w:t xml:space="preserve">- Strong motion visible without correction; baseline/coda in long window</w:t>
      </w:r>
      <w:r>
        <w:t xml:space="preserve"> </w:t>
      </w:r>
      <w:r>
        <w:t xml:space="preserve">- Histogram reflects query cutoffs</w:t>
      </w:r>
    </w:p>
    <w:p>
      <w:pPr>
        <w:pStyle w:val="BodyText"/>
      </w:pPr>
      <w:r>
        <w:rPr>
          <w:b/>
          <w:bCs/>
        </w:rPr>
        <w:t xml:space="preserve">Figure:</w:t>
      </w:r>
      <w:r>
        <w:t xml:space="preserve"> </w:t>
      </w:r>
      <w:r>
        <w:rPr>
          <w:rStyle w:val="VerbatimChar"/>
          <w:b/>
          <w:bCs/>
        </w:rPr>
        <w:t xml:space="preserve">figures/example_waveform_raw.png</w:t>
      </w:r>
      <w:r>
        <w:t xml:space="preserve"> </w:t>
      </w:r>
      <w:r>
        <w:t xml:space="preserve">(Report Figure 1)</w:t>
      </w:r>
    </w:p>
    <w:p>
      <w:pPr>
        <w:pStyle w:val="BodyText"/>
      </w:pPr>
      <w:r>
        <w:rPr>
          <w:b/>
          <w:bCs/>
        </w:rPr>
        <w:t xml:space="preserve">Speaker notes:</w:t>
      </w:r>
      <w:r>
        <w:t xml:space="preserve"> </w:t>
      </w:r>
      <w:r>
        <w:t xml:space="preserve">Figure 1 is the highest-magnitude manifest event. The report stresses that this is a teaching and QC view, not response-corrected ground motion. Use this slide to connect raw data to later preprocessing panels.</w:t>
      </w:r>
    </w:p>
    <w:p>
      <w:r>
        <w:pict>
          <v:rect style="width:0;height:1.5pt" o:hralign="center" o:hrstd="t" o:hr="t"/>
        </w:pict>
      </w:r>
    </w:p>
    <w:bookmarkEnd w:id="21"/>
    <w:bookmarkStart w:id="22" w:name="slide-14-results-eda-catalog-views"/>
    <w:p>
      <w:pPr>
        <w:pStyle w:val="Heading2"/>
      </w:pPr>
      <w:r>
        <w:t xml:space="preserve">Slide 14 — Results: EDA (catalog views)</w:t>
      </w:r>
    </w:p>
    <w:p>
      <w:pPr>
        <w:pStyle w:val="FirstParagraph"/>
      </w:pPr>
      <w:r>
        <w:rPr>
          <w:b/>
          <w:bCs/>
        </w:rPr>
        <w:t xml:space="preserve">Title:</w:t>
      </w:r>
      <w:r>
        <w:t xml:space="preserve"> </w:t>
      </w:r>
      <w:r>
        <w:t xml:space="preserve">Results — exploratory data analysis (2/2)</w:t>
      </w:r>
    </w:p>
    <w:p>
      <w:pPr>
        <w:pStyle w:val="BodyText"/>
      </w:pPr>
      <w:r>
        <w:rPr>
          <w:b/>
          <w:bCs/>
        </w:rPr>
        <w:t xml:space="preserve">Bullets:</w:t>
      </w:r>
      <w:r>
        <w:t xml:space="preserve"> </w:t>
      </w:r>
      <w:r>
        <w:t xml:space="preserve">- Temporal clustering May, Jul–Aug, Oct 2024</w:t>
      </w:r>
      <w:r>
        <w:t xml:space="preserve"> </w:t>
      </w:r>
      <w:r>
        <w:t xml:space="preserve">- Gaps reflect download success, not uniform sampling</w:t>
      </w:r>
      <w:r>
        <w:t xml:space="preserve"> </w:t>
      </w:r>
      <w:r>
        <w:t xml:space="preserve">-</w:t>
      </w:r>
      <w:r>
        <w:t xml:space="preserve"> </w:t>
      </w:r>
      <w:r>
        <w:rPr>
          <w:b/>
          <w:bCs/>
        </w:rPr>
        <w:t xml:space="preserve">ADO</w:t>
      </w:r>
      <w:r>
        <w:t xml:space="preserve"> </w:t>
      </w:r>
      <w:r>
        <w:t xml:space="preserve">supplies</w:t>
      </w:r>
      <w:r>
        <w:t xml:space="preserve"> </w:t>
      </w:r>
      <w:r>
        <w:rPr>
          <w:b/>
          <w:bCs/>
        </w:rPr>
        <w:t xml:space="preserve">6/8</w:t>
      </w:r>
      <w:r>
        <w:t xml:space="preserve"> </w:t>
      </w:r>
      <w:r>
        <w:t xml:space="preserve">traces — structural acquisition bias</w:t>
      </w:r>
      <w:r>
        <w:t xml:space="preserve"> </w:t>
      </w:r>
      <w:r>
        <w:t xml:space="preserve">-</w:t>
      </w:r>
      <w:r>
        <w:t xml:space="preserve"> </w:t>
      </w:r>
      <w:r>
        <w:rPr>
          <w:b/>
          <w:bCs/>
        </w:rPr>
        <w:t xml:space="preserve">USC:</w:t>
      </w:r>
      <w:r>
        <w:t xml:space="preserve"> </w:t>
      </w:r>
      <w:r>
        <w:t xml:space="preserve">2 events (Southern California examples)</w:t>
      </w:r>
      <w:r>
        <w:t xml:space="preserve"> </w:t>
      </w:r>
      <w:r>
        <w:t xml:space="preserve">- EDA uses manifest-linked files only</w:t>
      </w:r>
    </w:p>
    <w:p>
      <w:pPr>
        <w:pStyle w:val="BodyText"/>
      </w:pPr>
      <w:r>
        <w:rPr>
          <w:b/>
          <w:bCs/>
        </w:rPr>
        <w:t xml:space="preserve">Figure:</w:t>
      </w:r>
      <w:r>
        <w:t xml:space="preserve"> </w:t>
      </w:r>
      <w:r>
        <w:rPr>
          <w:rStyle w:val="VerbatimChar"/>
          <w:b/>
          <w:bCs/>
        </w:rPr>
        <w:t xml:space="preserve">figures/magnitude_histogram.png</w:t>
      </w:r>
      <w:r>
        <w:t xml:space="preserve"> </w:t>
      </w:r>
      <w:r>
        <w:t xml:space="preserve">(Fig. 2),</w:t>
      </w:r>
      <w:r>
        <w:t xml:space="preserve"> </w:t>
      </w:r>
      <w:r>
        <w:rPr>
          <w:rStyle w:val="VerbatimChar"/>
          <w:b/>
          <w:bCs/>
        </w:rPr>
        <w:t xml:space="preserve">figures/events_over_time.png</w:t>
      </w:r>
      <w:r>
        <w:t xml:space="preserve"> </w:t>
      </w:r>
      <w:r>
        <w:t xml:space="preserve">(Fig. 3),</w:t>
      </w:r>
      <w:r>
        <w:t xml:space="preserve"> </w:t>
      </w:r>
      <w:r>
        <w:rPr>
          <w:rStyle w:val="VerbatimChar"/>
          <w:b/>
          <w:bCs/>
        </w:rPr>
        <w:t xml:space="preserve">figures/station_usage_frequency.png</w:t>
      </w:r>
      <w:r>
        <w:t xml:space="preserve"> </w:t>
      </w:r>
      <w:r>
        <w:t xml:space="preserve">(Fig. 4) — layout: 2+1 or three-panel</w:t>
      </w:r>
    </w:p>
    <w:p>
      <w:pPr>
        <w:pStyle w:val="BodyText"/>
      </w:pPr>
      <w:r>
        <w:rPr>
          <w:b/>
          <w:bCs/>
        </w:rPr>
        <w:t xml:space="preserve">Speaker notes:</w:t>
      </w:r>
      <w:r>
        <w:t xml:space="preserve"> </w:t>
      </w:r>
      <w:r>
        <w:t xml:space="preserve">Figures 2–4 support dataset characterisation objectives O2. Station usage directly foreshadows unbalanced feature boxplots later. Emphasise that eight events are illustrative, not statistically representative of California seismicity.</w:t>
      </w:r>
    </w:p>
    <w:p>
      <w:r>
        <w:pict>
          <v:rect style="width:0;height:1.5pt" o:hralign="center" o:hrstd="t" o:hr="t"/>
        </w:pict>
      </w:r>
    </w:p>
    <w:bookmarkEnd w:id="22"/>
    <w:bookmarkStart w:id="23" w:name="X125cc3dfe6ebe141888c4e11edc9d089049f00a"/>
    <w:p>
      <w:pPr>
        <w:pStyle w:val="Heading2"/>
      </w:pPr>
      <w:r>
        <w:t xml:space="preserve">Slide 15 — Results: signal analysis (high-SNR case)</w:t>
      </w:r>
    </w:p>
    <w:p>
      <w:pPr>
        <w:pStyle w:val="FirstParagraph"/>
      </w:pPr>
      <w:r>
        <w:rPr>
          <w:b/>
          <w:bCs/>
        </w:rPr>
        <w:t xml:space="preserve">Title:</w:t>
      </w:r>
      <w:r>
        <w:t xml:space="preserve"> </w:t>
      </w:r>
      <w:r>
        <w:t xml:space="preserve">Results — signal analysis: aggregates and ci40675215</w:t>
      </w:r>
    </w:p>
    <w:p>
      <w:pPr>
        <w:pStyle w:val="BodyText"/>
      </w:pPr>
      <w:r>
        <w:rPr>
          <w:b/>
          <w:bCs/>
        </w:rPr>
        <w:t xml:space="preserve">Bullets:</w:t>
      </w:r>
      <w:r>
        <w:t xml:space="preserve"> </w:t>
      </w:r>
      <w:r>
        <w:t xml:space="preserve">- Peak raw counts ≈</w:t>
      </w:r>
      <w:r>
        <w:t xml:space="preserve"> </w:t>
      </w:r>
      <w:r>
        <w:rPr>
          <w:b/>
          <w:bCs/>
        </w:rPr>
        <w:t xml:space="preserve">1.7×10⁴–3.5×10⁶</w:t>
      </w:r>
      <w:r>
        <w:t xml:space="preserve"> </w:t>
      </w:r>
      <w:r>
        <w:t xml:space="preserve">- P pick:</w:t>
      </w:r>
      <w:r>
        <w:t xml:space="preserve"> </w:t>
      </w:r>
      <w:r>
        <w:rPr>
          <w:b/>
          <w:bCs/>
        </w:rPr>
        <w:t xml:space="preserve">10.15–55.15 s</w:t>
      </w:r>
      <w:r>
        <w:t xml:space="preserve"> </w:t>
      </w:r>
      <w:r>
        <w:t xml:space="preserve">(mean</w:t>
      </w:r>
      <w:r>
        <w:t xml:space="preserve"> </w:t>
      </w:r>
      <w:r>
        <w:rPr>
          <w:b/>
          <w:bCs/>
        </w:rPr>
        <w:t xml:space="preserve">31.3 s</w:t>
      </w:r>
      <w:r>
        <w:t xml:space="preserve">)</w:t>
      </w:r>
      <w:r>
        <w:t xml:space="preserve"> </w:t>
      </w:r>
      <w:r>
        <w:t xml:space="preserve">- SNR (peak):</w:t>
      </w:r>
      <w:r>
        <w:t xml:space="preserve"> </w:t>
      </w:r>
      <w:r>
        <w:rPr>
          <w:b/>
          <w:bCs/>
        </w:rPr>
        <w:t xml:space="preserve">6.3–778</w:t>
      </w:r>
      <w:r>
        <w:t xml:space="preserve"> </w:t>
      </w:r>
      <w:r>
        <w:t xml:space="preserve">(median</w:t>
      </w:r>
      <w:r>
        <w:t xml:space="preserve"> </w:t>
      </w:r>
      <w:r>
        <w:rPr>
          <w:b/>
          <w:bCs/>
        </w:rPr>
        <w:t xml:space="preserve">49.9</w:t>
      </w:r>
      <w:r>
        <w:t xml:space="preserve">)</w:t>
      </w:r>
      <w:r>
        <w:t xml:space="preserve"> </w:t>
      </w:r>
      <w:r>
        <w:t xml:space="preserve">-</w:t>
      </w:r>
      <w:r>
        <w:t xml:space="preserve"> </w:t>
      </w:r>
      <w:r>
        <w:rPr>
          <w:b/>
          <w:bCs/>
        </w:rPr>
        <w:t xml:space="preserve">ci40675215:</w:t>
      </w:r>
      <w:r>
        <w:t xml:space="preserve"> </w:t>
      </w:r>
      <w:r>
        <w:t xml:space="preserve">M</w:t>
      </w:r>
      <w:r>
        <w:t xml:space="preserve"> </w:t>
      </w:r>
      <w:r>
        <w:rPr>
          <w:b/>
          <w:bCs/>
        </w:rPr>
        <w:t xml:space="preserve">4.87</w:t>
      </w:r>
      <w:r>
        <w:t xml:space="preserve">; early pick ~</w:t>
      </w:r>
      <w:r>
        <w:rPr>
          <w:b/>
          <w:bCs/>
        </w:rPr>
        <w:t xml:space="preserve">10.2 s</w:t>
      </w:r>
      <w:r>
        <w:t xml:space="preserve">; high SNR</w:t>
      </w:r>
      <w:r>
        <w:t xml:space="preserve"> </w:t>
      </w:r>
      <w:r>
        <w:t xml:space="preserve">- Four-panel figure: raw, normalised, STA/LTA, P marker</w:t>
      </w:r>
    </w:p>
    <w:p>
      <w:pPr>
        <w:pStyle w:val="BodyText"/>
      </w:pPr>
      <w:r>
        <w:rPr>
          <w:b/>
          <w:bCs/>
        </w:rPr>
        <w:t xml:space="preserve">Figure:</w:t>
      </w:r>
      <w:r>
        <w:t xml:space="preserve"> </w:t>
      </w:r>
      <w:r>
        <w:rPr>
          <w:rStyle w:val="VerbatimChar"/>
          <w:b/>
          <w:bCs/>
        </w:rPr>
        <w:t xml:space="preserve">figures/signal_analysis_ci40675215.png</w:t>
      </w:r>
      <w:r>
        <w:t xml:space="preserve"> </w:t>
      </w:r>
      <w:r>
        <w:t xml:space="preserve">(Report Figure 5)</w:t>
      </w:r>
    </w:p>
    <w:p>
      <w:pPr>
        <w:pStyle w:val="BodyText"/>
      </w:pPr>
      <w:r>
        <w:rPr>
          <w:b/>
          <w:bCs/>
        </w:rPr>
        <w:t xml:space="preserve">Speaker notes:</w:t>
      </w:r>
      <w:r>
        <w:t xml:space="preserve"> </w:t>
      </w:r>
      <w:r>
        <w:t xml:space="preserve">Table 5 in the report lists aggregate metrics shown in bullets. Figure 5 is the positive example where STA/LTA crosses threshold early. Relate pick time to warning-time budget concepts from EEW literature.</w:t>
      </w:r>
    </w:p>
    <w:p>
      <w:r>
        <w:pict>
          <v:rect style="width:0;height:1.5pt" o:hralign="center" o:hrstd="t" o:hr="t"/>
        </w:pict>
      </w:r>
    </w:p>
    <w:bookmarkEnd w:id="23"/>
    <w:bookmarkStart w:id="24" w:name="Xa2330ae93e8ea75701d03eb5eff4e514392226e"/>
    <w:p>
      <w:pPr>
        <w:pStyle w:val="Heading2"/>
      </w:pPr>
      <w:r>
        <w:t xml:space="preserve">Slide 16 — Results: signal analysis (low-SNR / USC)</w:t>
      </w:r>
    </w:p>
    <w:p>
      <w:pPr>
        <w:pStyle w:val="FirstParagraph"/>
      </w:pPr>
      <w:r>
        <w:rPr>
          <w:b/>
          <w:bCs/>
        </w:rPr>
        <w:t xml:space="preserve">Title:</w:t>
      </w:r>
      <w:r>
        <w:t xml:space="preserve"> </w:t>
      </w:r>
      <w:r>
        <w:t xml:space="preserve">Results — signal analysis: station contrast &amp; ci40699207</w:t>
      </w:r>
    </w:p>
    <w:p>
      <w:pPr>
        <w:pStyle w:val="BodyText"/>
      </w:pPr>
      <w:r>
        <w:rPr>
          <w:b/>
          <w:bCs/>
        </w:rPr>
        <w:t xml:space="preserve">Bullets:</w:t>
      </w:r>
      <w:r>
        <w:t xml:space="preserve"> </w:t>
      </w:r>
      <w:r>
        <w:t xml:space="preserve">-</w:t>
      </w:r>
      <w:r>
        <w:t xml:space="preserve"> </w:t>
      </w:r>
      <w:r>
        <w:rPr>
          <w:b/>
          <w:bCs/>
        </w:rPr>
        <w:t xml:space="preserve">CI.ADO (n=6):</w:t>
      </w:r>
      <w:r>
        <w:t xml:space="preserve"> </w:t>
      </w:r>
      <w:r>
        <w:t xml:space="preserve">mean SNR</w:t>
      </w:r>
      <w:r>
        <w:t xml:space="preserve"> </w:t>
      </w:r>
      <w:r>
        <w:rPr>
          <w:b/>
          <w:bCs/>
        </w:rPr>
        <w:t xml:space="preserve">169</w:t>
      </w:r>
      <w:r>
        <w:t xml:space="preserve">; mean peak</w:t>
      </w:r>
      <w:r>
        <w:t xml:space="preserve"> </w:t>
      </w:r>
      <w:r>
        <w:rPr>
          <w:b/>
          <w:bCs/>
        </w:rPr>
        <w:t xml:space="preserve">2.98×10⁵</w:t>
      </w:r>
      <w:r>
        <w:t xml:space="preserve"> </w:t>
      </w:r>
      <w:r>
        <w:t xml:space="preserve">counts</w:t>
      </w:r>
      <w:r>
        <w:t xml:space="preserve"> </w:t>
      </w:r>
      <w:r>
        <w:t xml:space="preserve">-</w:t>
      </w:r>
      <w:r>
        <w:t xml:space="preserve"> </w:t>
      </w:r>
      <w:r>
        <w:rPr>
          <w:b/>
          <w:bCs/>
        </w:rPr>
        <w:t xml:space="preserve">CI.USC (n=2):</w:t>
      </w:r>
      <w:r>
        <w:t xml:space="preserve"> </w:t>
      </w:r>
      <w:r>
        <w:t xml:space="preserve">mean SNR</w:t>
      </w:r>
      <w:r>
        <w:t xml:space="preserve"> </w:t>
      </w:r>
      <w:r>
        <w:rPr>
          <w:b/>
          <w:bCs/>
        </w:rPr>
        <w:t xml:space="preserve">42</w:t>
      </w:r>
      <w:r>
        <w:t xml:space="preserve">; mean peak</w:t>
      </w:r>
      <w:r>
        <w:t xml:space="preserve"> </w:t>
      </w:r>
      <w:r>
        <w:rPr>
          <w:b/>
          <w:bCs/>
        </w:rPr>
        <w:t xml:space="preserve">1.83×10⁶</w:t>
      </w:r>
      <w:r>
        <w:t xml:space="preserve"> </w:t>
      </w:r>
      <w:r>
        <w:t xml:space="preserve">counts</w:t>
      </w:r>
      <w:r>
        <w:t xml:space="preserve"> </w:t>
      </w:r>
      <w:r>
        <w:t xml:space="preserve">-</w:t>
      </w:r>
      <w:r>
        <w:t xml:space="preserve"> </w:t>
      </w:r>
      <w:r>
        <w:rPr>
          <w:b/>
          <w:bCs/>
        </w:rPr>
        <w:t xml:space="preserve">ci40699207:</w:t>
      </w:r>
      <w:r>
        <w:t xml:space="preserve"> </w:t>
      </w:r>
      <w:r>
        <w:t xml:space="preserve">SNR</w:t>
      </w:r>
      <w:r>
        <w:t xml:space="preserve"> </w:t>
      </w:r>
      <w:r>
        <w:rPr>
          <w:b/>
          <w:bCs/>
        </w:rPr>
        <w:t xml:space="preserve">~6</w:t>
      </w:r>
      <w:r>
        <w:t xml:space="preserve">; signal duration</w:t>
      </w:r>
      <w:r>
        <w:t xml:space="preserve"> </w:t>
      </w:r>
      <w:r>
        <w:rPr>
          <w:b/>
          <w:bCs/>
        </w:rPr>
        <w:t xml:space="preserve">0 s</w:t>
      </w:r>
      <w:r>
        <w:t xml:space="preserve"> </w:t>
      </w:r>
      <w:r>
        <w:t xml:space="preserve">- Origin-aligned “noise” window may include early energy</w:t>
      </w:r>
      <w:r>
        <w:t xml:space="preserve"> </w:t>
      </w:r>
      <w:r>
        <w:t xml:space="preserve">- SNR is QC indicator, not detection probability</w:t>
      </w:r>
    </w:p>
    <w:p>
      <w:pPr>
        <w:pStyle w:val="BodyText"/>
      </w:pPr>
      <w:r>
        <w:rPr>
          <w:b/>
          <w:bCs/>
        </w:rPr>
        <w:t xml:space="preserve">Figure:</w:t>
      </w:r>
      <w:r>
        <w:t xml:space="preserve"> </w:t>
      </w:r>
      <w:r>
        <w:rPr>
          <w:rStyle w:val="VerbatimChar"/>
          <w:b/>
          <w:bCs/>
        </w:rPr>
        <w:t xml:space="preserve">figures/signal_analysis_ci40699207.png</w:t>
      </w:r>
      <w:r>
        <w:t xml:space="preserve"> </w:t>
      </w:r>
      <w:r>
        <w:t xml:space="preserve">(Report Figure 6)</w:t>
      </w:r>
    </w:p>
    <w:p>
      <w:pPr>
        <w:pStyle w:val="BodyText"/>
      </w:pPr>
      <w:r>
        <w:rPr>
          <w:b/>
          <w:bCs/>
        </w:rPr>
        <w:t xml:space="preserve">Speaker notes:</w:t>
      </w:r>
      <w:r>
        <w:t xml:space="preserve"> </w:t>
      </w:r>
      <w:r>
        <w:t xml:space="preserve">Table 6 documents station contrasts. USC higher peaks but lower SNR illustrate noise-window contamination, not necessarily poor seismological quality. This supports limitations on STA/LTA tuning without pre-event data.</w:t>
      </w:r>
    </w:p>
    <w:p>
      <w:r>
        <w:pict>
          <v:rect style="width:0;height:1.5pt" o:hralign="center" o:hrstd="t" o:hr="t"/>
        </w:pict>
      </w:r>
    </w:p>
    <w:bookmarkEnd w:id="24"/>
    <w:bookmarkStart w:id="25" w:name="slide-17-results-preprocessing"/>
    <w:p>
      <w:pPr>
        <w:pStyle w:val="Heading2"/>
      </w:pPr>
      <w:r>
        <w:t xml:space="preserve">Slide 17 — Results: preprocessing</w:t>
      </w:r>
    </w:p>
    <w:p>
      <w:pPr>
        <w:pStyle w:val="FirstParagraph"/>
      </w:pPr>
      <w:r>
        <w:rPr>
          <w:b/>
          <w:bCs/>
        </w:rPr>
        <w:t xml:space="preserve">Title:</w:t>
      </w:r>
      <w:r>
        <w:t xml:space="preserve"> </w:t>
      </w:r>
      <w:r>
        <w:t xml:space="preserve">Results — preprocessing effects</w:t>
      </w:r>
    </w:p>
    <w:p>
      <w:pPr>
        <w:pStyle w:val="BodyText"/>
      </w:pPr>
      <w:r>
        <w:rPr>
          <w:b/>
          <w:bCs/>
        </w:rPr>
        <w:t xml:space="preserve">Bullets:</w:t>
      </w:r>
      <w:r>
        <w:t xml:space="preserve"> </w:t>
      </w:r>
      <w:r>
        <w:t xml:space="preserve">- Mean peak-SNR:</w:t>
      </w:r>
      <w:r>
        <w:t xml:space="preserve"> </w:t>
      </w:r>
      <w:r>
        <w:rPr>
          <w:b/>
          <w:bCs/>
        </w:rPr>
        <w:t xml:space="preserve">137</w:t>
      </w:r>
      <w:r>
        <w:t xml:space="preserve"> </w:t>
      </w:r>
      <w:r>
        <w:t xml:space="preserve">(raw) →</w:t>
      </w:r>
      <w:r>
        <w:t xml:space="preserve"> </w:t>
      </w:r>
      <w:r>
        <w:rPr>
          <w:b/>
          <w:bCs/>
        </w:rPr>
        <w:t xml:space="preserve">1684</w:t>
      </w:r>
      <w:r>
        <w:t xml:space="preserve"> </w:t>
      </w:r>
      <w:r>
        <w:t xml:space="preserve">(filtered)</w:t>
      </w:r>
      <w:r>
        <w:t xml:space="preserve"> </w:t>
      </w:r>
      <w:r>
        <w:t xml:space="preserve">- Filtered/raw ratio</w:t>
      </w:r>
      <w:r>
        <w:t xml:space="preserve"> </w:t>
      </w:r>
      <w:r>
        <w:rPr>
          <w:b/>
          <w:bCs/>
        </w:rPr>
        <w:t xml:space="preserve">2.5–27.6</w:t>
      </w:r>
      <w:r>
        <w:t xml:space="preserve"> </w:t>
      </w:r>
      <w:r>
        <w:t xml:space="preserve">(mean</w:t>
      </w:r>
      <w:r>
        <w:t xml:space="preserve"> </w:t>
      </w:r>
      <w:r>
        <w:rPr>
          <w:b/>
          <w:bCs/>
        </w:rPr>
        <w:t xml:space="preserve">17.1</w:t>
      </w:r>
      <w:r>
        <w:t xml:space="preserve">)</w:t>
      </w:r>
      <w:r>
        <w:t xml:space="preserve"> </w:t>
      </w:r>
      <w:r>
        <w:t xml:space="preserve">- Four stages: raw → detrended → filtered → normalised</w:t>
      </w:r>
      <w:r>
        <w:t xml:space="preserve"> </w:t>
      </w:r>
      <w:r>
        <w:t xml:space="preserve">- Visual stabilisation for ML comparison</w:t>
      </w:r>
      <w:r>
        <w:t xml:space="preserve"> </w:t>
      </w:r>
      <w:r>
        <w:t xml:space="preserve">-</w:t>
      </w:r>
      <w:r>
        <w:t xml:space="preserve"> </w:t>
      </w:r>
      <w:r>
        <w:rPr>
          <w:b/>
          <w:bCs/>
        </w:rPr>
        <w:t xml:space="preserve">Without response removal:</w:t>
      </w:r>
      <w:r>
        <w:t xml:space="preserve"> </w:t>
      </w:r>
      <w:r>
        <w:t xml:space="preserve">filtered</w:t>
      </w:r>
      <w:r>
        <w:t xml:space="preserve"> </w:t>
      </w:r>
      <w:r>
        <w:rPr>
          <w:b/>
          <w:bCs/>
        </w:rPr>
        <w:t xml:space="preserve">counts</w:t>
      </w:r>
      <w:r>
        <w:t xml:space="preserve"> </w:t>
      </w:r>
      <w:r>
        <w:t xml:space="preserve">≠ physical motion</w:t>
      </w:r>
    </w:p>
    <w:p>
      <w:pPr>
        <w:pStyle w:val="BodyText"/>
      </w:pPr>
      <w:r>
        <w:rPr>
          <w:b/>
          <w:bCs/>
        </w:rPr>
        <w:t xml:space="preserve">Figure:</w:t>
      </w:r>
      <w:r>
        <w:t xml:space="preserve"> </w:t>
      </w:r>
      <w:r>
        <w:rPr>
          <w:rStyle w:val="VerbatimChar"/>
          <w:b/>
          <w:bCs/>
        </w:rPr>
        <w:t xml:space="preserve">figures/preprocessing_ci40675215.png</w:t>
      </w:r>
      <w:r>
        <w:t xml:space="preserve"> </w:t>
      </w:r>
      <w:r>
        <w:t xml:space="preserve">(Fig. 7),</w:t>
      </w:r>
      <w:r>
        <w:t xml:space="preserve"> </w:t>
      </w:r>
      <w:r>
        <w:rPr>
          <w:rStyle w:val="VerbatimChar"/>
          <w:b/>
          <w:bCs/>
        </w:rPr>
        <w:t xml:space="preserve">figures/preprocessing_ci40699207.png</w:t>
      </w:r>
      <w:r>
        <w:t xml:space="preserve"> </w:t>
      </w:r>
      <w:r>
        <w:t xml:space="preserve">(Fig. 8) — side-by-side or sequential</w:t>
      </w:r>
    </w:p>
    <w:p>
      <w:pPr>
        <w:pStyle w:val="BodyText"/>
      </w:pPr>
      <w:r>
        <w:rPr>
          <w:b/>
          <w:bCs/>
        </w:rPr>
        <w:t xml:space="preserve">Speaker notes:</w:t>
      </w:r>
      <w:r>
        <w:t xml:space="preserve"> </w:t>
      </w:r>
      <w:r>
        <w:t xml:space="preserve">Table 7 summarises SNR aggregates. Interpret SNR rise as processing sensitivity given fixed 0–5 s noise window, not guaranteed operational gain. Figures 7–8 mirror the signal examples from slides 15–16.</w:t>
      </w:r>
    </w:p>
    <w:p>
      <w:r>
        <w:pict>
          <v:rect style="width:0;height:1.5pt" o:hralign="center" o:hrstd="t" o:hr="t"/>
        </w:pict>
      </w:r>
    </w:p>
    <w:bookmarkEnd w:id="25"/>
    <w:bookmarkStart w:id="26" w:name="X05cf9b6681386d53645c1e0fef0c337b12d86de"/>
    <w:p>
      <w:pPr>
        <w:pStyle w:val="Heading2"/>
      </w:pPr>
      <w:r>
        <w:t xml:space="preserve">Slide 18 — Results: feature engineering (spectra &amp; correlations)</w:t>
      </w:r>
    </w:p>
    <w:p>
      <w:pPr>
        <w:pStyle w:val="FirstParagraph"/>
      </w:pPr>
      <w:r>
        <w:rPr>
          <w:b/>
          <w:bCs/>
        </w:rPr>
        <w:t xml:space="preserve">Title:</w:t>
      </w:r>
      <w:r>
        <w:t xml:space="preserve"> </w:t>
      </w:r>
      <w:r>
        <w:t xml:space="preserve">Results — feature matrix, spectra, correlations</w:t>
      </w:r>
    </w:p>
    <w:p>
      <w:pPr>
        <w:pStyle w:val="BodyText"/>
      </w:pPr>
      <w:r>
        <w:rPr>
          <w:b/>
          <w:bCs/>
        </w:rPr>
        <w:t xml:space="preserve">Bullets:</w:t>
      </w:r>
      <w:r>
        <w:t xml:space="preserve"> </w:t>
      </w:r>
      <w:r>
        <w:t xml:space="preserve">-</w:t>
      </w:r>
      <w:r>
        <w:t xml:space="preserve"> </w:t>
      </w:r>
      <w:r>
        <w:rPr>
          <w:b/>
          <w:bCs/>
        </w:rPr>
        <w:t xml:space="preserve">8×18</w:t>
      </w:r>
      <w:r>
        <w:t xml:space="preserve"> </w:t>
      </w:r>
      <w:r>
        <w:t xml:space="preserve">matrix:</w:t>
      </w:r>
      <w:r>
        <w:t xml:space="preserve"> </w:t>
      </w:r>
      <w:r>
        <w:rPr>
          <w:rStyle w:val="VerbatimChar"/>
        </w:rPr>
        <w:t xml:space="preserve">reports/features/feature_matrix.csv</w:t>
      </w:r>
      <w:r>
        <w:t xml:space="preserve"> </w:t>
      </w:r>
      <w:r>
        <w:t xml:space="preserve">- Crest factor mean ≈</w:t>
      </w:r>
      <w:r>
        <w:t xml:space="preserve"> </w:t>
      </w:r>
      <w:r>
        <w:rPr>
          <w:b/>
          <w:bCs/>
        </w:rPr>
        <w:t xml:space="preserve">11.4</w:t>
      </w:r>
      <w:r>
        <w:t xml:space="preserve"> </w:t>
      </w:r>
      <w:r>
        <w:t xml:space="preserve">- Dominant frequency / centroid ≈</w:t>
      </w:r>
      <w:r>
        <w:t xml:space="preserve"> </w:t>
      </w:r>
      <w:r>
        <w:rPr>
          <w:b/>
          <w:bCs/>
        </w:rPr>
        <w:t xml:space="preserve">2.3–2.6 Hz</w:t>
      </w:r>
      <w:r>
        <w:t xml:space="preserve"> </w:t>
      </w:r>
      <w:r>
        <w:t xml:space="preserve">(band-pass</w:t>
      </w:r>
      <w:r>
        <w:t xml:space="preserve"> </w:t>
      </w:r>
      <w:r>
        <w:rPr>
          <w:b/>
          <w:bCs/>
        </w:rPr>
        <w:t xml:space="preserve">0.1–15 Hz</w:t>
      </w:r>
      <w:r>
        <w:t xml:space="preserve">)</w:t>
      </w:r>
      <w:r>
        <w:t xml:space="preserve"> </w:t>
      </w:r>
      <w:r>
        <w:t xml:space="preserve">- Strong collinearity among amplitude-derived features</w:t>
      </w:r>
      <w:r>
        <w:t xml:space="preserve"> </w:t>
      </w:r>
      <w:r>
        <w:t xml:space="preserve">- Shape features: crest factor, entropies, zero-crossing rate</w:t>
      </w:r>
      <w:r>
        <w:t xml:space="preserve"> </w:t>
      </w:r>
      <w:r>
        <w:t xml:space="preserve">-</w:t>
      </w:r>
      <w:r>
        <w:t xml:space="preserve"> </w:t>
      </w:r>
      <w:r>
        <w:rPr>
          <w:b/>
          <w:bCs/>
        </w:rPr>
        <w:t xml:space="preserve">N=8:</w:t>
      </w:r>
      <w:r>
        <w:t xml:space="preserve"> </w:t>
      </w:r>
      <w:r>
        <w:t xml:space="preserve">illustrative only; no ML training performed</w:t>
      </w:r>
    </w:p>
    <w:p>
      <w:pPr>
        <w:pStyle w:val="BodyText"/>
      </w:pPr>
      <w:r>
        <w:rPr>
          <w:b/>
          <w:bCs/>
        </w:rPr>
        <w:t xml:space="preserve">Figure:</w:t>
      </w:r>
      <w:r>
        <w:t xml:space="preserve"> </w:t>
      </w:r>
      <w:r>
        <w:rPr>
          <w:rStyle w:val="VerbatimChar"/>
          <w:b/>
          <w:bCs/>
        </w:rPr>
        <w:t xml:space="preserve">figures/feature_engineering_fft_spectra.png</w:t>
      </w:r>
      <w:r>
        <w:t xml:space="preserve"> </w:t>
      </w:r>
      <w:r>
        <w:t xml:space="preserve">(Fig. 9),</w:t>
      </w:r>
      <w:r>
        <w:t xml:space="preserve"> </w:t>
      </w:r>
      <w:r>
        <w:rPr>
          <w:rStyle w:val="VerbatimChar"/>
          <w:b/>
          <w:bCs/>
        </w:rPr>
        <w:t xml:space="preserve">figures/feature_correlation_heatmap.png</w:t>
      </w:r>
      <w:r>
        <w:t xml:space="preserve"> </w:t>
      </w:r>
      <w:r>
        <w:t xml:space="preserve">(Fig. 10)</w:t>
      </w:r>
    </w:p>
    <w:p>
      <w:pPr>
        <w:pStyle w:val="BodyText"/>
      </w:pPr>
      <w:r>
        <w:rPr>
          <w:b/>
          <w:bCs/>
        </w:rPr>
        <w:t xml:space="preserve">Speaker notes:</w:t>
      </w:r>
      <w:r>
        <w:t xml:space="preserve"> </w:t>
      </w:r>
      <w:r>
        <w:t xml:space="preserve">The report explicitly states no predictive performance metrics exist. Correlation heatmap motivates future feature selection. FFT figure shows band-limited power per event without generalisable statistics.</w:t>
      </w:r>
    </w:p>
    <w:p>
      <w:r>
        <w:pict>
          <v:rect style="width:0;height:1.5pt" o:hralign="center" o:hrstd="t" o:hr="t"/>
        </w:pict>
      </w:r>
    </w:p>
    <w:bookmarkEnd w:id="26"/>
    <w:bookmarkStart w:id="27" w:name="Xba90ad27d1a9016e02c1e2137f00decc21f03a2"/>
    <w:p>
      <w:pPr>
        <w:pStyle w:val="Heading2"/>
      </w:pPr>
      <w:r>
        <w:t xml:space="preserve">Slide 19 — Results: feature distributions and stations</w:t>
      </w:r>
    </w:p>
    <w:p>
      <w:pPr>
        <w:pStyle w:val="FirstParagraph"/>
      </w:pPr>
      <w:r>
        <w:rPr>
          <w:b/>
          <w:bCs/>
        </w:rPr>
        <w:t xml:space="preserve">Title:</w:t>
      </w:r>
      <w:r>
        <w:t xml:space="preserve"> </w:t>
      </w:r>
      <w:r>
        <w:t xml:space="preserve">Results — feature distributions &amp; ADO vs USC</w:t>
      </w:r>
    </w:p>
    <w:p>
      <w:pPr>
        <w:pStyle w:val="BodyText"/>
      </w:pPr>
      <w:r>
        <w:rPr>
          <w:b/>
          <w:bCs/>
        </w:rPr>
        <w:t xml:space="preserve">Bullets:</w:t>
      </w:r>
      <w:r>
        <w:t xml:space="preserve"> </w:t>
      </w:r>
      <w:r>
        <w:t xml:space="preserve">- Histograms: pilot dashboards, not density estimates</w:t>
      </w:r>
      <w:r>
        <w:t xml:space="preserve"> </w:t>
      </w:r>
      <w:r>
        <w:t xml:space="preserve">- Large spread on amplitude-derived features (gain/path)</w:t>
      </w:r>
      <w:r>
        <w:t xml:space="preserve"> </w:t>
      </w:r>
      <w:r>
        <w:t xml:space="preserve">- Boxplots: USC upper tails on peak/RMS/PGM proxies</w:t>
      </w:r>
      <w:r>
        <w:t xml:space="preserve"> </w:t>
      </w:r>
      <w:r>
        <w:t xml:space="preserve">- ADO (n=6) vs USC (n=2) — unbalanced</w:t>
      </w:r>
      <w:r>
        <w:t xml:space="preserve"> </w:t>
      </w:r>
      <w:r>
        <w:t xml:space="preserve">- PGM/Arias columns are counts proxies only</w:t>
      </w:r>
    </w:p>
    <w:p>
      <w:pPr>
        <w:pStyle w:val="BodyText"/>
      </w:pPr>
      <w:r>
        <w:rPr>
          <w:b/>
          <w:bCs/>
        </w:rPr>
        <w:t xml:space="preserve">Figure:</w:t>
      </w:r>
      <w:r>
        <w:t xml:space="preserve"> </w:t>
      </w:r>
      <w:r>
        <w:rPr>
          <w:rStyle w:val="VerbatimChar"/>
          <w:b/>
          <w:bCs/>
        </w:rPr>
        <w:t xml:space="preserve">figures/feature_distributions.png</w:t>
      </w:r>
      <w:r>
        <w:t xml:space="preserve"> </w:t>
      </w:r>
      <w:r>
        <w:t xml:space="preserve">(Fig. 11),</w:t>
      </w:r>
      <w:r>
        <w:t xml:space="preserve"> </w:t>
      </w:r>
      <w:r>
        <w:rPr>
          <w:rStyle w:val="VerbatimChar"/>
          <w:b/>
          <w:bCs/>
        </w:rPr>
        <w:t xml:space="preserve">figures/feature_boxplots_by_station.png</w:t>
      </w:r>
      <w:r>
        <w:t xml:space="preserve"> </w:t>
      </w:r>
      <w:r>
        <w:t xml:space="preserve">(Fig. 12)</w:t>
      </w:r>
    </w:p>
    <w:p>
      <w:pPr>
        <w:pStyle w:val="BodyText"/>
      </w:pPr>
      <w:r>
        <w:rPr>
          <w:b/>
          <w:bCs/>
        </w:rPr>
        <w:t xml:space="preserve">Speaker notes:</w:t>
      </w:r>
      <w:r>
        <w:t xml:space="preserve"> </w:t>
      </w:r>
      <w:r>
        <w:t xml:space="preserve">Figures 11–12 close the results section before discussion. Tie back to station usage Figure 4. Reinforce that feature extraction is complete but model training is proposed work O8.</w:t>
      </w:r>
    </w:p>
    <w:p>
      <w:r>
        <w:pict>
          <v:rect style="width:0;height:1.5pt" o:hralign="center" o:hrstd="t" o:hr="t"/>
        </w:pict>
      </w:r>
    </w:p>
    <w:bookmarkEnd w:id="27"/>
    <w:bookmarkStart w:id="28" w:name="slide-20-discussion"/>
    <w:p>
      <w:pPr>
        <w:pStyle w:val="Heading2"/>
      </w:pPr>
      <w:r>
        <w:t xml:space="preserve">Slide 20 — Discussion</w:t>
      </w:r>
    </w:p>
    <w:p>
      <w:pPr>
        <w:pStyle w:val="FirstParagraph"/>
      </w:pPr>
      <w:r>
        <w:rPr>
          <w:b/>
          <w:bCs/>
        </w:rPr>
        <w:t xml:space="preserve">Title:</w:t>
      </w:r>
      <w:r>
        <w:t xml:space="preserve"> </w:t>
      </w:r>
      <w:r>
        <w:t xml:space="preserve">Discussion — integration and ML readiness</w:t>
      </w:r>
    </w:p>
    <w:p>
      <w:pPr>
        <w:pStyle w:val="BodyText"/>
      </w:pPr>
      <w:r>
        <w:rPr>
          <w:b/>
          <w:bCs/>
        </w:rPr>
        <w:t xml:space="preserve">Bullets:</w:t>
      </w:r>
      <w:r>
        <w:t xml:space="preserve"> </w:t>
      </w:r>
      <w:r>
        <w:t xml:space="preserve">- Script-driven path: FDSN → tabular features + normalised NPZ stages</w:t>
      </w:r>
      <w:r>
        <w:t xml:space="preserve"> </w:t>
      </w:r>
      <w:r>
        <w:t xml:space="preserve">- STA/LTA panels link theory to P-time features</w:t>
      </w:r>
      <w:r>
        <w:t xml:space="preserve"> </w:t>
      </w:r>
      <w:r>
        <w:t xml:space="preserve">- Late picks + origin noise limit trigger tuning on this dataset alone</w:t>
      </w:r>
      <w:r>
        <w:t xml:space="preserve"> </w:t>
      </w:r>
      <w:r>
        <w:t xml:space="preserve">- Feature matrix: exploratory baselines only</w:t>
      </w:r>
      <w:r>
        <w:t xml:space="preserve"> </w:t>
      </w:r>
      <w:r>
        <w:t xml:space="preserve">-</w:t>
      </w:r>
      <w:r>
        <w:t xml:space="preserve"> </w:t>
      </w:r>
      <w:r>
        <w:rPr>
          <w:b/>
          <w:bCs/>
        </w:rPr>
        <w:t xml:space="preserve">No ML training</w:t>
      </w:r>
      <w:r>
        <w:t xml:space="preserve"> </w:t>
      </w:r>
      <w:r>
        <w:t xml:space="preserve">— no accuracy metrics in repository</w:t>
      </w:r>
      <w:r>
        <w:t xml:space="preserve"> </w:t>
      </w:r>
      <w:r>
        <w:t xml:space="preserve">- EarthESND: future Western comparison with deviation log</w:t>
      </w:r>
    </w:p>
    <w:p>
      <w:pPr>
        <w:pStyle w:val="BodyText"/>
      </w:pPr>
      <w:r>
        <w:rPr>
          <w:b/>
          <w:bCs/>
        </w:rPr>
        <w:t xml:space="preserve">Figure:</w:t>
      </w:r>
      <w:r>
        <w:t xml:space="preserve"> </w:t>
      </w:r>
      <w:r>
        <w:t xml:space="preserve">None (optional revisit small</w:t>
      </w:r>
      <w:r>
        <w:t xml:space="preserve"> </w:t>
      </w:r>
      <w:r>
        <w:rPr>
          <w:rStyle w:val="VerbatimChar"/>
          <w:b/>
          <w:bCs/>
        </w:rPr>
        <w:t xml:space="preserve">figures/station_usage_frequency.png</w:t>
      </w:r>
      <w:r>
        <w:t xml:space="preserve"> </w:t>
      </w:r>
      <w:r>
        <w:t xml:space="preserve">if time)</w:t>
      </w:r>
    </w:p>
    <w:p>
      <w:pPr>
        <w:pStyle w:val="BodyText"/>
      </w:pPr>
      <w:r>
        <w:rPr>
          <w:b/>
          <w:bCs/>
        </w:rPr>
        <w:t xml:space="preserve">Speaker notes:</w:t>
      </w:r>
      <w:r>
        <w:t xml:space="preserve"> </w:t>
      </w:r>
      <w:r>
        <w:t xml:space="preserve">Section 9 of the report is the authority here. Do not claim operational EEW or model performance. EarthESND validation on California data did not occur in completed work.</w:t>
      </w:r>
    </w:p>
    <w:p>
      <w:r>
        <w:pict>
          <v:rect style="width:0;height:1.5pt" o:hralign="center" o:hrstd="t" o:hr="t"/>
        </w:pict>
      </w:r>
    </w:p>
    <w:bookmarkEnd w:id="28"/>
    <w:bookmarkStart w:id="29" w:name="slide-21-limitations"/>
    <w:p>
      <w:pPr>
        <w:pStyle w:val="Heading2"/>
      </w:pPr>
      <w:r>
        <w:t xml:space="preserve">Slide 21 — Limitations</w:t>
      </w:r>
    </w:p>
    <w:p>
      <w:pPr>
        <w:pStyle w:val="FirstParagraph"/>
      </w:pPr>
      <w:r>
        <w:rPr>
          <w:b/>
          <w:bCs/>
        </w:rPr>
        <w:t xml:space="preserve">Title:</w:t>
      </w:r>
      <w:r>
        <w:t xml:space="preserve"> </w:t>
      </w:r>
      <w:r>
        <w:t xml:space="preserve">Limitations of the California pilot</w:t>
      </w:r>
    </w:p>
    <w:p>
      <w:pPr>
        <w:pStyle w:val="BodyText"/>
      </w:pPr>
      <w:r>
        <w:rPr>
          <w:b/>
          <w:bCs/>
        </w:rPr>
        <w:t xml:space="preserve">Bullets:</w:t>
      </w:r>
      <w:r>
        <w:t xml:space="preserve"> </w:t>
      </w:r>
      <w:r>
        <w:t xml:space="preserve">-</w:t>
      </w:r>
      <w:r>
        <w:t xml:space="preserve"> </w:t>
      </w:r>
      <w:r>
        <w:rPr>
          <w:b/>
          <w:bCs/>
        </w:rPr>
        <w:t xml:space="preserve">N = 8</w:t>
      </w:r>
      <w:r>
        <w:t xml:space="preserve">; single</w:t>
      </w:r>
      <w:r>
        <w:t xml:space="preserve"> </w:t>
      </w:r>
      <w:r>
        <w:rPr>
          <w:b/>
          <w:bCs/>
        </w:rPr>
        <w:t xml:space="preserve">BHZ</w:t>
      </w:r>
      <w:r>
        <w:t xml:space="preserve"> </w:t>
      </w:r>
      <w:r>
        <w:t xml:space="preserve">component</w:t>
      </w:r>
      <w:r>
        <w:t xml:space="preserve"> </w:t>
      </w:r>
      <w:r>
        <w:t xml:space="preserve">- Origin-aligned windows; biased noise/SNR</w:t>
      </w:r>
      <w:r>
        <w:t xml:space="preserve"> </w:t>
      </w:r>
      <w:r>
        <w:t xml:space="preserve">-</w:t>
      </w:r>
      <w:r>
        <w:t xml:space="preserve"> </w:t>
      </w:r>
      <w:r>
        <w:rPr>
          <w:b/>
          <w:bCs/>
        </w:rPr>
        <w:t xml:space="preserve">0/8</w:t>
      </w:r>
      <w:r>
        <w:t xml:space="preserve"> </w:t>
      </w:r>
      <w:r>
        <w:t xml:space="preserve">instrument response removal</w:t>
      </w:r>
      <w:r>
        <w:t xml:space="preserve"> </w:t>
      </w:r>
      <w:r>
        <w:t xml:space="preserve">- Station bias: ADO-heavy; USC</w:t>
      </w:r>
      <w:r>
        <w:t xml:space="preserve"> </w:t>
      </w:r>
      <w:r>
        <w:rPr>
          <w:b/>
          <w:bCs/>
        </w:rPr>
        <w:t xml:space="preserve">n=2</w:t>
      </w:r>
      <w:r>
        <w:t xml:space="preserve"> </w:t>
      </w:r>
      <w:r>
        <w:t xml:space="preserve">- Mixed</w:t>
      </w:r>
      <w:r>
        <w:t xml:space="preserve"> </w:t>
      </w:r>
      <w:r>
        <w:rPr>
          <w:b/>
          <w:bCs/>
        </w:rPr>
        <w:t xml:space="preserve">mw</w:t>
      </w:r>
      <w:r>
        <w:t xml:space="preserve"> </w:t>
      </w:r>
      <w:r>
        <w:t xml:space="preserve">/</w:t>
      </w:r>
      <w:r>
        <w:t xml:space="preserve"> </w:t>
      </w:r>
      <w:r>
        <w:rPr>
          <w:b/>
          <w:bCs/>
        </w:rPr>
        <w:t xml:space="preserve">ml</w:t>
      </w:r>
      <w:r>
        <w:t xml:space="preserve">; unvalidated P picks</w:t>
      </w:r>
      <w:r>
        <w:t xml:space="preserve"> </w:t>
      </w:r>
      <w:r>
        <w:t xml:space="preserve">- Not comparable to EarthESND K-NET metrics</w:t>
      </w:r>
    </w:p>
    <w:p>
      <w:pPr>
        <w:pStyle w:val="BodyText"/>
      </w:pPr>
      <w:r>
        <w:rPr>
          <w:b/>
          <w:bCs/>
        </w:rPr>
        <w:t xml:space="preserve">Figure:</w:t>
      </w:r>
      <w:r>
        <w:t xml:space="preserve"> </w:t>
      </w:r>
      <w:r>
        <w:t xml:space="preserve">None</w:t>
      </w:r>
    </w:p>
    <w:p>
      <w:pPr>
        <w:pStyle w:val="BodyText"/>
      </w:pPr>
      <w:r>
        <w:rPr>
          <w:b/>
          <w:bCs/>
        </w:rPr>
        <w:t xml:space="preserve">Speaker notes:</w:t>
      </w:r>
      <w:r>
        <w:t xml:space="preserve"> </w:t>
      </w:r>
      <w:r>
        <w:t xml:space="preserve">List mirrors report section 10.1 from RESULTS_AND_DISCUSSION. Legacy MiniSEED files and four off-manifest traces are documented but omitted from bullets to stay within six; mention verbally if asked.</w:t>
      </w:r>
    </w:p>
    <w:p>
      <w:r>
        <w:pict>
          <v:rect style="width:0;height:1.5pt" o:hralign="center" o:hrstd="t" o:hr="t"/>
        </w:pict>
      </w:r>
    </w:p>
    <w:bookmarkEnd w:id="29"/>
    <w:bookmarkStart w:id="30" w:name="slide-22-threats-to-validity"/>
    <w:p>
      <w:pPr>
        <w:pStyle w:val="Heading2"/>
      </w:pPr>
      <w:r>
        <w:t xml:space="preserve">Slide 22 — Threats to validity</w:t>
      </w:r>
    </w:p>
    <w:p>
      <w:pPr>
        <w:pStyle w:val="FirstParagraph"/>
      </w:pPr>
      <w:r>
        <w:rPr>
          <w:b/>
          <w:bCs/>
        </w:rPr>
        <w:t xml:space="preserve">Title:</w:t>
      </w:r>
      <w:r>
        <w:t xml:space="preserve"> </w:t>
      </w:r>
      <w:r>
        <w:t xml:space="preserve">Threats to validity (summary)</w:t>
      </w:r>
    </w:p>
    <w:p>
      <w:pPr>
        <w:pStyle w:val="BodyText"/>
      </w:pPr>
      <w:r>
        <w:rPr>
          <w:b/>
          <w:bCs/>
        </w:rPr>
        <w:t xml:space="preserve">Bullets:</w:t>
      </w:r>
      <w:r>
        <w:t xml:space="preserve"> </w:t>
      </w:r>
      <w:r>
        <w:t xml:space="preserve">- Construct: counts vs physical motion → response removal</w:t>
      </w:r>
      <w:r>
        <w:t xml:space="preserve"> </w:t>
      </w:r>
      <w:r>
        <w:t xml:space="preserve">- Internal: SNR after filter with fixed noise window</w:t>
      </w:r>
      <w:r>
        <w:t xml:space="preserve"> </w:t>
      </w:r>
      <w:r>
        <w:t xml:space="preserve">- External: California CI ≠ European networks → EIDA/ORFEUS pilot</w:t>
      </w:r>
      <w:r>
        <w:t xml:space="preserve"> </w:t>
      </w:r>
      <w:r>
        <w:t xml:space="preserve">- Statistical:</w:t>
      </w:r>
      <w:r>
        <w:t xml:space="preserve"> </w:t>
      </w:r>
      <w:r>
        <w:rPr>
          <w:b/>
          <w:bCs/>
        </w:rPr>
        <w:t xml:space="preserve">N=8</w:t>
      </w:r>
      <w:r>
        <w:t xml:space="preserve"> </w:t>
      </w:r>
      <w:r>
        <w:t xml:space="preserve">→ larger catalogues, bootstrap CIs</w:t>
      </w:r>
      <w:r>
        <w:t xml:space="preserve"> </w:t>
      </w:r>
      <w:r>
        <w:t xml:space="preserve">- Selection: first-eight downloads → stratified sampling</w:t>
      </w:r>
      <w:r>
        <w:t xml:space="preserve"> </w:t>
      </w:r>
      <w:r>
        <w:t xml:space="preserve">- Confirmation: fixed STA/LTA</w:t>
      </w:r>
      <w:r>
        <w:t xml:space="preserve"> </w:t>
      </w:r>
      <w:r>
        <w:rPr>
          <w:b/>
          <w:bCs/>
        </w:rPr>
        <w:t xml:space="preserve">2.5</w:t>
      </w:r>
      <w:r>
        <w:t xml:space="preserve"> </w:t>
      </w:r>
      <w:r>
        <w:t xml:space="preserve">→ threshold sweeps</w:t>
      </w:r>
    </w:p>
    <w:p>
      <w:pPr>
        <w:pStyle w:val="BodyText"/>
      </w:pPr>
      <w:r>
        <w:rPr>
          <w:b/>
          <w:bCs/>
        </w:rPr>
        <w:t xml:space="preserve">Figure:</w:t>
      </w:r>
      <w:r>
        <w:t xml:space="preserve"> </w:t>
      </w:r>
      <w:r>
        <w:t xml:space="preserve">None (optional:</w:t>
      </w:r>
      <w:r>
        <w:t xml:space="preserve"> </w:t>
      </w:r>
      <w:r>
        <w:rPr>
          <w:b/>
          <w:bCs/>
        </w:rPr>
        <w:t xml:space="preserve">Table 9</w:t>
      </w:r>
      <w:r>
        <w:t xml:space="preserve"> </w:t>
      </w:r>
      <w:r>
        <w:t xml:space="preserve">from report)</w:t>
      </w:r>
    </w:p>
    <w:p>
      <w:pPr>
        <w:pStyle w:val="BodyText"/>
      </w:pPr>
      <w:r>
        <w:rPr>
          <w:b/>
          <w:bCs/>
        </w:rPr>
        <w:t xml:space="preserve">Speaker notes:</w:t>
      </w:r>
      <w:r>
        <w:t xml:space="preserve"> </w:t>
      </w:r>
      <w:r>
        <w:t xml:space="preserve">Table 9 pairs each threat with proposed mitigation. Present mitigations as future work, not completed tasks. This slide bridges limitations to European transfer.</w:t>
      </w:r>
    </w:p>
    <w:p>
      <w:r>
        <w:pict>
          <v:rect style="width:0;height:1.5pt" o:hralign="center" o:hrstd="t" o:hr="t"/>
        </w:pict>
      </w:r>
    </w:p>
    <w:bookmarkEnd w:id="30"/>
    <w:bookmarkStart w:id="31" w:name="slide-23-european-relevance-and-transfer"/>
    <w:p>
      <w:pPr>
        <w:pStyle w:val="Heading2"/>
      </w:pPr>
      <w:r>
        <w:t xml:space="preserve">Slide 23 — European relevance and transfer</w:t>
      </w:r>
    </w:p>
    <w:p>
      <w:pPr>
        <w:pStyle w:val="FirstParagraph"/>
      </w:pPr>
      <w:r>
        <w:rPr>
          <w:b/>
          <w:bCs/>
        </w:rPr>
        <w:t xml:space="preserve">Title:</w:t>
      </w:r>
      <w:r>
        <w:t xml:space="preserve"> </w:t>
      </w:r>
      <w:r>
        <w:t xml:space="preserve">European context — why California supports EU goals</w:t>
      </w:r>
    </w:p>
    <w:p>
      <w:pPr>
        <w:pStyle w:val="BodyText"/>
      </w:pPr>
      <w:r>
        <w:rPr>
          <w:b/>
          <w:bCs/>
        </w:rPr>
        <w:t xml:space="preserve">Bullets:</w:t>
      </w:r>
      <w:r>
        <w:t xml:space="preserve"> </w:t>
      </w:r>
      <w:r>
        <w:t xml:space="preserve">-</w:t>
      </w:r>
      <w:r>
        <w:t xml:space="preserve"> </w:t>
      </w:r>
      <w:r>
        <w:rPr>
          <w:b/>
          <w:bCs/>
        </w:rPr>
        <w:t xml:space="preserve">Primary programme focus:</w:t>
      </w:r>
      <w:r>
        <w:t xml:space="preserve"> </w:t>
      </w:r>
      <w:r>
        <w:t xml:space="preserve">Europe; California validates</w:t>
      </w:r>
      <w:r>
        <w:t xml:space="preserve"> </w:t>
      </w:r>
      <w:r>
        <w:rPr>
          <w:b/>
          <w:bCs/>
        </w:rPr>
        <w:t xml:space="preserve">methods</w:t>
      </w:r>
      <w:r>
        <w:t xml:space="preserve"> </w:t>
      </w:r>
      <w:r>
        <w:t xml:space="preserve">- Demonstrates ObsPy/FDSN reproducibility for graduate research</w:t>
      </w:r>
      <w:r>
        <w:t xml:space="preserve"> </w:t>
      </w:r>
      <w:r>
        <w:t xml:space="preserve">- Surfaces pitfalls: origin windows, response metadata, station bias</w:t>
      </w:r>
      <w:r>
        <w:t xml:space="preserve"> </w:t>
      </w:r>
      <w:r>
        <w:t xml:space="preserve">-</w:t>
      </w:r>
      <w:r>
        <w:t xml:space="preserve"> </w:t>
      </w:r>
      <w:r>
        <w:rPr>
          <w:b/>
          <w:bCs/>
        </w:rPr>
        <w:t xml:space="preserve">Proposed transfer:</w:t>
      </w:r>
      <w:r>
        <w:t xml:space="preserve"> </w:t>
      </w:r>
      <w:r>
        <w:t xml:space="preserve">manifest + reports + scripts with EU endpoints</w:t>
      </w:r>
      <w:r>
        <w:t xml:space="preserve"> </w:t>
      </w:r>
      <w:r>
        <w:t xml:space="preserve">-</w:t>
      </w:r>
      <w:r>
        <w:t xml:space="preserve"> </w:t>
      </w:r>
      <w:r>
        <w:rPr>
          <w:b/>
          <w:bCs/>
        </w:rPr>
        <w:t xml:space="preserve">ORFEUS/EIDA</w:t>
      </w:r>
      <w:r>
        <w:t xml:space="preserve"> </w:t>
      </w:r>
      <w:r>
        <w:t xml:space="preserve">intended data plane;</w:t>
      </w:r>
      <w:r>
        <w:t xml:space="preserve"> </w:t>
      </w:r>
      <w:r>
        <w:rPr>
          <w:b/>
          <w:bCs/>
        </w:rPr>
        <w:t xml:space="preserve">no EU data yet</w:t>
      </w:r>
      <w:r>
        <w:t xml:space="preserve"> </w:t>
      </w:r>
      <w:r>
        <w:t xml:space="preserve">- Challenges: access policies, event rates, station density, regulations</w:t>
      </w:r>
    </w:p>
    <w:p>
      <w:pPr>
        <w:pStyle w:val="BodyText"/>
      </w:pPr>
      <w:r>
        <w:rPr>
          <w:b/>
          <w:bCs/>
        </w:rPr>
        <w:t xml:space="preserve">Figure:</w:t>
      </w:r>
      <w:r>
        <w:t xml:space="preserve"> </w:t>
      </w:r>
      <w:r>
        <w:t xml:space="preserve">None</w:t>
      </w:r>
    </w:p>
    <w:p>
      <w:pPr>
        <w:pStyle w:val="BodyText"/>
      </w:pPr>
      <w:r>
        <w:rPr>
          <w:b/>
          <w:bCs/>
        </w:rPr>
        <w:t xml:space="preserve">Speaker notes:</w:t>
      </w:r>
      <w:r>
        <w:t xml:space="preserve"> </w:t>
      </w:r>
      <w:r>
        <w:t xml:space="preserve">Section 11 lists benefits and challenges from the report. Do not imply European deployment or cross-region feature comparisons were executed. GDPR note applies to future integrations per appendix C themes in D-F1.</w:t>
      </w:r>
    </w:p>
    <w:p>
      <w:r>
        <w:pict>
          <v:rect style="width:0;height:1.5pt" o:hralign="center" o:hrstd="t" o:hr="t"/>
        </w:pict>
      </w:r>
    </w:p>
    <w:bookmarkEnd w:id="31"/>
    <w:bookmarkStart w:id="32" w:name="Xfd2dfbc8612ecbac295fad3651deb804afd40c4"/>
    <w:p>
      <w:pPr>
        <w:pStyle w:val="Heading2"/>
      </w:pPr>
      <w:r>
        <w:t xml:space="preserve">Slide 24 — Future work, conclusion, acknowledgements, references</w:t>
      </w:r>
    </w:p>
    <w:p>
      <w:pPr>
        <w:pStyle w:val="FirstParagraph"/>
      </w:pPr>
      <w:r>
        <w:rPr>
          <w:b/>
          <w:bCs/>
        </w:rPr>
        <w:t xml:space="preserve">Title:</w:t>
      </w:r>
      <w:r>
        <w:t xml:space="preserve"> </w:t>
      </w:r>
      <w:r>
        <w:t xml:space="preserve">Future work, conclusions, and closing</w:t>
      </w:r>
    </w:p>
    <w:p>
      <w:pPr>
        <w:pStyle w:val="BodyText"/>
      </w:pPr>
      <w:r>
        <w:rPr>
          <w:b/>
          <w:bCs/>
        </w:rPr>
        <w:t xml:space="preserve">Bullets:</w:t>
      </w:r>
      <w:r>
        <w:t xml:space="preserve"> </w:t>
      </w:r>
      <w:r>
        <w:t xml:space="preserve">-</w:t>
      </w:r>
      <w:r>
        <w:t xml:space="preserve"> </w:t>
      </w:r>
      <w:r>
        <w:rPr>
          <w:b/>
          <w:bCs/>
        </w:rPr>
        <w:t xml:space="preserve">Future:</w:t>
      </w:r>
      <w:r>
        <w:t xml:space="preserve"> </w:t>
      </w:r>
      <w:r>
        <w:t xml:space="preserve">50–200+ events; EU pilot; response fix; 3-component; AI baselines; SeedLink; publication</w:t>
      </w:r>
      <w:r>
        <w:t xml:space="preserve"> </w:t>
      </w:r>
      <w:r>
        <w:t xml:space="preserve">-</w:t>
      </w:r>
      <w:r>
        <w:t xml:space="preserve"> </w:t>
      </w:r>
      <w:r>
        <w:rPr>
          <w:b/>
          <w:bCs/>
        </w:rPr>
        <w:t xml:space="preserve">Conclusion:</w:t>
      </w:r>
      <w:r>
        <w:t xml:space="preserve"> </w:t>
      </w:r>
      <w:r>
        <w:t xml:space="preserve">Reproducible chain to</w:t>
      </w:r>
      <w:r>
        <w:t xml:space="preserve"> </w:t>
      </w:r>
      <w:r>
        <w:rPr>
          <w:b/>
          <w:bCs/>
        </w:rPr>
        <w:t xml:space="preserve">8×18</w:t>
      </w:r>
      <w:r>
        <w:t xml:space="preserve"> </w:t>
      </w:r>
      <w:r>
        <w:t xml:space="preserve">features established</w:t>
      </w:r>
      <w:r>
        <w:t xml:space="preserve"> </w:t>
      </w:r>
      <w:r>
        <w:t xml:space="preserve">- Response failure blocks physical amplitude EEW today</w:t>
      </w:r>
      <w:r>
        <w:t xml:space="preserve"> </w:t>
      </w:r>
      <w:r>
        <w:t xml:space="preserve">- Europe = intended scaled context</w:t>
      </w:r>
      <w:r>
        <w:t xml:space="preserve"> </w:t>
      </w:r>
      <w:r>
        <w:t xml:space="preserve">-</w:t>
      </w:r>
      <w:r>
        <w:t xml:space="preserve"> </w:t>
      </w:r>
      <w:r>
        <w:rPr>
          <w:b/>
          <w:bCs/>
        </w:rPr>
        <w:t xml:space="preserve">Acknowledgements:</w:t>
      </w:r>
      <w:r>
        <w:t xml:space="preserve"> </w:t>
      </w:r>
      <w:r>
        <w:t xml:space="preserve">USGS &amp; EarthScope FDSN data; ObsPy (Krischer et al., 2015)</w:t>
      </w:r>
      <w:r>
        <w:t xml:space="preserve"> </w:t>
      </w:r>
      <w:r>
        <w:t xml:space="preserve">-</w:t>
      </w:r>
      <w:r>
        <w:t xml:space="preserve"> </w:t>
      </w:r>
      <w:r>
        <w:rPr>
          <w:b/>
          <w:bCs/>
        </w:rPr>
        <w:t xml:space="preserve">Key refs:</w:t>
      </w:r>
      <w:r>
        <w:t xml:space="preserve"> </w:t>
      </w:r>
      <w:r>
        <w:t xml:space="preserve">Allen &amp; Kanamori 2003; Hoshiba et al. 2008; Joshi et al. 2026 (reference only)</w:t>
      </w:r>
    </w:p>
    <w:p>
      <w:pPr>
        <w:pStyle w:val="BodyText"/>
      </w:pPr>
      <w:r>
        <w:rPr>
          <w:b/>
          <w:bCs/>
        </w:rPr>
        <w:t xml:space="preserve">Figure:</w:t>
      </w:r>
      <w:r>
        <w:t xml:space="preserve"> </w:t>
      </w:r>
      <w:r>
        <w:t xml:space="preserve">None</w:t>
      </w:r>
    </w:p>
    <w:p>
      <w:pPr>
        <w:pStyle w:val="BodyText"/>
      </w:pPr>
      <w:r>
        <w:rPr>
          <w:b/>
          <w:bCs/>
        </w:rPr>
        <w:t xml:space="preserve">Speaker notes:</w:t>
      </w:r>
      <w:r>
        <w:t xml:space="preserve"> </w:t>
      </w:r>
      <w:r>
        <w:t xml:space="preserve">Conclusions are the six numbered points from report section 13, compressed into the narrative above. Acknowledgements are limited to data/software providers named in D-F1 §14 and Appendix C— the report does not list personal supervisors. End with Q&amp;A; full bibliography is report §14.</w:t>
      </w:r>
    </w:p>
    <w:p>
      <w:r>
        <w:pict>
          <v:rect style="width:0;height:1.5pt" o:hralign="center" o:hrstd="t" o:hr="t"/>
        </w:pict>
      </w:r>
    </w:p>
    <w:bookmarkEnd w:id="32"/>
    <w:bookmarkStart w:id="33" w:name="X6140774a1f3eac42f6786c0f4e4083ba8d14996"/>
    <w:p>
      <w:pPr>
        <w:pStyle w:val="Heading2"/>
      </w:pPr>
      <w:r>
        <w:t xml:space="preserve">Appendix to outline — timing guide (10–15 min)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Block</w:t>
            </w:r>
          </w:p>
        </w:tc>
        <w:tc>
          <w:tcPr/>
          <w:p>
            <w:pPr>
              <w:pStyle w:val="Compact"/>
            </w:pPr>
            <w:r>
              <w:t xml:space="preserve">Slides</w:t>
            </w:r>
          </w:p>
        </w:tc>
        <w:tc>
          <w:tcPr/>
          <w:p>
            <w:pPr>
              <w:pStyle w:val="Compact"/>
            </w:pPr>
            <w:r>
              <w:t xml:space="preserve">~Minutes</w:t>
            </w:r>
          </w:p>
        </w:tc>
      </w:tr>
      <w:tr>
        <w:tc>
          <w:tcPr/>
          <w:p>
            <w:pPr>
              <w:pStyle w:val="Compact"/>
            </w:pPr>
            <w:r>
              <w:t xml:space="preserve">Intro, gap, objectives</w:t>
            </w:r>
          </w:p>
        </w:tc>
        <w:tc>
          <w:tcPr/>
          <w:p>
            <w:pPr>
              <w:pStyle w:val="Compact"/>
            </w:pPr>
            <w:r>
              <w:t xml:space="preserve">1–5</w:t>
            </w:r>
          </w:p>
        </w:tc>
        <w:tc>
          <w:tcPr/>
          <w:p>
            <w:pPr>
              <w:pStyle w:val="Compact"/>
            </w:pPr>
            <w:r>
              <w:t xml:space="preserve">2–3</w:t>
            </w:r>
          </w:p>
        </w:tc>
      </w:tr>
      <w:tr>
        <w:tc>
          <w:tcPr/>
          <w:p>
            <w:pPr>
              <w:pStyle w:val="Compact"/>
            </w:pPr>
            <w:r>
              <w:t xml:space="preserve">Literature &amp; dataset</w:t>
            </w:r>
          </w:p>
        </w:tc>
        <w:tc>
          <w:tcPr/>
          <w:p>
            <w:pPr>
              <w:pStyle w:val="Compact"/>
            </w:pPr>
            <w:r>
              <w:t xml:space="preserve">6–9</w:t>
            </w:r>
          </w:p>
        </w:tc>
        <w:tc>
          <w:tcPr/>
          <w:p>
            <w:pPr>
              <w:pStyle w:val="Compact"/>
            </w:pPr>
            <w:r>
              <w:t xml:space="preserve">2–3</w:t>
            </w:r>
          </w:p>
        </w:tc>
      </w:tr>
      <w:tr>
        <w:tc>
          <w:tcPr/>
          <w:p>
            <w:pPr>
              <w:pStyle w:val="Compact"/>
            </w:pPr>
            <w:r>
              <w:t xml:space="preserve">Workflow &amp; methods</w:t>
            </w:r>
          </w:p>
        </w:tc>
        <w:tc>
          <w:tcPr/>
          <w:p>
            <w:pPr>
              <w:pStyle w:val="Compact"/>
            </w:pPr>
            <w:r>
              <w:t xml:space="preserve">10–12</w:t>
            </w:r>
          </w:p>
        </w:tc>
        <w:tc>
          <w:tcPr/>
          <w:p>
            <w:pPr>
              <w:pStyle w:val="Compact"/>
            </w:pPr>
            <w:r>
              <w:t xml:space="preserve">2</w:t>
            </w:r>
          </w:p>
        </w:tc>
      </w:tr>
      <w:tr>
        <w:tc>
          <w:tcPr/>
          <w:p>
            <w:pPr>
              <w:pStyle w:val="Compact"/>
            </w:pPr>
            <w:r>
              <w:t xml:space="preserve">Results (EDA → features)</w:t>
            </w:r>
          </w:p>
        </w:tc>
        <w:tc>
          <w:tcPr/>
          <w:p>
            <w:pPr>
              <w:pStyle w:val="Compact"/>
            </w:pPr>
            <w:r>
              <w:t xml:space="preserve">13–19</w:t>
            </w:r>
          </w:p>
        </w:tc>
        <w:tc>
          <w:tcPr/>
          <w:p>
            <w:pPr>
              <w:pStyle w:val="Compact"/>
            </w:pPr>
            <w:r>
              <w:t xml:space="preserve">4–5</w:t>
            </w:r>
          </w:p>
        </w:tc>
      </w:tr>
      <w:tr>
        <w:tc>
          <w:tcPr/>
          <w:p>
            <w:pPr>
              <w:pStyle w:val="Compact"/>
            </w:pPr>
            <w:r>
              <w:t xml:space="preserve">Discussion, limits, Europe, close</w:t>
            </w:r>
          </w:p>
        </w:tc>
        <w:tc>
          <w:tcPr/>
          <w:p>
            <w:pPr>
              <w:pStyle w:val="Compact"/>
            </w:pPr>
            <w:r>
              <w:t xml:space="preserve">20–24</w:t>
            </w:r>
          </w:p>
        </w:tc>
        <w:tc>
          <w:tcPr/>
          <w:p>
            <w:pPr>
              <w:pStyle w:val="Compact"/>
            </w:pPr>
            <w:r>
              <w:t xml:space="preserve">2–3</w:t>
            </w:r>
          </w:p>
        </w:tc>
      </w:tr>
    </w:tbl>
    <w:p>
      <w:r>
        <w:pict>
          <v:rect style="width:0;height:1.5pt" o:hralign="center" o:hrstd="t" o:hr="t"/>
        </w:pict>
      </w:r>
    </w:p>
    <w:bookmarkEnd w:id="33"/>
    <w:bookmarkStart w:id="34" w:name="Xc63c8340b57f3f5e7b08205633ef2353a572c0f"/>
    <w:p>
      <w:pPr>
        <w:pStyle w:val="Heading2"/>
      </w:pPr>
      <w:r>
        <w:t xml:space="preserve">Appendix to outline — figure index (all repository PNGs)</w:t>
      </w:r>
    </w:p>
    <w:tbl>
      <w:tblPr>
        <w:tblStyle w:val="Table"/>
        <w:tblW w:type="pct" w:w="5000"/>
        <w:tblLayout w:type="fixed"/>
        <w:tblLook w:firstRow="1" w:lastRow="0" w:firstColumn="0" w:lastColumn="0" w:noHBand="0" w:noVBand="0" w:val="0020"/>
      </w:tblPr>
      <w:tblGrid>
        <w:gridCol w:w="4242"/>
        <w:gridCol w:w="1697"/>
        <w:gridCol w:w="1980"/>
      </w:tblGrid>
      <w:tr>
        <w:trPr>
          <w:tblHeader w:val="on"/>
        </w:trPr>
        <w:tc>
          <w:tcPr/>
          <w:p>
            <w:pPr>
              <w:pStyle w:val="Compact"/>
            </w:pPr>
            <w:r>
              <w:t xml:space="preserve">Report figure</w:t>
            </w:r>
          </w:p>
        </w:tc>
        <w:tc>
          <w:tcPr/>
          <w:p>
            <w:pPr>
              <w:pStyle w:val="Compact"/>
            </w:pPr>
            <w:r>
              <w:t xml:space="preserve">File</w:t>
            </w:r>
          </w:p>
        </w:tc>
        <w:tc>
          <w:tcPr/>
          <w:p>
            <w:pPr>
              <w:pStyle w:val="Compact"/>
            </w:pPr>
            <w:r>
              <w:t xml:space="preserve">Slide</w:t>
            </w:r>
          </w:p>
        </w:tc>
      </w:tr>
      <w:tr>
        <w:tc>
          <w:tcPr/>
          <w:p>
            <w:pPr>
              <w:pStyle w:val="Compact"/>
            </w:pPr>
            <w:r>
              <w:t xml:space="preserve">1</w:t>
            </w:r>
          </w:p>
        </w:tc>
        <w:tc>
          <w:tcPr/>
          <w:p>
            <w:pPr>
              <w:pStyle w:val="Compact"/>
            </w:pPr>
            <w:r>
              <w:rPr>
                <w:rStyle w:val="VerbatimChar"/>
              </w:rPr>
              <w:t xml:space="preserve">figures/example_waveform_raw.png</w:t>
            </w:r>
          </w:p>
        </w:tc>
        <w:tc>
          <w:tcPr/>
          <w:p>
            <w:pPr>
              <w:pStyle w:val="Compact"/>
            </w:pPr>
            <w:r>
              <w:t xml:space="preserve">13</w:t>
            </w:r>
          </w:p>
        </w:tc>
      </w:tr>
      <w:tr>
        <w:tc>
          <w:tcPr/>
          <w:p>
            <w:pPr>
              <w:pStyle w:val="Compact"/>
            </w:pPr>
            <w:r>
              <w:t xml:space="preserve">2</w:t>
            </w:r>
          </w:p>
        </w:tc>
        <w:tc>
          <w:tcPr/>
          <w:p>
            <w:pPr>
              <w:pStyle w:val="Compact"/>
            </w:pPr>
            <w:r>
              <w:rPr>
                <w:rStyle w:val="VerbatimChar"/>
              </w:rPr>
              <w:t xml:space="preserve">figures/magnitude_histogram.png</w:t>
            </w:r>
          </w:p>
        </w:tc>
        <w:tc>
          <w:tcPr/>
          <w:p>
            <w:pPr>
              <w:pStyle w:val="Compact"/>
            </w:pPr>
            <w:r>
              <w:t xml:space="preserve">14</w:t>
            </w:r>
          </w:p>
        </w:tc>
      </w:tr>
      <w:tr>
        <w:tc>
          <w:tcPr/>
          <w:p>
            <w:pPr>
              <w:pStyle w:val="Compact"/>
            </w:pPr>
            <w:r>
              <w:t xml:space="preserve">3</w:t>
            </w:r>
          </w:p>
        </w:tc>
        <w:tc>
          <w:tcPr/>
          <w:p>
            <w:pPr>
              <w:pStyle w:val="Compact"/>
            </w:pPr>
            <w:r>
              <w:rPr>
                <w:rStyle w:val="VerbatimChar"/>
              </w:rPr>
              <w:t xml:space="preserve">figures/events_over_time.png</w:t>
            </w:r>
          </w:p>
        </w:tc>
        <w:tc>
          <w:tcPr/>
          <w:p>
            <w:pPr>
              <w:pStyle w:val="Compact"/>
            </w:pPr>
            <w:r>
              <w:t xml:space="preserve">14</w:t>
            </w:r>
          </w:p>
        </w:tc>
      </w:tr>
      <w:tr>
        <w:tc>
          <w:tcPr/>
          <w:p>
            <w:pPr>
              <w:pStyle w:val="Compact"/>
            </w:pPr>
            <w:r>
              <w:t xml:space="preserve">4</w:t>
            </w:r>
          </w:p>
        </w:tc>
        <w:tc>
          <w:tcPr/>
          <w:p>
            <w:pPr>
              <w:pStyle w:val="Compact"/>
            </w:pPr>
            <w:r>
              <w:rPr>
                <w:rStyle w:val="VerbatimChar"/>
              </w:rPr>
              <w:t xml:space="preserve">figures/station_usage_frequency.png</w:t>
            </w:r>
          </w:p>
        </w:tc>
        <w:tc>
          <w:tcPr/>
          <w:p>
            <w:pPr>
              <w:pStyle w:val="Compact"/>
            </w:pPr>
            <w:r>
              <w:t xml:space="preserve">14 (optional 20)</w:t>
            </w:r>
          </w:p>
        </w:tc>
      </w:tr>
      <w:tr>
        <w:tc>
          <w:tcPr/>
          <w:p>
            <w:pPr>
              <w:pStyle w:val="Compact"/>
            </w:pPr>
            <w:r>
              <w:t xml:space="preserve">5</w:t>
            </w:r>
          </w:p>
        </w:tc>
        <w:tc>
          <w:tcPr/>
          <w:p>
            <w:pPr>
              <w:pStyle w:val="Compact"/>
            </w:pPr>
            <w:r>
              <w:rPr>
                <w:rStyle w:val="VerbatimChar"/>
              </w:rPr>
              <w:t xml:space="preserve">figures/signal_analysis_ci40675215.png</w:t>
            </w:r>
          </w:p>
        </w:tc>
        <w:tc>
          <w:tcPr/>
          <w:p>
            <w:pPr>
              <w:pStyle w:val="Compact"/>
            </w:pPr>
            <w:r>
              <w:t xml:space="preserve">15</w:t>
            </w:r>
          </w:p>
        </w:tc>
      </w:tr>
      <w:tr>
        <w:tc>
          <w:tcPr/>
          <w:p>
            <w:pPr>
              <w:pStyle w:val="Compact"/>
            </w:pPr>
            <w:r>
              <w:t xml:space="preserve">6</w:t>
            </w:r>
          </w:p>
        </w:tc>
        <w:tc>
          <w:tcPr/>
          <w:p>
            <w:pPr>
              <w:pStyle w:val="Compact"/>
            </w:pPr>
            <w:r>
              <w:rPr>
                <w:rStyle w:val="VerbatimChar"/>
              </w:rPr>
              <w:t xml:space="preserve">figures/signal_analysis_ci40699207.png</w:t>
            </w:r>
          </w:p>
        </w:tc>
        <w:tc>
          <w:tcPr/>
          <w:p>
            <w:pPr>
              <w:pStyle w:val="Compact"/>
            </w:pPr>
            <w:r>
              <w:t xml:space="preserve">16</w:t>
            </w:r>
          </w:p>
        </w:tc>
      </w:tr>
      <w:tr>
        <w:tc>
          <w:tcPr/>
          <w:p>
            <w:pPr>
              <w:pStyle w:val="Compact"/>
            </w:pPr>
            <w:r>
              <w:t xml:space="preserve">7</w:t>
            </w:r>
          </w:p>
        </w:tc>
        <w:tc>
          <w:tcPr/>
          <w:p>
            <w:pPr>
              <w:pStyle w:val="Compact"/>
            </w:pPr>
            <w:r>
              <w:rPr>
                <w:rStyle w:val="VerbatimChar"/>
              </w:rPr>
              <w:t xml:space="preserve">figures/preprocessing_ci40675215.png</w:t>
            </w:r>
          </w:p>
        </w:tc>
        <w:tc>
          <w:tcPr/>
          <w:p>
            <w:pPr>
              <w:pStyle w:val="Compact"/>
            </w:pPr>
            <w:r>
              <w:t xml:space="preserve">17</w:t>
            </w:r>
          </w:p>
        </w:tc>
      </w:tr>
      <w:tr>
        <w:tc>
          <w:tcPr/>
          <w:p>
            <w:pPr>
              <w:pStyle w:val="Compact"/>
            </w:pPr>
            <w:r>
              <w:t xml:space="preserve">8</w:t>
            </w:r>
          </w:p>
        </w:tc>
        <w:tc>
          <w:tcPr/>
          <w:p>
            <w:pPr>
              <w:pStyle w:val="Compact"/>
            </w:pPr>
            <w:r>
              <w:rPr>
                <w:rStyle w:val="VerbatimChar"/>
              </w:rPr>
              <w:t xml:space="preserve">figures/preprocessing_ci40699207.png</w:t>
            </w:r>
          </w:p>
        </w:tc>
        <w:tc>
          <w:tcPr/>
          <w:p>
            <w:pPr>
              <w:pStyle w:val="Compact"/>
            </w:pPr>
            <w:r>
              <w:t xml:space="preserve">17</w:t>
            </w:r>
          </w:p>
        </w:tc>
      </w:tr>
      <w:tr>
        <w:tc>
          <w:tcPr/>
          <w:p>
            <w:pPr>
              <w:pStyle w:val="Compact"/>
            </w:pPr>
            <w:r>
              <w:t xml:space="preserve">9</w:t>
            </w:r>
          </w:p>
        </w:tc>
        <w:tc>
          <w:tcPr/>
          <w:p>
            <w:pPr>
              <w:pStyle w:val="Compact"/>
            </w:pPr>
            <w:r>
              <w:rPr>
                <w:rStyle w:val="VerbatimChar"/>
              </w:rPr>
              <w:t xml:space="preserve">figures/feature_engineering_fft_spectra.png</w:t>
            </w:r>
          </w:p>
        </w:tc>
        <w:tc>
          <w:tcPr/>
          <w:p>
            <w:pPr>
              <w:pStyle w:val="Compact"/>
            </w:pPr>
            <w:r>
              <w:t xml:space="preserve">18</w:t>
            </w:r>
          </w:p>
        </w:tc>
      </w:tr>
      <w:tr>
        <w:tc>
          <w:tcPr/>
          <w:p>
            <w:pPr>
              <w:pStyle w:val="Compact"/>
            </w:pPr>
            <w:r>
              <w:t xml:space="preserve">10</w:t>
            </w:r>
          </w:p>
        </w:tc>
        <w:tc>
          <w:tcPr/>
          <w:p>
            <w:pPr>
              <w:pStyle w:val="Compact"/>
            </w:pPr>
            <w:r>
              <w:rPr>
                <w:rStyle w:val="VerbatimChar"/>
              </w:rPr>
              <w:t xml:space="preserve">figures/feature_correlation_heatmap.png</w:t>
            </w:r>
          </w:p>
        </w:tc>
        <w:tc>
          <w:tcPr/>
          <w:p>
            <w:pPr>
              <w:pStyle w:val="Compact"/>
            </w:pPr>
            <w:r>
              <w:t xml:space="preserve">18</w:t>
            </w:r>
          </w:p>
        </w:tc>
      </w:tr>
      <w:tr>
        <w:tc>
          <w:tcPr/>
          <w:p>
            <w:pPr>
              <w:pStyle w:val="Compact"/>
            </w:pPr>
            <w:r>
              <w:t xml:space="preserve">11</w:t>
            </w:r>
          </w:p>
        </w:tc>
        <w:tc>
          <w:tcPr/>
          <w:p>
            <w:pPr>
              <w:pStyle w:val="Compact"/>
            </w:pPr>
            <w:r>
              <w:rPr>
                <w:rStyle w:val="VerbatimChar"/>
              </w:rPr>
              <w:t xml:space="preserve">figures/feature_distributions.png</w:t>
            </w:r>
          </w:p>
        </w:tc>
        <w:tc>
          <w:tcPr/>
          <w:p>
            <w:pPr>
              <w:pStyle w:val="Compact"/>
            </w:pPr>
            <w:r>
              <w:t xml:space="preserve">19</w:t>
            </w:r>
          </w:p>
        </w:tc>
      </w:tr>
      <w:tr>
        <w:tc>
          <w:tcPr/>
          <w:p>
            <w:pPr>
              <w:pStyle w:val="Compact"/>
            </w:pPr>
            <w:r>
              <w:t xml:space="preserve">12</w:t>
            </w:r>
          </w:p>
        </w:tc>
        <w:tc>
          <w:tcPr/>
          <w:p>
            <w:pPr>
              <w:pStyle w:val="Compact"/>
            </w:pPr>
            <w:r>
              <w:rPr>
                <w:rStyle w:val="VerbatimChar"/>
              </w:rPr>
              <w:t xml:space="preserve">figures/feature_boxplots_by_station.png</w:t>
            </w:r>
          </w:p>
        </w:tc>
        <w:tc>
          <w:tcPr/>
          <w:p>
            <w:pPr>
              <w:pStyle w:val="Compact"/>
            </w:pPr>
            <w:r>
              <w:t xml:space="preserve">19</w:t>
            </w:r>
          </w:p>
        </w:tc>
      </w:tr>
      <w:tr>
        <w:tc>
          <w:tcPr/>
          <w:p>
            <w:pPr>
              <w:pStyle w:val="Compact"/>
            </w:pPr>
            <w:r>
              <w:t xml:space="preserve">D1–D12</w:t>
            </w:r>
          </w:p>
        </w:tc>
        <w:tc>
          <w:tcPr/>
          <w:p>
            <w:pPr>
              <w:pStyle w:val="Compact"/>
            </w:pPr>
            <w:r>
              <w:t xml:space="preserve">Other</w:t>
            </w:r>
            <w:r>
              <w:t xml:space="preserve"> </w:t>
            </w:r>
            <w:r>
              <w:rPr>
                <w:rStyle w:val="VerbatimChar"/>
              </w:rPr>
              <w:t xml:space="preserve">signal_analysis_*.png</w:t>
            </w:r>
            <w:r>
              <w:t xml:space="preserve">,</w:t>
            </w:r>
            <w:r>
              <w:t xml:space="preserve"> </w:t>
            </w:r>
            <w:r>
              <w:rPr>
                <w:rStyle w:val="VerbatimChar"/>
              </w:rPr>
              <w:t xml:space="preserve">preprocessing_*.png</w:t>
            </w:r>
          </w:p>
        </w:tc>
        <w:tc>
          <w:tcPr/>
          <w:p>
            <w:pPr>
              <w:pStyle w:val="Compact"/>
            </w:pPr>
            <w:r>
              <w:t xml:space="preserve">Backup / optional deep-dive (not on core 24)</w:t>
            </w:r>
          </w:p>
        </w:tc>
      </w:tr>
    </w:tbl>
    <w:p>
      <w:r>
        <w:pict>
          <v:rect style="width:0;height:1.5pt" o:hralign="center" o:hrstd="t" o:hr="t"/>
        </w:pict>
      </w:r>
    </w:p>
    <w:p>
      <w:pPr>
        <w:pStyle w:val="FirstParagraph"/>
      </w:pPr>
      <w:r>
        <w:rPr>
          <w:b/>
          <w:bCs/>
        </w:rPr>
        <w:t xml:space="preserve">Document control:</w:t>
      </w:r>
      <w:r>
        <w:t xml:space="preserve"> </w:t>
      </w:r>
      <w:r>
        <w:t xml:space="preserve">Presentation outline D-F2 v1.0 — derived only from</w:t>
      </w:r>
      <w:r>
        <w:t xml:space="preserve"> </w:t>
      </w:r>
      <w:r>
        <w:rPr>
          <w:rStyle w:val="VerbatimChar"/>
        </w:rPr>
        <w:t xml:space="preserve">reports/Research_Report_Final.md</w:t>
      </w:r>
      <w:r>
        <w:t xml:space="preserve">, 29 July 2026. No source code modified.</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2026-07-29T13:30:05Z</dcterms:created>
  <dcterms:modified xsi:type="dcterms:W3CDTF">2026-07-29T13:30:05Z</dcterms:modified>
</cp:coreProperties>
</file>

<file path=docProps/custom.xml><?xml version="1.0" encoding="utf-8"?>
<Properties xmlns="http://schemas.openxmlformats.org/officeDocument/2006/custom-properties" xmlns:vt="http://schemas.openxmlformats.org/officeDocument/2006/docPropsVTypes"/>
</file>