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34.png" ContentType="image/png"/>
  <Override PartName="/word/media/rId70.png" ContentType="image/png"/>
  <Override PartName="/word/media/rId64.png" ContentType="image/png"/>
  <Override PartName="/word/media/rId67.png" ContentType="image/png"/>
  <Override PartName="/word/media/rId61.png" ContentType="image/png"/>
  <Override PartName="/word/media/rId37.png" ContentType="image/png"/>
  <Override PartName="/word/media/rId117.png" ContentType="image/png"/>
  <Override PartName="/word/media/rId54.png" ContentType="image/png"/>
  <Override PartName="/word/media/rId5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99.png" ContentType="image/png"/>
  <Override PartName="/word/media/rId47.png" ContentType="image/png"/>
  <Override PartName="/word/media/rId50.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AI-Assisted Earthquake Early Warning Research for Western Seismic Regions</w:t>
      </w:r>
    </w:p>
    <w:p>
      <w:pPr>
        <w:pStyle w:val="Subtitle"/>
      </w:pPr>
      <w:r>
        <w:t xml:space="preserve">Method Development on a California FDSN Pilot with Transfer Path to European Networks</w:t>
      </w:r>
    </w:p>
    <w:p>
      <w:pPr>
        <w:pStyle w:val="Date"/>
      </w:pPr>
      <w:r>
        <w:t xml:space="preserve">29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1efe72300205219af976b8f4d71b86cd6df78ee"/>
    <w:p>
      <w:pPr>
        <w:pStyle w:val="Heading1"/>
      </w:pPr>
      <w:r>
        <w:t xml:space="preserve">Reproducible AI-Assisted Earthquake Early Warning Research for Western Seismic Regions</w:t>
      </w:r>
    </w:p>
    <w:bookmarkStart w:id="9" w:name="Xf0c909a5ff720b990cedb5ba59b69b7eecc782b"/>
    <w:p>
      <w:pPr>
        <w:pStyle w:val="Heading2"/>
      </w:pPr>
      <w:r>
        <w:t xml:space="preserve">Method Development on a California FDSN Pilot with Transfer Path to European Networks</w:t>
      </w:r>
    </w:p>
    <w:p>
      <w:pPr>
        <w:pStyle w:val="FirstParagraph"/>
      </w:pPr>
      <w:r>
        <w:rPr>
          <w:b/>
          <w:bCs/>
        </w:rPr>
        <w:t xml:space="preserve">Final Research Proposal and Technical Report (Deliverable D-F1)</w:t>
      </w:r>
    </w:p>
    <w:p>
      <w:pPr>
        <w:pStyle w:val="BodyText"/>
      </w:pPr>
      <w:r>
        <w:rPr>
          <w:b/>
          <w:bCs/>
        </w:rPr>
        <w:t xml:space="preserve">AMGCR Earthquake Research</w:t>
      </w:r>
    </w:p>
    <w:p>
      <w:pPr>
        <w:pStyle w:val="BodyText"/>
      </w:pPr>
      <w:r>
        <w:rPr>
          <w:b/>
          <w:bCs/>
        </w:rPr>
        <w:t xml:space="preserve">29 July 2026</w:t>
      </w:r>
    </w:p>
    <w:bookmarkEnd w:id="9"/>
    <w:bookmarkEnd w:id="10"/>
    <w:p>
      <w:r>
        <w:pict>
          <v:rect style="width:0;height:1.5pt" o:hralign="center" o:hrstd="t" o:hr="t"/>
        </w:pict>
      </w:r>
    </w:p>
    <w:bookmarkStart w:id="11" w:name="certificate-and-programme-statement"/>
    <w:p>
      <w:pPr>
        <w:pStyle w:val="Heading2"/>
      </w:pPr>
      <w:r>
        <w:t xml:space="preserve">Certificate and programme statement</w:t>
      </w:r>
    </w:p>
    <w:p>
      <w:pPr>
        <w:pStyle w:val="FirstParagraph"/>
      </w:pPr>
      <w:r>
        <w:t xml:space="preserve">This document is submitted in partial fulfilment of research requirements for the Swiss certificate programme in Assessment and Management of Geological and Climate Related Risk (AMGCR), as defined in</w:t>
      </w:r>
      <w:r>
        <w:t xml:space="preserve"> </w:t>
      </w:r>
      <w:r>
        <w:rPr>
          <w:rStyle w:val="VerbatimChar"/>
        </w:rPr>
        <w:t xml:space="preserve">docs/PROJECT_CHARTER.md</w:t>
      </w:r>
      <w:r>
        <w:t xml:space="preserve"> </w:t>
      </w:r>
      <w:r>
        <w:t xml:space="preserve">and</w:t>
      </w:r>
      <w:r>
        <w:t xml:space="preserve"> </w:t>
      </w:r>
      <w:r>
        <w:rPr>
          <w:rStyle w:val="VerbatimChar"/>
        </w:rPr>
        <w:t xml:space="preserve">docs/RESEARCH_DIRECTION.md</w:t>
      </w:r>
      <w:r>
        <w:t xml:space="preserve">.</w:t>
      </w:r>
    </w:p>
    <w:p>
      <w:pPr>
        <w:pStyle w:val="BodyText"/>
      </w:pPr>
      <w:r>
        <w:t xml:space="preserve">The primary long-term research focus of the programme is Earthquake Early Warning methodology for European seismic networks. The United States (California) FDSN pilot documented herein is a completed methods laboratory, not the intended final deployment geography.</w:t>
      </w:r>
    </w:p>
    <w:p>
      <w:pPr>
        <w:pStyle w:val="BodyText"/>
      </w:pPr>
      <w:r>
        <w:t xml:space="preserve">All quantitative results in the proposed work are drawn from existing repository artefacts and phase reports dated 2026-07-29. The proposed work does not re-run analysis scripts or introduce new scientific computations.</w:t>
      </w:r>
    </w:p>
    <w:p>
      <w:pPr>
        <w:pStyle w:val="BlockText"/>
      </w:pPr>
      <w:r>
        <w:t xml:space="preserve">Evidence note: The repository does not record a student author name or CERG edition number. Programme affiliation text above is taken from</w:t>
      </w:r>
      <w:r>
        <w:t xml:space="preserve"> </w:t>
      </w:r>
      <w:r>
        <w:rPr>
          <w:rStyle w:val="VerbatimChar"/>
        </w:rPr>
        <w:t xml:space="preserve">reports/Research_Proposal_v1.md</w:t>
      </w:r>
      <w:r>
        <w:t xml:space="preserve"> </w:t>
      </w:r>
      <w:r>
        <w:t xml:space="preserve">and</w:t>
      </w:r>
      <w:r>
        <w:t xml:space="preserve"> </w:t>
      </w:r>
      <w:r>
        <w:rPr>
          <w:rStyle w:val="VerbatimChar"/>
        </w:rPr>
        <w:t xml:space="preserve">docs/PROJECT_CHARTER.md</w:t>
      </w:r>
      <w:r>
        <w:t xml:space="preserve"> </w:t>
      </w:r>
      <w:r>
        <w:t xml:space="preserve">only.</w:t>
      </w:r>
    </w:p>
    <w:p>
      <w:r>
        <w:pict>
          <v:rect style="width:0;height:1.5pt" o:hralign="center" o:hrstd="t" o:hr="t"/>
        </w:pict>
      </w:r>
    </w:p>
    <w:bookmarkEnd w:id="11"/>
    <w:bookmarkStart w:id="12" w:name="executive-summary"/>
    <w:p>
      <w:pPr>
        <w:pStyle w:val="Heading2"/>
      </w:pPr>
      <w:r>
        <w:t xml:space="preserve">Executive summary</w:t>
      </w:r>
    </w:p>
    <w:p>
      <w:pPr>
        <w:pStyle w:val="FirstParagraph"/>
      </w:pPr>
      <w:r>
        <w:t xml:space="preserve">The AMGCR Earthquake Research project delivers a documented, script-driven workflow from FDSN earthquake catalogues and waveforms to machine-learning-ready features, aligned with European expectations for transparent natural-hazard research. Using ObsPy and public USGS (events) and EarthScope (waveforms) services, the pilot acquired eight vertical broadband (BHZ) MiniSEED recordings (magnitudes 4.05–4.87, 2024) and performed exploratory data analysis, STA/LTA-based onsite metrics, band-limited preprocessing, and extraction of an 8×18 feature matrix.</w:t>
      </w:r>
    </w:p>
    <w:p>
      <w:pPr>
        <w:pStyle w:val="BodyText"/>
      </w:pPr>
      <w:r>
        <w:t xml:space="preserve">Main findings (completed pilot):</w:t>
      </w:r>
    </w:p>
    <w:p>
      <w:pPr>
        <w:pStyle w:val="Compact"/>
        <w:numPr>
          <w:ilvl w:val="0"/>
          <w:numId w:val="1001"/>
        </w:numPr>
      </w:pPr>
      <w:r>
        <w:t xml:space="preserve">A reproducible end-to-end chain exists from manifest CSV through tables, JSON summaries, and figures under</w:t>
      </w:r>
      <w:r>
        <w:t xml:space="preserve"> </w:t>
      </w:r>
      <w:r>
        <w:rPr>
          <w:rStyle w:val="VerbatimChar"/>
        </w:rPr>
        <w:t xml:space="preserve">reports/</w:t>
      </w:r>
      <w:r>
        <w:t xml:space="preserve">.</w:t>
      </w:r>
    </w:p>
    <w:p>
      <w:pPr>
        <w:pStyle w:val="Compact"/>
        <w:numPr>
          <w:ilvl w:val="0"/>
          <w:numId w:val="1001"/>
        </w:numPr>
      </w:pPr>
      <w:r>
        <w:t xml:space="preserve">Raw amplitudes in digital counts vary by orders of magnitude across events and stations (CI.ADO vs CI.USC), reflecting path, site, and gain rather than a homogeneous magnitude–amplitude relation at N=8.</w:t>
      </w:r>
    </w:p>
    <w:p>
      <w:pPr>
        <w:pStyle w:val="Compact"/>
        <w:numPr>
          <w:ilvl w:val="0"/>
          <w:numId w:val="1001"/>
        </w:numPr>
      </w:pPr>
      <w:r>
        <w:t xml:space="preserve">P-wave trigger times from STA/LTA range 10.15–55.15 s after trace start; late picks on several records indicate trigger limitations without pre-event windows or analyst validation.</w:t>
      </w:r>
    </w:p>
    <w:p>
      <w:pPr>
        <w:pStyle w:val="Compact"/>
        <w:numPr>
          <w:ilvl w:val="0"/>
          <w:numId w:val="1001"/>
        </w:numPr>
      </w:pPr>
      <w:r>
        <w:t xml:space="preserve">Preprocessing improves visual clarity and band-limited SNR proxies (mean peak-SNR 137 raw → 1684 filtered), but instrument response removal was not applied (0/8); amplitudes remain in counts, not physical ground-motion units.</w:t>
      </w:r>
    </w:p>
    <w:p>
      <w:pPr>
        <w:pStyle w:val="Compact"/>
        <w:numPr>
          <w:ilvl w:val="0"/>
          <w:numId w:val="1001"/>
        </w:numPr>
      </w:pPr>
      <w:r>
        <w:t xml:space="preserve">Feature statistics and correlations are illustrative only at eight events; amplitude-derived features are highly collinear, while crest factor, entropies, and zero-crossing rate offer complementary shape information.</w:t>
      </w:r>
    </w:p>
    <w:p>
      <w:pPr>
        <w:pStyle w:val="FirstParagraph"/>
      </w:pPr>
      <w:r>
        <w:t xml:space="preserve">EarthESND (Joshi, Singh, and Raman, 2026) is retained as a complete reference implementation (88 passing tests on a full checkout) for future comparative machine-learning studies, not as the geographic or scientific endpoint of this certificate work.</w:t>
      </w:r>
    </w:p>
    <w:p>
      <w:pPr>
        <w:pStyle w:val="BodyText"/>
      </w:pPr>
      <w:r>
        <w:t xml:space="preserve">European context: The same manifest-and-report pattern is proposed for ORFEUS/EIDA-class archives. No European waveform dataset is included in the completed pilot.</w:t>
      </w:r>
    </w:p>
    <w:p>
      <w:pPr>
        <w:pStyle w:val="BodyText"/>
      </w:pPr>
      <w:r>
        <w:t xml:space="preserve">Submission artefacts: Raw MiniSEED, local acquisition logs, and generated PNG figures may be absent from Git clones (</w:t>
      </w:r>
      <w:r>
        <w:rPr>
          <w:rStyle w:val="VerbatimChar"/>
        </w:rPr>
        <w:t xml:space="preserve">.gitignore</w:t>
      </w:r>
      <w:r>
        <w:t xml:space="preserve">); see Appendix C and</w:t>
      </w:r>
      <w:r>
        <w:t xml:space="preserve"> </w:t>
      </w:r>
      <w:r>
        <w:rPr>
          <w:rStyle w:val="VerbatimChar"/>
        </w:rPr>
        <w:t xml:space="preserve">docs/FINAL_DELIVERABLE_AUDIT.md</w:t>
      </w:r>
      <w:r>
        <w:t xml:space="preserve">.</w:t>
      </w:r>
    </w:p>
    <w:p>
      <w:r>
        <w:pict>
          <v:rect style="width:0;height:1.5pt" o:hralign="center" o:hrstd="t" o:hr="t"/>
        </w:pict>
      </w:r>
    </w:p>
    <w:bookmarkEnd w:id="12"/>
    <w:bookmarkStart w:id="13" w:name="abstract"/>
    <w:p>
      <w:pPr>
        <w:pStyle w:val="Heading2"/>
      </w:pPr>
      <w:r>
        <w:t xml:space="preserve">Abstract</w:t>
      </w:r>
    </w:p>
    <w:p>
      <w:pPr>
        <w:pStyle w:val="FirstParagraph"/>
      </w:pPr>
      <w:r>
        <w:t xml:space="preserve">Earthquake Early Warning delivers rapid estimates of ground shaking ahead of destructive S-wave arrival, combining seismological data acquisition, onsite triggering, signal processing, and increasingly machine-learning-based magnitude and intensity prediction. European programmes require transparent, reproducible workflows that can be audited, extended across national networks, and aligned with open data policies; however, many published pipelines remain tied to region-specific archives or proprietary tooling.</w:t>
      </w:r>
    </w:p>
    <w:p>
      <w:pPr>
        <w:pStyle w:val="BodyText"/>
      </w:pPr>
      <w:r>
        <w:t xml:space="preserve">The proposed work presents the AMGCR Earthquake Research project: a European-focused certificate programme whose primary long-term target is Earthquake Early Warning-oriented analysis on European seismic networks, while California serves as the completed pilot implementation for method validation. Using ObsPy and FDSN services (USGS event metadata; EarthScope waveforms), eight MiniSEED recordings (magnitude 4.05–4.87, 2024) were acquired. Exploratory data analysis, STA/LTA-based signal characterisation, documented preprocessing, and extraction of an 8×18 feature matrix were executed. Results confirm a reproducible path from raw waveforms to machine-learning-ready descriptors, while exposing limitations that must be addressed before operational European deployment: origin-aligned download windows, absent instrument response correction in the pilot run, small sample size, and station-selection bias. Proposed future work includes scaling datasets, integrating ORFEUS/EIDA-class European archives, response-corrected amplitudes, and comparative evaluation of modern onsite artificial intelligence models on Western data. The reproducible workflow, scripts, and artefacts are available at https://github.com/prasun-iitj/AMGCR-Earthquake-Early-Warning.</w:t>
      </w:r>
    </w:p>
    <w:p>
      <w:pPr>
        <w:pStyle w:val="BodyText"/>
      </w:pPr>
      <w:r>
        <w:t xml:space="preserve">Keywords: Earthquakes; Earthquake Early Warning Systems; Machine Learning; Deep Learning; ObsPy; reproducible research; feature engineering; Europe; California pilot; EarthScope; USGS.</w:t>
      </w:r>
    </w:p>
    <w:p>
      <w:r>
        <w:pict>
          <v:rect style="width:0;height:1.5pt" o:hralign="center" o:hrstd="t" o:hr="t"/>
        </w:pict>
      </w:r>
    </w:p>
    <w:bookmarkEnd w:id="13"/>
    <w:bookmarkStart w:id="14" w:name="table-of-contents"/>
    <w:p>
      <w:pPr>
        <w:pStyle w:val="Heading2"/>
      </w:pPr>
      <w:r>
        <w:t xml:space="preserve">Table of contents</w:t>
      </w:r>
    </w:p>
    <w:p>
      <w:pPr>
        <w:pStyle w:val="Compact"/>
        <w:numPr>
          <w:ilvl w:val="0"/>
          <w:numId w:val="1002"/>
        </w:numPr>
      </w:pPr>
      <w:hyperlink w:anchor="Xe3d0fc0bea9a42ce7605565d0964033d7f6ee47">
        <w:r>
          <w:rPr>
            <w:rStyle w:val="Hyperlink"/>
          </w:rPr>
          <w:t xml:space="preserve">Introduction</w:t>
        </w:r>
      </w:hyperlink>
      <w:r>
        <w:br/>
      </w:r>
    </w:p>
    <w:p>
      <w:pPr>
        <w:pStyle w:val="Compact"/>
        <w:numPr>
          <w:ilvl w:val="0"/>
          <w:numId w:val="1002"/>
        </w:numPr>
      </w:pPr>
      <w:hyperlink w:anchor="Xe6f33f15488280d70f3858ac5d64bf720282e0a">
        <w:r>
          <w:rPr>
            <w:rStyle w:val="Hyperlink"/>
          </w:rPr>
          <w:t xml:space="preserve">Literature review</w:t>
        </w:r>
      </w:hyperlink>
      <w:r>
        <w:br/>
      </w:r>
    </w:p>
    <w:p>
      <w:pPr>
        <w:pStyle w:val="Compact"/>
        <w:numPr>
          <w:ilvl w:val="0"/>
          <w:numId w:val="1002"/>
        </w:numPr>
      </w:pPr>
      <w:hyperlink w:anchor="X117e8e3214ca56369e8a22028aa926813b1c7ab">
        <w:r>
          <w:rPr>
            <w:rStyle w:val="Hyperlink"/>
          </w:rPr>
          <w:t xml:space="preserve">Research gap</w:t>
        </w:r>
      </w:hyperlink>
      <w:r>
        <w:br/>
      </w:r>
    </w:p>
    <w:p>
      <w:pPr>
        <w:pStyle w:val="Compact"/>
        <w:numPr>
          <w:ilvl w:val="0"/>
          <w:numId w:val="1002"/>
        </w:numPr>
      </w:pPr>
      <w:hyperlink w:anchor="Xad21fcd1e8a0ca17c030ad32dd23e01c29cbf89">
        <w:r>
          <w:rPr>
            <w:rStyle w:val="Hyperlink"/>
          </w:rPr>
          <w:t xml:space="preserve">Objectives</w:t>
        </w:r>
      </w:hyperlink>
      <w:r>
        <w:br/>
      </w:r>
    </w:p>
    <w:p>
      <w:pPr>
        <w:pStyle w:val="Compact"/>
        <w:numPr>
          <w:ilvl w:val="0"/>
          <w:numId w:val="1002"/>
        </w:numPr>
      </w:pPr>
      <w:hyperlink w:anchor="Xe8dffa8213262ebc09c88f9adff60425c2a7123">
        <w:r>
          <w:rPr>
            <w:rStyle w:val="Hyperlink"/>
          </w:rPr>
          <w:t xml:space="preserve">Dataset</w:t>
        </w:r>
      </w:hyperlink>
      <w:r>
        <w:br/>
      </w:r>
    </w:p>
    <w:p>
      <w:pPr>
        <w:pStyle w:val="Compact"/>
        <w:numPr>
          <w:ilvl w:val="0"/>
          <w:numId w:val="1002"/>
        </w:numPr>
      </w:pPr>
      <w:hyperlink w:anchor="X2baa9698e2c0fdb98ce8ebc23c2531dbbffab09">
        <w:r>
          <w:rPr>
            <w:rStyle w:val="Hyperlink"/>
          </w:rPr>
          <w:t xml:space="preserve">Methodology</w:t>
        </w:r>
      </w:hyperlink>
      <w:r>
        <w:br/>
      </w:r>
    </w:p>
    <w:p>
      <w:pPr>
        <w:pStyle w:val="Compact"/>
        <w:numPr>
          <w:ilvl w:val="0"/>
          <w:numId w:val="1002"/>
        </w:numPr>
      </w:pPr>
      <w:hyperlink w:anchor="Xe8d0a9e00d1a736e23f17dd710f7a3bf000b1eb">
        <w:r>
          <w:rPr>
            <w:rStyle w:val="Hyperlink"/>
          </w:rPr>
          <w:t xml:space="preserve">California pilot workflow and execution</w:t>
        </w:r>
      </w:hyperlink>
      <w:r>
        <w:br/>
      </w:r>
    </w:p>
    <w:p>
      <w:pPr>
        <w:pStyle w:val="Compact"/>
        <w:numPr>
          <w:ilvl w:val="0"/>
          <w:numId w:val="1002"/>
        </w:numPr>
      </w:pPr>
      <w:hyperlink w:anchor="X951ddb9af1a1011f14dee219f8899dcd5c597c4">
        <w:r>
          <w:rPr>
            <w:rStyle w:val="Hyperlink"/>
          </w:rPr>
          <w:t xml:space="preserve">Results</w:t>
        </w:r>
      </w:hyperlink>
      <w:r>
        <w:br/>
      </w:r>
    </w:p>
    <w:p>
      <w:pPr>
        <w:pStyle w:val="Compact"/>
        <w:numPr>
          <w:ilvl w:val="0"/>
          <w:numId w:val="1002"/>
        </w:numPr>
      </w:pPr>
      <w:hyperlink w:anchor="X7c81bf03759b1b00759d96e3a328e2270cfccbb">
        <w:r>
          <w:rPr>
            <w:rStyle w:val="Hyperlink"/>
          </w:rPr>
          <w:t xml:space="preserve">Discussion</w:t>
        </w:r>
      </w:hyperlink>
      <w:r>
        <w:br/>
      </w:r>
    </w:p>
    <w:p>
      <w:pPr>
        <w:pStyle w:val="Compact"/>
        <w:numPr>
          <w:ilvl w:val="0"/>
          <w:numId w:val="1002"/>
        </w:numPr>
      </w:pPr>
      <w:hyperlink w:anchor="Xf088ddd764868840f034f64e46f2ba704d01216">
        <w:r>
          <w:rPr>
            <w:rStyle w:val="Hyperlink"/>
          </w:rPr>
          <w:t xml:space="preserve">Limitations and threats to validity</w:t>
        </w:r>
      </w:hyperlink>
      <w:r>
        <w:br/>
      </w:r>
    </w:p>
    <w:p>
      <w:pPr>
        <w:pStyle w:val="Compact"/>
        <w:numPr>
          <w:ilvl w:val="0"/>
          <w:numId w:val="1002"/>
        </w:numPr>
      </w:pPr>
      <w:hyperlink w:anchor="Xb18e0bbc60aa3f25485509ea80a4a26ebf58ceb">
        <w:r>
          <w:rPr>
            <w:rStyle w:val="Hyperlink"/>
          </w:rPr>
          <w:t xml:space="preserve">European context and transfer</w:t>
        </w:r>
      </w:hyperlink>
      <w:r>
        <w:br/>
      </w:r>
    </w:p>
    <w:p>
      <w:pPr>
        <w:pStyle w:val="Compact"/>
        <w:numPr>
          <w:ilvl w:val="0"/>
          <w:numId w:val="1002"/>
        </w:numPr>
      </w:pPr>
      <w:hyperlink w:anchor="X12b4bf1503b5a6b63113363a286caeb6d484516">
        <w:r>
          <w:rPr>
            <w:rStyle w:val="Hyperlink"/>
          </w:rPr>
          <w:t xml:space="preserve">Future work and expected outcomes</w:t>
        </w:r>
      </w:hyperlink>
      <w:r>
        <w:br/>
      </w:r>
    </w:p>
    <w:p>
      <w:pPr>
        <w:pStyle w:val="Compact"/>
        <w:numPr>
          <w:ilvl w:val="0"/>
          <w:numId w:val="1002"/>
        </w:numPr>
      </w:pPr>
      <w:hyperlink w:anchor="X26ffe7e10d4b7d62fb0824e70a1ba03b4c1c4f2">
        <w:r>
          <w:rPr>
            <w:rStyle w:val="Hyperlink"/>
          </w:rPr>
          <w:t xml:space="preserve">Conclusion</w:t>
        </w:r>
      </w:hyperlink>
      <w:r>
        <w:br/>
      </w:r>
    </w:p>
    <w:p>
      <w:pPr>
        <w:pStyle w:val="Compact"/>
        <w:numPr>
          <w:ilvl w:val="0"/>
          <w:numId w:val="1002"/>
        </w:numPr>
      </w:pPr>
      <w:hyperlink w:anchor="Xf8afe345782cbed00f3c2830abd05d0a5ea4b9a">
        <w:r>
          <w:rPr>
            <w:rStyle w:val="Hyperlink"/>
          </w:rPr>
          <w:t xml:space="preserve">References</w:t>
        </w:r>
      </w:hyperlink>
      <w:r>
        <w:br/>
      </w:r>
    </w:p>
    <w:p>
      <w:pPr>
        <w:pStyle w:val="Compact"/>
        <w:numPr>
          <w:ilvl w:val="0"/>
          <w:numId w:val="1002"/>
        </w:numPr>
      </w:pPr>
      <w:hyperlink w:anchor="X1dc6eb178acd08843c618a564c68a13ab82d23e">
        <w:r>
          <w:rPr>
            <w:rStyle w:val="Hyperlink"/>
          </w:rPr>
          <w:t xml:space="preserve">Statement of evidence support</w:t>
        </w:r>
      </w:hyperlink>
      <w:r>
        <w:br/>
      </w:r>
    </w:p>
    <w:p>
      <w:pPr>
        <w:pStyle w:val="Compact"/>
        <w:numPr>
          <w:ilvl w:val="0"/>
          <w:numId w:val="1003"/>
        </w:numPr>
      </w:pPr>
      <w:hyperlink w:anchor="Xe272ddd932a47c9d75e89f1bb3f76b3e28898f1">
        <w:r>
          <w:rPr>
            <w:rStyle w:val="Hyperlink"/>
          </w:rPr>
          <w:t xml:space="preserve">Appendix A — Pilot event and station tables</w:t>
        </w:r>
      </w:hyperlink>
      <w:r>
        <w:br/>
      </w:r>
    </w:p>
    <w:p>
      <w:pPr>
        <w:pStyle w:val="Compact"/>
        <w:numPr>
          <w:ilvl w:val="0"/>
          <w:numId w:val="1003"/>
        </w:numPr>
      </w:pPr>
      <w:hyperlink w:anchor="X3bab7bdd1f4576a100820cdb05bef7b1d3c0ffa">
        <w:r>
          <w:rPr>
            <w:rStyle w:val="Hyperlink"/>
          </w:rPr>
          <w:t xml:space="preserve">Appendix B — Reproducibility statement (D-S1)</w:t>
        </w:r>
      </w:hyperlink>
      <w:r>
        <w:br/>
      </w:r>
    </w:p>
    <w:p>
      <w:pPr>
        <w:pStyle w:val="Compact"/>
        <w:numPr>
          <w:ilvl w:val="0"/>
          <w:numId w:val="1003"/>
        </w:numPr>
      </w:pPr>
      <w:hyperlink w:anchor="Xeaa86d69ccdb026800ebb896ba2b0ec0cb0b7bb">
        <w:r>
          <w:rPr>
            <w:rStyle w:val="Hyperlink"/>
          </w:rPr>
          <w:t xml:space="preserve">Appendix C — Data availability and ethics statement (D-S2)</w:t>
        </w:r>
      </w:hyperlink>
      <w:r>
        <w:br/>
      </w:r>
    </w:p>
    <w:p>
      <w:pPr>
        <w:pStyle w:val="Compact"/>
        <w:numPr>
          <w:ilvl w:val="0"/>
          <w:numId w:val="1003"/>
        </w:numPr>
      </w:pPr>
      <w:hyperlink w:anchor="X92e5d26766646457e95f2993a6f6dc9cb72a2a6">
        <w:r>
          <w:rPr>
            <w:rStyle w:val="Hyperlink"/>
          </w:rPr>
          <w:t xml:space="preserve">Appendix D — Supplementary per-event figures</w:t>
        </w:r>
      </w:hyperlink>
      <w:r>
        <w:br/>
      </w:r>
    </w:p>
    <w:p>
      <w:pPr>
        <w:pStyle w:val="Compact"/>
        <w:numPr>
          <w:ilvl w:val="0"/>
          <w:numId w:val="1003"/>
        </w:numPr>
      </w:pPr>
      <w:hyperlink w:anchor="X9f98ed95261f81fd6f580e76e7b0f8fe326790b">
        <w:r>
          <w:rPr>
            <w:rStyle w:val="Hyperlink"/>
          </w:rPr>
          <w:t xml:space="preserve">Appendix E — Machine-readable summary index</w:t>
        </w:r>
      </w:hyperlink>
      <w:r>
        <w:br/>
      </w:r>
    </w:p>
    <w:p>
      <w:pPr>
        <w:pStyle w:val="Compact"/>
        <w:numPr>
          <w:ilvl w:val="0"/>
          <w:numId w:val="1003"/>
        </w:numPr>
      </w:pPr>
      <w:hyperlink w:anchor="Xeae53c86415a9da6b47f14fe2e2ea2fafa75a9a">
        <w:r>
          <w:rPr>
            <w:rStyle w:val="Hyperlink"/>
          </w:rPr>
          <w:t xml:space="preserve">Appendix F — Programme positioning and document scope (supplementary)</w:t>
        </w:r>
      </w:hyperlink>
    </w:p>
    <w:p>
      <w:r>
        <w:pict>
          <v:rect style="width:0;height:1.5pt" o:hralign="center" o:hrstd="t" o:hr="t"/>
        </w:pict>
      </w:r>
    </w:p>
    <w:bookmarkEnd w:id="14"/>
    <w:bookmarkStart w:id="15" w:name="list-of-figures"/>
    <w:p>
      <w:pPr>
        <w:pStyle w:val="Heading2"/>
      </w:pPr>
      <w:r>
        <w:t xml:space="preserve">List of figures</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t xml:space="preserve">Figure</w:t>
            </w:r>
          </w:p>
        </w:tc>
        <w:tc>
          <w:tcPr/>
          <w:p>
            <w:pPr>
              <w:pStyle w:val="Compact"/>
            </w:pPr>
            <w:r>
              <w:t xml:space="preserve">File</w:t>
            </w:r>
          </w:p>
        </w:tc>
        <w:tc>
          <w:tcPr/>
          <w:p>
            <w:pPr>
              <w:pStyle w:val="Compact"/>
            </w:pPr>
            <w:r>
              <w:t xml:space="preserve">Section</w:t>
            </w:r>
          </w:p>
        </w:tc>
      </w:tr>
      <w:tr>
        <w:tc>
          <w:tcPr/>
          <w:p>
            <w:pPr>
              <w:pStyle w:val="Compact"/>
            </w:pPr>
            <w:r>
              <w:t xml:space="preserve">Figure 1</w:t>
            </w:r>
          </w:p>
        </w:tc>
        <w:tc>
          <w:tcPr/>
          <w:p>
            <w:pPr>
              <w:pStyle w:val="Compact"/>
            </w:pPr>
            <w:r>
              <w:rPr>
                <w:rStyle w:val="VerbatimChar"/>
              </w:rPr>
              <w:t xml:space="preserve">figures/example_waveform_raw.png</w:t>
            </w:r>
          </w:p>
        </w:tc>
        <w:tc>
          <w:tcPr/>
          <w:p>
            <w:pPr>
              <w:pStyle w:val="Compact"/>
            </w:pPr>
            <w:r>
              <w:t xml:space="preserve">§8.1</w:t>
            </w:r>
          </w:p>
        </w:tc>
      </w:tr>
      <w:tr>
        <w:tc>
          <w:tcPr/>
          <w:p>
            <w:pPr>
              <w:pStyle w:val="Compact"/>
            </w:pPr>
            <w:r>
              <w:t xml:space="preserve">Figure 2</w:t>
            </w:r>
          </w:p>
        </w:tc>
        <w:tc>
          <w:tcPr/>
          <w:p>
            <w:pPr>
              <w:pStyle w:val="Compact"/>
            </w:pPr>
            <w:r>
              <w:rPr>
                <w:rStyle w:val="VerbatimChar"/>
              </w:rPr>
              <w:t xml:space="preserve">figures/magnitude_histogram.png</w:t>
            </w:r>
          </w:p>
        </w:tc>
        <w:tc>
          <w:tcPr/>
          <w:p>
            <w:pPr>
              <w:pStyle w:val="Compact"/>
            </w:pPr>
            <w:r>
              <w:t xml:space="preserve">§8.1</w:t>
            </w:r>
          </w:p>
        </w:tc>
      </w:tr>
      <w:tr>
        <w:tc>
          <w:tcPr/>
          <w:p>
            <w:pPr>
              <w:pStyle w:val="Compact"/>
            </w:pPr>
            <w:r>
              <w:t xml:space="preserve">Figure 3</w:t>
            </w:r>
          </w:p>
        </w:tc>
        <w:tc>
          <w:tcPr/>
          <w:p>
            <w:pPr>
              <w:pStyle w:val="Compact"/>
            </w:pPr>
            <w:r>
              <w:rPr>
                <w:rStyle w:val="VerbatimChar"/>
              </w:rPr>
              <w:t xml:space="preserve">figures/events_over_time.png</w:t>
            </w:r>
          </w:p>
        </w:tc>
        <w:tc>
          <w:tcPr/>
          <w:p>
            <w:pPr>
              <w:pStyle w:val="Compact"/>
            </w:pPr>
            <w:r>
              <w:t xml:space="preserve">§8.1</w:t>
            </w:r>
          </w:p>
        </w:tc>
      </w:tr>
      <w:tr>
        <w:tc>
          <w:tcPr/>
          <w:p>
            <w:pPr>
              <w:pStyle w:val="Compact"/>
            </w:pPr>
            <w:r>
              <w:t xml:space="preserve">Figure 4</w:t>
            </w:r>
          </w:p>
        </w:tc>
        <w:tc>
          <w:tcPr/>
          <w:p>
            <w:pPr>
              <w:pStyle w:val="Compact"/>
            </w:pPr>
            <w:r>
              <w:rPr>
                <w:rStyle w:val="VerbatimChar"/>
              </w:rPr>
              <w:t xml:space="preserve">figures/station_usage_frequency.png</w:t>
            </w:r>
          </w:p>
        </w:tc>
        <w:tc>
          <w:tcPr/>
          <w:p>
            <w:pPr>
              <w:pStyle w:val="Compact"/>
            </w:pPr>
            <w:r>
              <w:t xml:space="preserve">§8.1</w:t>
            </w:r>
          </w:p>
        </w:tc>
      </w:tr>
      <w:tr>
        <w:tc>
          <w:tcPr/>
          <w:p>
            <w:pPr>
              <w:pStyle w:val="Compact"/>
            </w:pPr>
            <w:r>
              <w:t xml:space="preserve">Figure 5</w:t>
            </w:r>
          </w:p>
        </w:tc>
        <w:tc>
          <w:tcPr/>
          <w:p>
            <w:pPr>
              <w:pStyle w:val="Compact"/>
            </w:pPr>
            <w:r>
              <w:rPr>
                <w:rStyle w:val="VerbatimChar"/>
              </w:rPr>
              <w:t xml:space="preserve">figures/signal_analysis_ci40675215.png</w:t>
            </w:r>
          </w:p>
        </w:tc>
        <w:tc>
          <w:tcPr/>
          <w:p>
            <w:pPr>
              <w:pStyle w:val="Compact"/>
            </w:pPr>
            <w:r>
              <w:t xml:space="preserve">§8.2</w:t>
            </w:r>
          </w:p>
        </w:tc>
      </w:tr>
      <w:tr>
        <w:tc>
          <w:tcPr/>
          <w:p>
            <w:pPr>
              <w:pStyle w:val="Compact"/>
            </w:pPr>
            <w:r>
              <w:t xml:space="preserve">Figure 6</w:t>
            </w:r>
          </w:p>
        </w:tc>
        <w:tc>
          <w:tcPr/>
          <w:p>
            <w:pPr>
              <w:pStyle w:val="Compact"/>
            </w:pPr>
            <w:r>
              <w:rPr>
                <w:rStyle w:val="VerbatimChar"/>
              </w:rPr>
              <w:t xml:space="preserve">figures/signal_analysis_ci40699207.png</w:t>
            </w:r>
          </w:p>
        </w:tc>
        <w:tc>
          <w:tcPr/>
          <w:p>
            <w:pPr>
              <w:pStyle w:val="Compact"/>
            </w:pPr>
            <w:r>
              <w:t xml:space="preserve">§8.2</w:t>
            </w:r>
          </w:p>
        </w:tc>
      </w:tr>
      <w:tr>
        <w:tc>
          <w:tcPr/>
          <w:p>
            <w:pPr>
              <w:pStyle w:val="Compact"/>
            </w:pPr>
            <w:r>
              <w:t xml:space="preserve">Figure 7</w:t>
            </w:r>
          </w:p>
        </w:tc>
        <w:tc>
          <w:tcPr/>
          <w:p>
            <w:pPr>
              <w:pStyle w:val="Compact"/>
            </w:pPr>
            <w:r>
              <w:rPr>
                <w:rStyle w:val="VerbatimChar"/>
              </w:rPr>
              <w:t xml:space="preserve">figures/preprocessing_ci40675215.png</w:t>
            </w:r>
          </w:p>
        </w:tc>
        <w:tc>
          <w:tcPr/>
          <w:p>
            <w:pPr>
              <w:pStyle w:val="Compact"/>
            </w:pPr>
            <w:r>
              <w:t xml:space="preserve">§8.3</w:t>
            </w:r>
          </w:p>
        </w:tc>
      </w:tr>
      <w:tr>
        <w:tc>
          <w:tcPr/>
          <w:p>
            <w:pPr>
              <w:pStyle w:val="Compact"/>
            </w:pPr>
            <w:r>
              <w:t xml:space="preserve">Figure 8</w:t>
            </w:r>
          </w:p>
        </w:tc>
        <w:tc>
          <w:tcPr/>
          <w:p>
            <w:pPr>
              <w:pStyle w:val="Compact"/>
            </w:pPr>
            <w:r>
              <w:rPr>
                <w:rStyle w:val="VerbatimChar"/>
              </w:rPr>
              <w:t xml:space="preserve">figures/preprocessing_ci40699207.png</w:t>
            </w:r>
          </w:p>
        </w:tc>
        <w:tc>
          <w:tcPr/>
          <w:p>
            <w:pPr>
              <w:pStyle w:val="Compact"/>
            </w:pPr>
            <w:r>
              <w:t xml:space="preserve">§8.3</w:t>
            </w:r>
          </w:p>
        </w:tc>
      </w:tr>
      <w:tr>
        <w:tc>
          <w:tcPr/>
          <w:p>
            <w:pPr>
              <w:pStyle w:val="Compact"/>
            </w:pPr>
            <w:r>
              <w:t xml:space="preserve">Figure 9</w:t>
            </w:r>
          </w:p>
        </w:tc>
        <w:tc>
          <w:tcPr/>
          <w:p>
            <w:pPr>
              <w:pStyle w:val="Compact"/>
            </w:pPr>
            <w:r>
              <w:rPr>
                <w:rStyle w:val="VerbatimChar"/>
              </w:rPr>
              <w:t xml:space="preserve">figures/feature_engineering_fft_spectra.png</w:t>
            </w:r>
          </w:p>
        </w:tc>
        <w:tc>
          <w:tcPr/>
          <w:p>
            <w:pPr>
              <w:pStyle w:val="Compact"/>
            </w:pPr>
            <w:r>
              <w:t xml:space="preserve">§8.4</w:t>
            </w:r>
          </w:p>
        </w:tc>
      </w:tr>
      <w:tr>
        <w:tc>
          <w:tcPr/>
          <w:p>
            <w:pPr>
              <w:pStyle w:val="Compact"/>
            </w:pPr>
            <w:r>
              <w:t xml:space="preserve">Figure 10</w:t>
            </w:r>
          </w:p>
        </w:tc>
        <w:tc>
          <w:tcPr/>
          <w:p>
            <w:pPr>
              <w:pStyle w:val="Compact"/>
            </w:pPr>
            <w:r>
              <w:rPr>
                <w:rStyle w:val="VerbatimChar"/>
              </w:rPr>
              <w:t xml:space="preserve">figures/feature_correlation_heatmap.png</w:t>
            </w:r>
          </w:p>
        </w:tc>
        <w:tc>
          <w:tcPr/>
          <w:p>
            <w:pPr>
              <w:pStyle w:val="Compact"/>
            </w:pPr>
            <w:r>
              <w:t xml:space="preserve">§8.4</w:t>
            </w:r>
          </w:p>
        </w:tc>
      </w:tr>
      <w:tr>
        <w:tc>
          <w:tcPr/>
          <w:p>
            <w:pPr>
              <w:pStyle w:val="Compact"/>
            </w:pPr>
            <w:r>
              <w:t xml:space="preserve">Figure 11</w:t>
            </w:r>
          </w:p>
        </w:tc>
        <w:tc>
          <w:tcPr/>
          <w:p>
            <w:pPr>
              <w:pStyle w:val="Compact"/>
            </w:pPr>
            <w:r>
              <w:rPr>
                <w:rStyle w:val="VerbatimChar"/>
              </w:rPr>
              <w:t xml:space="preserve">figures/feature_distributions.png</w:t>
            </w:r>
          </w:p>
        </w:tc>
        <w:tc>
          <w:tcPr/>
          <w:p>
            <w:pPr>
              <w:pStyle w:val="Compact"/>
            </w:pPr>
            <w:r>
              <w:t xml:space="preserve">§8.4</w:t>
            </w:r>
          </w:p>
        </w:tc>
      </w:tr>
      <w:tr>
        <w:tc>
          <w:tcPr/>
          <w:p>
            <w:pPr>
              <w:pStyle w:val="Compact"/>
            </w:pPr>
            <w:r>
              <w:t xml:space="preserve">Figure 12</w:t>
            </w:r>
          </w:p>
        </w:tc>
        <w:tc>
          <w:tcPr/>
          <w:p>
            <w:pPr>
              <w:pStyle w:val="Compact"/>
            </w:pPr>
            <w:r>
              <w:rPr>
                <w:rStyle w:val="VerbatimChar"/>
              </w:rPr>
              <w:t xml:space="preserve">figures/feature_boxplots_by_station.png</w:t>
            </w:r>
          </w:p>
        </w:tc>
        <w:tc>
          <w:tcPr/>
          <w:p>
            <w:pPr>
              <w:pStyle w:val="Compact"/>
            </w:pPr>
            <w:r>
              <w:t xml:space="preserve">§8.4</w:t>
            </w:r>
          </w:p>
        </w:tc>
      </w:tr>
      <w:tr>
        <w:tc>
          <w:tcPr/>
          <w:p>
            <w:pPr>
              <w:pStyle w:val="Compact"/>
            </w:pPr>
            <w:r>
              <w:t xml:space="preserve">Figure D1–D6</w:t>
            </w:r>
          </w:p>
        </w:tc>
        <w:tc>
          <w:tcPr/>
          <w:p>
            <w:pPr>
              <w:pStyle w:val="Compact"/>
            </w:pPr>
            <w:r>
              <w:rPr>
                <w:rStyle w:val="VerbatimChar"/>
              </w:rPr>
              <w:t xml:space="preserve">figures/signal_analysis_ci40593503.png</w:t>
            </w:r>
            <w:r>
              <w:t xml:space="preserve"> </w:t>
            </w:r>
            <w:r>
              <w:t xml:space="preserve">… (see Appendix D)</w:t>
            </w:r>
          </w:p>
        </w:tc>
        <w:tc>
          <w:tcPr/>
          <w:p>
            <w:pPr>
              <w:pStyle w:val="Compact"/>
            </w:pPr>
            <w:r>
              <w:t xml:space="preserve">Appendix D</w:t>
            </w:r>
          </w:p>
        </w:tc>
      </w:tr>
      <w:tr>
        <w:tc>
          <w:tcPr/>
          <w:p>
            <w:pPr>
              <w:pStyle w:val="Compact"/>
            </w:pPr>
            <w:r>
              <w:t xml:space="preserve">Figure D7–D12</w:t>
            </w:r>
          </w:p>
        </w:tc>
        <w:tc>
          <w:tcPr/>
          <w:p>
            <w:pPr>
              <w:pStyle w:val="Compact"/>
            </w:pPr>
            <w:r>
              <w:rPr>
                <w:rStyle w:val="VerbatimChar"/>
              </w:rPr>
              <w:t xml:space="preserve">figures/preprocessing_ci40593503.png</w:t>
            </w:r>
            <w:r>
              <w:t xml:space="preserve"> </w:t>
            </w:r>
            <w:r>
              <w:t xml:space="preserve">… (see Appendix D)</w:t>
            </w:r>
          </w:p>
        </w:tc>
        <w:tc>
          <w:tcPr/>
          <w:p>
            <w:pPr>
              <w:pStyle w:val="Compact"/>
            </w:pPr>
            <w:r>
              <w:t xml:space="preserve">Appendix D</w:t>
            </w:r>
          </w:p>
        </w:tc>
      </w:tr>
    </w:tbl>
    <w:p>
      <w:pPr>
        <w:pStyle w:val="BodyText"/>
      </w:pPr>
      <w:r>
        <w:rPr>
          <w:i/>
          <w:iCs/>
        </w:rPr>
        <w:t xml:space="preserve">All paths relative to this file’s directory (</w:t>
      </w:r>
      <w:r>
        <w:rPr>
          <w:rStyle w:val="VerbatimChar"/>
          <w:i/>
          <w:iCs/>
        </w:rPr>
        <w:t xml:space="preserve">reports/</w:t>
      </w:r>
      <w:r>
        <w:rPr>
          <w:i/>
          <w:iCs/>
        </w:rPr>
        <w:t xml:space="preserve">). Full set: 24 PNGs per</w:t>
      </w:r>
      <w:r>
        <w:rPr>
          <w:i/>
          <w:iCs/>
        </w:rPr>
        <w:t xml:space="preserve"> </w:t>
      </w:r>
      <w:r>
        <w:rPr>
          <w:rStyle w:val="VerbatimChar"/>
          <w:i/>
          <w:iCs/>
        </w:rPr>
        <w:t xml:space="preserve">docs/FINAL_DELIVERABLE_AUDIT.md</w:t>
      </w:r>
      <w:r>
        <w:rPr>
          <w:i/>
          <w:iCs/>
        </w:rPr>
        <w:t xml:space="preserve">.</w:t>
      </w:r>
    </w:p>
    <w:p>
      <w:r>
        <w:pict>
          <v:rect style="width:0;height:1.5pt" o:hralign="center" o:hrstd="t" o:hr="t"/>
        </w:pict>
      </w:r>
    </w:p>
    <w:bookmarkEnd w:id="15"/>
    <w:bookmarkStart w:id="16" w:name="list-of-tables"/>
    <w:p>
      <w:pPr>
        <w:pStyle w:val="Heading2"/>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Source</w:t>
            </w:r>
          </w:p>
        </w:tc>
        <w:tc>
          <w:tcPr/>
          <w:p>
            <w:pPr>
              <w:pStyle w:val="Compact"/>
            </w:pPr>
            <w:r>
              <w:t xml:space="preserve">Section</w:t>
            </w:r>
          </w:p>
        </w:tc>
      </w:tr>
      <w:tr>
        <w:tc>
          <w:tcPr/>
          <w:p>
            <w:pPr>
              <w:pStyle w:val="Compact"/>
            </w:pPr>
            <w:r>
              <w:t xml:space="preserve">Table 1</w:t>
            </w:r>
          </w:p>
        </w:tc>
        <w:tc>
          <w:tcPr/>
          <w:p>
            <w:pPr>
              <w:pStyle w:val="Compact"/>
            </w:pPr>
            <w:r>
              <w:t xml:space="preserve">Pilot dataset attributes</w:t>
            </w:r>
          </w:p>
        </w:tc>
        <w:tc>
          <w:tcPr/>
          <w:p>
            <w:pPr>
              <w:pStyle w:val="Compact"/>
            </w:pPr>
            <w:r>
              <w:t xml:space="preserve">§5.1</w:t>
            </w:r>
          </w:p>
        </w:tc>
      </w:tr>
      <w:tr>
        <w:tc>
          <w:tcPr/>
          <w:p>
            <w:pPr>
              <w:pStyle w:val="Compact"/>
            </w:pPr>
            <w:r>
              <w:t xml:space="preserve">Table 2</w:t>
            </w:r>
          </w:p>
        </w:tc>
        <w:tc>
          <w:tcPr/>
          <w:p>
            <w:pPr>
              <w:pStyle w:val="Compact"/>
            </w:pPr>
            <w:r>
              <w:t xml:space="preserve">FDSN query parameters (summary)</w:t>
            </w:r>
          </w:p>
        </w:tc>
        <w:tc>
          <w:tcPr/>
          <w:p>
            <w:pPr>
              <w:pStyle w:val="Compact"/>
            </w:pPr>
            <w:r>
              <w:t xml:space="preserve">§5.2</w:t>
            </w:r>
          </w:p>
        </w:tc>
      </w:tr>
      <w:tr>
        <w:tc>
          <w:tcPr/>
          <w:p>
            <w:pPr>
              <w:pStyle w:val="Compact"/>
            </w:pPr>
            <w:r>
              <w:t xml:space="preserve">Table 3</w:t>
            </w:r>
          </w:p>
        </w:tc>
        <w:tc>
          <w:tcPr/>
          <w:p>
            <w:pPr>
              <w:pStyle w:val="Compact"/>
            </w:pPr>
            <w:r>
              <w:t xml:space="preserve">Preprocessing parameters</w:t>
            </w:r>
          </w:p>
        </w:tc>
        <w:tc>
          <w:tcPr/>
          <w:p>
            <w:pPr>
              <w:pStyle w:val="Compact"/>
            </w:pPr>
            <w:r>
              <w:t xml:space="preserve">§6.4</w:t>
            </w:r>
          </w:p>
        </w:tc>
      </w:tr>
      <w:tr>
        <w:tc>
          <w:tcPr/>
          <w:p>
            <w:pPr>
              <w:pStyle w:val="Compact"/>
            </w:pPr>
            <w:r>
              <w:t xml:space="preserve">Table 4</w:t>
            </w:r>
          </w:p>
        </w:tc>
        <w:tc>
          <w:tcPr/>
          <w:p>
            <w:pPr>
              <w:pStyle w:val="Compact"/>
            </w:pPr>
            <w:r>
              <w:t xml:space="preserve">Aggregate signal metrics</w:t>
            </w:r>
          </w:p>
        </w:tc>
        <w:tc>
          <w:tcPr/>
          <w:p>
            <w:pPr>
              <w:pStyle w:val="Compact"/>
            </w:pPr>
            <w:r>
              <w:t xml:space="preserve">§8.2</w:t>
            </w:r>
          </w:p>
        </w:tc>
      </w:tr>
      <w:tr>
        <w:tc>
          <w:tcPr/>
          <w:p>
            <w:pPr>
              <w:pStyle w:val="Compact"/>
            </w:pPr>
            <w:r>
              <w:t xml:space="preserve">Table 5</w:t>
            </w:r>
          </w:p>
        </w:tc>
        <w:tc>
          <w:tcPr/>
          <w:p>
            <w:pPr>
              <w:pStyle w:val="Compact"/>
            </w:pPr>
            <w:r>
              <w:t xml:space="preserve">Station-level signal contrasts</w:t>
            </w:r>
          </w:p>
        </w:tc>
        <w:tc>
          <w:tcPr/>
          <w:p>
            <w:pPr>
              <w:pStyle w:val="Compact"/>
            </w:pPr>
            <w:r>
              <w:t xml:space="preserve">§8.2</w:t>
            </w:r>
          </w:p>
        </w:tc>
      </w:tr>
      <w:tr>
        <w:tc>
          <w:tcPr/>
          <w:p>
            <w:pPr>
              <w:pStyle w:val="Compact"/>
            </w:pPr>
            <w:r>
              <w:t xml:space="preserve">Table 6</w:t>
            </w:r>
          </w:p>
        </w:tc>
        <w:tc>
          <w:tcPr/>
          <w:p>
            <w:pPr>
              <w:pStyle w:val="Compact"/>
            </w:pPr>
            <w:r>
              <w:t xml:space="preserve">Preprocessing SNR aggregates</w:t>
            </w:r>
          </w:p>
        </w:tc>
        <w:tc>
          <w:tcPr/>
          <w:p>
            <w:pPr>
              <w:pStyle w:val="Compact"/>
            </w:pPr>
            <w:r>
              <w:t xml:space="preserve">§8.3</w:t>
            </w:r>
          </w:p>
        </w:tc>
      </w:tr>
      <w:tr>
        <w:tc>
          <w:tcPr/>
          <w:p>
            <w:pPr>
              <w:pStyle w:val="Compact"/>
            </w:pPr>
            <w:r>
              <w:t xml:space="preserve">Table 7</w:t>
            </w:r>
          </w:p>
        </w:tc>
        <w:tc>
          <w:tcPr/>
          <w:p>
            <w:pPr>
              <w:pStyle w:val="Compact"/>
            </w:pPr>
            <w:r>
              <w:t xml:space="preserve">Feature domains (18 features)</w:t>
            </w:r>
          </w:p>
        </w:tc>
        <w:tc>
          <w:tcPr/>
          <w:p>
            <w:pPr>
              <w:pStyle w:val="Compact"/>
            </w:pPr>
            <w:r>
              <w:t xml:space="preserve">§6.5</w:t>
            </w:r>
          </w:p>
        </w:tc>
      </w:tr>
      <w:tr>
        <w:tc>
          <w:tcPr/>
          <w:p>
            <w:pPr>
              <w:pStyle w:val="Compact"/>
            </w:pPr>
            <w:r>
              <w:t xml:space="preserve">Table 8</w:t>
            </w:r>
          </w:p>
        </w:tc>
        <w:tc>
          <w:tcPr/>
          <w:p>
            <w:pPr>
              <w:pStyle w:val="Compact"/>
            </w:pPr>
            <w:r>
              <w:t xml:space="preserve">Threats to validity</w:t>
            </w:r>
          </w:p>
        </w:tc>
        <w:tc>
          <w:tcPr/>
          <w:p>
            <w:pPr>
              <w:pStyle w:val="Compact"/>
            </w:pPr>
            <w:r>
              <w:t xml:space="preserve">§10.2</w:t>
            </w:r>
          </w:p>
        </w:tc>
      </w:tr>
      <w:tr>
        <w:tc>
          <w:tcPr/>
          <w:p>
            <w:pPr>
              <w:pStyle w:val="Compact"/>
            </w:pPr>
            <w:r>
              <w:t xml:space="preserve">Table A1</w:t>
            </w:r>
          </w:p>
        </w:tc>
        <w:tc>
          <w:tcPr/>
          <w:p>
            <w:pPr>
              <w:pStyle w:val="Compact"/>
            </w:pPr>
            <w:r>
              <w:t xml:space="preserve">Event summary</w:t>
            </w:r>
          </w:p>
        </w:tc>
        <w:tc>
          <w:tcPr/>
          <w:p>
            <w:pPr>
              <w:pStyle w:val="Compact"/>
            </w:pPr>
            <w:r>
              <w:t xml:space="preserve">Appendix A</w:t>
            </w:r>
          </w:p>
        </w:tc>
      </w:tr>
      <w:tr>
        <w:tc>
          <w:tcPr/>
          <w:p>
            <w:pPr>
              <w:pStyle w:val="Compact"/>
            </w:pPr>
            <w:r>
              <w:t xml:space="preserve">Table A2</w:t>
            </w:r>
          </w:p>
        </w:tc>
        <w:tc>
          <w:tcPr/>
          <w:p>
            <w:pPr>
              <w:pStyle w:val="Compact"/>
            </w:pPr>
            <w:r>
              <w:t xml:space="preserve">Station summary</w:t>
            </w:r>
          </w:p>
        </w:tc>
        <w:tc>
          <w:tcPr/>
          <w:p>
            <w:pPr>
              <w:pStyle w:val="Compact"/>
            </w:pPr>
            <w:r>
              <w:t xml:space="preserve">Appendix A</w:t>
            </w:r>
          </w:p>
        </w:tc>
      </w:tr>
    </w:tbl>
    <w:p>
      <w:pPr>
        <w:pStyle w:val="BodyText"/>
      </w:pPr>
      <w:r>
        <w:rPr>
          <w:i/>
          <w:iCs/>
        </w:rPr>
        <w:t xml:space="preserve">Full CSV exports:</w:t>
      </w:r>
      <w:r>
        <w:rPr>
          <w:i/>
          <w:iCs/>
        </w:rPr>
        <w:t xml:space="preserve"> </w:t>
      </w:r>
      <w:r>
        <w:rPr>
          <w:rStyle w:val="VerbatimChar"/>
          <w:i/>
          <w:iCs/>
        </w:rPr>
        <w:t xml:space="preserve">reports/tables/</w:t>
      </w:r>
      <w:r>
        <w:rPr>
          <w:i/>
          <w:iCs/>
        </w:rPr>
        <w:t xml:space="preserve"> </w:t>
      </w:r>
      <w:r>
        <w:rPr>
          <w:i/>
          <w:iCs/>
        </w:rPr>
        <w:t xml:space="preserve">and</w:t>
      </w:r>
      <w:r>
        <w:rPr>
          <w:i/>
          <w:iCs/>
        </w:rPr>
        <w:t xml:space="preserve"> </w:t>
      </w:r>
      <w:r>
        <w:rPr>
          <w:rStyle w:val="VerbatimChar"/>
          <w:i/>
          <w:iCs/>
        </w:rPr>
        <w:t xml:space="preserve">reports/features/feature_matrix.csv</w:t>
      </w:r>
      <w:r>
        <w:rPr>
          <w:i/>
          <w:iCs/>
        </w:rPr>
        <w:t xml:space="preserve">.</w:t>
      </w:r>
    </w:p>
    <w:p>
      <w:r>
        <w:pict>
          <v:rect style="width:0;height:1.5pt" o:hralign="center" o:hrstd="t" o:hr="t"/>
        </w:pict>
      </w:r>
    </w:p>
    <w:bookmarkEnd w:id="16"/>
    <w:bookmarkStart w:id="17" w:name="introduction"/>
    <w:p>
      <w:pPr>
        <w:pStyle w:val="Heading2"/>
      </w:pPr>
      <w:r>
        <w:t xml:space="preserve">1. Introduction</w:t>
      </w:r>
    </w:p>
    <w:p>
      <w:pPr>
        <w:pStyle w:val="FirstParagraph"/>
      </w:pPr>
      <w:r>
        <w:t xml:space="preserve">Damaging earthquakes remain a major risk in Europe and adjacent regions, from the Mediterranean belt to the Alps and anthropogenic seismicity associated with industrial activity. Earthquake Early Warning systems mitigate harm by issuing alerts seconds to tens of seconds before strong shaking arrives at a site, based on P-wave detection, rapid magnitude estimation, and ground-motion prediction. Public acceptance, regulatory frameworks, and civil-protection integration in Switzerland and across the European Union increasingly expect documented, open methodologies rather than black-box prototypes. Programme positioning, document scope, and document-control metadata are provided in Appendix F.</w:t>
      </w:r>
    </w:p>
    <w:p>
      <w:r>
        <w:pict>
          <v:rect style="width:0;height:1.5pt" o:hralign="center" o:hrstd="t" o:hr="t"/>
        </w:pict>
      </w:r>
    </w:p>
    <w:bookmarkEnd w:id="17"/>
    <w:bookmarkStart w:id="18" w:name="literature-review"/>
    <w:p>
      <w:pPr>
        <w:pStyle w:val="Heading2"/>
      </w:pPr>
      <w:r>
        <w:t xml:space="preserve">2. Literature review</w:t>
      </w:r>
    </w:p>
    <w:p>
      <w:pPr>
        <w:pStyle w:val="FirstParagraph"/>
      </w:pPr>
      <w:r>
        <w:t xml:space="preserve">Classical Earthquake Early Warning relies on onsite algorithms that detect P-wave onset via short-term average/long-term average (STA/LTA) ratio tests or similar triggers, then estimate magnitude and alert levels from early windows of acceleration or velocity (Allen and Kanamori, 2003; Hoshiba et al., 2008). European deployments emphasise standardised metadata, latency budgets, and uncertainty communication to end users.</w:t>
      </w:r>
    </w:p>
    <w:p>
      <w:pPr>
        <w:pStyle w:val="BodyText"/>
      </w:pPr>
      <w:r>
        <w:t xml:space="preserve">ObsPy (Krischer et al., 2015) provides a standard interface for MiniSEED, FDSN web services, detrending, filtering, and instrument correction. In the proposed work, USGS supplies catalogues and EarthScope supplies waveforms (</w:t>
      </w:r>
      <w:r>
        <w:rPr>
          <w:rStyle w:val="VerbatimChar"/>
        </w:rPr>
        <w:t xml:space="preserve">docs/IRIS_DATASET_REPORT.md</w:t>
      </w:r>
      <w:r>
        <w:t xml:space="preserve">); the same abstraction is intended for European endpoints (ORFEUS, EIDA, national nodes). Machine learning and deep learning approaches learn magnitude or intensity from early waveform segments but require large, diverse training sets and careful handling of site effects and instrument response.</w:t>
      </w:r>
    </w:p>
    <w:p>
      <w:pPr>
        <w:pStyle w:val="BodyText"/>
      </w:pPr>
      <w:r>
        <w:t xml:space="preserve">Reproducible Earthquake Early Warning research demands versioned download parameters, manifests, processing configurations, and analysis scripts. This pattern is institutionalised through CSV manifests, JSON summaries, and phase reports. ORFEUS, EIDA, and member-state networks provide the intended long-term data plane; the California pilot functions as a methods prototype while the scientific narrative remains Europe-forward (</w:t>
      </w:r>
      <w:r>
        <w:rPr>
          <w:rStyle w:val="VerbatimChar"/>
        </w:rPr>
        <w:t xml:space="preserve">docs/PROJECT_CHARTER.md</w:t>
      </w:r>
      <w:r>
        <w:t xml:space="preserve">).</w:t>
      </w:r>
    </w:p>
    <w:p>
      <w:r>
        <w:pict>
          <v:rect style="width:0;height:1.5pt" o:hralign="center" o:hrstd="t" o:hr="t"/>
        </w:pict>
      </w:r>
    </w:p>
    <w:bookmarkEnd w:id="18"/>
    <w:bookmarkStart w:id="19" w:name="research-gap"/>
    <w:p>
      <w:pPr>
        <w:pStyle w:val="Heading2"/>
      </w:pPr>
      <w:r>
        <w:t xml:space="preserve">3. Research gap</w:t>
      </w:r>
    </w:p>
    <w:p>
      <w:pPr>
        <w:pStyle w:val="FirstParagraph"/>
      </w:pPr>
      <w:r>
        <w:t xml:space="preserve">Despite growing interest in artificial-intelligence-assisted Earthquake Early Warning, certificate-level and early-stage research programmes in Europe still lack widely accessible, end-to-end workflows that connect open FDSN archives to auditable feature matrices suitable for method development. Many published pipelines remain region-specific or proprietary, and small-N pilots, while valuable for prototyping, cannot support operational claims without scaled catalogues, validated arrival picks, and consistent metadata handling across networks. The proposed work responds to this gap by delivering a documented, script-driven California pilot that makes limitations explicit and defines a transferable pattern for future ORFEUS/EIDA integration (</w:t>
      </w:r>
      <w:r>
        <w:rPr>
          <w:rStyle w:val="VerbatimChar"/>
        </w:rPr>
        <w:t xml:space="preserve">docs/RESEARCH_DIRECTION.md</w:t>
      </w:r>
      <w:r>
        <w:t xml:space="preserve">;</w:t>
      </w:r>
      <w:r>
        <w:t xml:space="preserve"> </w:t>
      </w:r>
      <w:r>
        <w:rPr>
          <w:rStyle w:val="VerbatimChar"/>
        </w:rPr>
        <w:t xml:space="preserve">docs/PROJECT_CHARTER.md</w:t>
      </w:r>
      <w:r>
        <w:t xml:space="preserve">).</w:t>
      </w:r>
    </w:p>
    <w:p>
      <w:r>
        <w:pict>
          <v:rect style="width:0;height:1.5pt" o:hralign="center" o:hrstd="t" o:hr="t"/>
        </w:pict>
      </w:r>
    </w:p>
    <w:bookmarkEnd w:id="19"/>
    <w:bookmarkStart w:id="20" w:name="objectives"/>
    <w:p>
      <w:pPr>
        <w:pStyle w:val="Heading2"/>
      </w:pPr>
      <w:r>
        <w:t xml:space="preserve">4. Objectives</w:t>
      </w:r>
    </w:p>
    <w:p>
      <w:pPr>
        <w:pStyle w:val="FirstParagraph"/>
      </w:pPr>
      <w:r>
        <w:t xml:space="preserve">The proposed work addresses five objectives aligned with completed pilot artefacts and stated future extensions:</w:t>
      </w:r>
    </w:p>
    <w:p>
      <w:pPr>
        <w:pStyle w:val="Compact"/>
        <w:numPr>
          <w:ilvl w:val="0"/>
          <w:numId w:val="1004"/>
        </w:numPr>
      </w:pPr>
      <w:r>
        <w:t xml:space="preserve">O1. Develop a reproducible, artificial-intelligence-ready Earthquake Early Warning research workflow aimed ultimately at European seismic networks, documented for a Swiss and European research audience.</w:t>
      </w:r>
      <w:r>
        <w:t xml:space="preserve"> </w:t>
      </w:r>
      <w:r>
        <w:rPr>
          <w:i/>
          <w:iCs/>
        </w:rPr>
        <w:t xml:space="preserve">(Programme objective; California pilot workflow completed.)</w:t>
      </w:r>
    </w:p>
    <w:p>
      <w:pPr>
        <w:pStyle w:val="Compact"/>
        <w:numPr>
          <w:ilvl w:val="0"/>
          <w:numId w:val="1004"/>
        </w:numPr>
      </w:pPr>
      <w:r>
        <w:t xml:space="preserve">O2. Acquire real earthquake waveforms through ObsPy and FDSN services using a California IRIS/EarthScope pilot (eight events, vertical broadband BHZ channel).</w:t>
      </w:r>
      <w:r>
        <w:t xml:space="preserve"> </w:t>
      </w:r>
      <w:r>
        <w:rPr>
          <w:i/>
          <w:iCs/>
        </w:rPr>
        <w:t xml:space="preserve">(Completed.)</w:t>
      </w:r>
    </w:p>
    <w:p>
      <w:pPr>
        <w:pStyle w:val="Compact"/>
        <w:numPr>
          <w:ilvl w:val="0"/>
          <w:numId w:val="1004"/>
        </w:numPr>
      </w:pPr>
      <w:r>
        <w:t xml:space="preserve">O3. Characterise the pilot dataset through exploratory data analysis, onsite-style STA/LTA signal metrics, and a documented preprocessing chain toward machine-learning inputs.</w:t>
      </w:r>
      <w:r>
        <w:t xml:space="preserve"> </w:t>
      </w:r>
      <w:r>
        <w:rPr>
          <w:i/>
          <w:iCs/>
        </w:rPr>
        <w:t xml:space="preserve">(Completed.)</w:t>
      </w:r>
    </w:p>
    <w:p>
      <w:pPr>
        <w:pStyle w:val="Compact"/>
        <w:numPr>
          <w:ilvl w:val="0"/>
          <w:numId w:val="1004"/>
        </w:numPr>
      </w:pPr>
      <w:r>
        <w:t xml:space="preserve">O4. Extract a multi-domain feature matrix (8×18) suitable for exploratory machine-learning and deep-learning experiments on Western data.</w:t>
      </w:r>
      <w:r>
        <w:t xml:space="preserve"> </w:t>
      </w:r>
      <w:r>
        <w:rPr>
          <w:i/>
          <w:iCs/>
        </w:rPr>
        <w:t xml:space="preserve">(Completed.)</w:t>
      </w:r>
    </w:p>
    <w:p>
      <w:pPr>
        <w:pStyle w:val="Compact"/>
        <w:numPr>
          <w:ilvl w:val="0"/>
          <w:numId w:val="1004"/>
        </w:numPr>
      </w:pPr>
      <w:r>
        <w:t xml:space="preserve">O5. Interpret pilot results, document limitations and threats to validity, and define a European transfer pathway aligned with ORFEUS/EIDA-class archives.</w:t>
      </w:r>
      <w:r>
        <w:t xml:space="preserve"> </w:t>
      </w:r>
      <w:r>
        <w:rPr>
          <w:i/>
          <w:iCs/>
        </w:rPr>
        <w:t xml:space="preserve">(Completed for California pilot; European acquisition proposed.)</w:t>
      </w:r>
    </w:p>
    <w:p>
      <w:r>
        <w:pict>
          <v:rect style="width:0;height:1.5pt" o:hralign="center" o:hrstd="t" o:hr="t"/>
        </w:pict>
      </w:r>
    </w:p>
    <w:bookmarkEnd w:id="20"/>
    <w:bookmarkStart w:id="25" w:name="dataset"/>
    <w:p>
      <w:pPr>
        <w:pStyle w:val="Heading2"/>
      </w:pPr>
      <w:r>
        <w:t xml:space="preserve">5. Dataset</w:t>
      </w:r>
    </w:p>
    <w:p>
      <w:pPr>
        <w:pStyle w:val="FirstParagraph"/>
      </w:pPr>
      <w:r>
        <w:t xml:space="preserve">The completed pilot dataset comprises eight California earthquake recordings acquired through public FDSN services: event metadata from USGS and waveforms from EarthScope (formerly IRIS DMC). California was selected as the pilot region because programme requirements in</w:t>
      </w:r>
      <w:r>
        <w:t xml:space="preserve"> </w:t>
      </w:r>
      <w:r>
        <w:rPr>
          <w:rStyle w:val="VerbatimChar"/>
        </w:rPr>
        <w:t xml:space="preserve">docs/PROJECT_CHARTER.md</w:t>
      </w:r>
      <w:r>
        <w:t xml:space="preserve"> </w:t>
      </w:r>
      <w:r>
        <w:t xml:space="preserve">(§4) mandate ObsPy-based download of real waveforms from IRIS/EarthScope for method development, while the programme’s long-term focus remains European seismic networks. California offers a well-documented, publicly accessible FDSN infrastructure, a seismically active test bed in the M 4–5 band suitable for pilot-scale workflow validation, and a practical laboratory for exercising acquisition, STA/LTA analysis, preprocessing, and feature engineering before extending the same manifest-and-report pattern to European endpoints. The pilot is a methods laboratory, not the intended final deployment geography (</w:t>
      </w:r>
      <w:r>
        <w:rPr>
          <w:rStyle w:val="VerbatimChar"/>
        </w:rPr>
        <w:t xml:space="preserve">docs/RESEARCH_DIRECTION.md</w:t>
      </w:r>
      <w:r>
        <w:t xml:space="preserve">).</w:t>
      </w:r>
    </w:p>
    <w:bookmarkStart w:id="21" w:name="completed-california-pilot"/>
    <w:p>
      <w:pPr>
        <w:pStyle w:val="Heading3"/>
      </w:pPr>
      <w:r>
        <w:t xml:space="preserve">5.1 Completed California pilot</w:t>
      </w:r>
    </w:p>
    <w:p>
      <w:pPr>
        <w:pStyle w:val="FirstParagraph"/>
      </w:pPr>
      <w:r>
        <w:t xml:space="preserve">Table 1. Pilot dataset attributes (sources:</w:t>
      </w:r>
      <w:r>
        <w:t xml:space="preserve"> </w:t>
      </w:r>
      <w:r>
        <w:rPr>
          <w:rStyle w:val="VerbatimChar"/>
        </w:rPr>
        <w:t xml:space="preserve">docs/IRIS_DATASET_REPORT.md</w:t>
      </w:r>
      <w:r>
        <w:t xml:space="preserve">,</w:t>
      </w:r>
      <w:r>
        <w:t xml:space="preserve"> </w:t>
      </w:r>
      <w:r>
        <w:rPr>
          <w:rStyle w:val="VerbatimChar"/>
        </w:rPr>
        <w:t xml:space="preserve">docs/EDA_REPORT.md</w:t>
      </w:r>
      <w:r>
        <w:t xml:space="preserve">,</w:t>
      </w:r>
      <w:r>
        <w:t xml:space="preserve"> </w:t>
      </w:r>
      <w:r>
        <w:rPr>
          <w:rStyle w:val="VerbatimChar"/>
        </w:rPr>
        <w:t xml:space="preserve">reports/eda/dataset_summary.json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Region</w:t>
            </w:r>
          </w:p>
        </w:tc>
        <w:tc>
          <w:tcPr/>
          <w:p>
            <w:pPr>
              <w:pStyle w:val="Compact"/>
            </w:pPr>
            <w:r>
              <w:t xml:space="preserve">California bounding box, 2024</w:t>
            </w:r>
          </w:p>
        </w:tc>
      </w:tr>
      <w:tr>
        <w:tc>
          <w:tcPr/>
          <w:p>
            <w:pPr>
              <w:pStyle w:val="Compact"/>
            </w:pPr>
            <w:r>
              <w:t xml:space="preserve">Event provider</w:t>
            </w:r>
          </w:p>
        </w:tc>
        <w:tc>
          <w:tcPr/>
          <w:p>
            <w:pPr>
              <w:pStyle w:val="Compact"/>
            </w:pPr>
            <w:r>
              <w:t xml:space="preserve">USGS FDSN Event</w:t>
            </w:r>
          </w:p>
        </w:tc>
      </w:tr>
      <w:tr>
        <w:tc>
          <w:tcPr/>
          <w:p>
            <w:pPr>
              <w:pStyle w:val="Compact"/>
            </w:pPr>
            <w:r>
              <w:t xml:space="preserve">Waveform provider</w:t>
            </w:r>
          </w:p>
        </w:tc>
        <w:tc>
          <w:tcPr/>
          <w:p>
            <w:pPr>
              <w:pStyle w:val="Compact"/>
            </w:pPr>
            <w:r>
              <w:t xml:space="preserve">EarthScope (</w:t>
            </w:r>
            <w:r>
              <w:rPr>
                <w:rStyle w:val="VerbatimChar"/>
              </w:rPr>
              <w:t xml:space="preserve">Client("EARTHSCOPE")</w:t>
            </w:r>
            <w:r>
              <w:t xml:space="preserve">)</w:t>
            </w:r>
          </w:p>
        </w:tc>
      </w:tr>
      <w:tr>
        <w:tc>
          <w:tcPr/>
          <w:p>
            <w:pPr>
              <w:pStyle w:val="Compact"/>
            </w:pPr>
            <w:r>
              <w:t xml:space="preserve">Events in manifest</w:t>
            </w:r>
          </w:p>
        </w:tc>
        <w:tc>
          <w:tcPr/>
          <w:p>
            <w:pPr>
              <w:pStyle w:val="Compact"/>
            </w:pPr>
            <w:r>
              <w:t xml:space="preserve">8</w:t>
            </w:r>
          </w:p>
        </w:tc>
      </w:tr>
      <w:tr>
        <w:tc>
          <w:tcPr/>
          <w:p>
            <w:pPr>
              <w:pStyle w:val="Compact"/>
            </w:pPr>
            <w:r>
              <w:t xml:space="preserve">Magnitude range</w:t>
            </w:r>
          </w:p>
        </w:tc>
        <w:tc>
          <w:tcPr/>
          <w:p>
            <w:pPr>
              <w:pStyle w:val="Compact"/>
            </w:pPr>
            <w:r>
              <w:t xml:space="preserve">4.05 – 4.87 (</w:t>
            </w:r>
            <w:r>
              <w:rPr>
                <w:rStyle w:val="VerbatimChar"/>
              </w:rPr>
              <w:t xml:space="preserve">mw</w:t>
            </w:r>
            <w:r>
              <w:t xml:space="preserve">,</w:t>
            </w:r>
            <w:r>
              <w:t xml:space="preserve"> </w:t>
            </w:r>
            <w:r>
              <w:rPr>
                <w:rStyle w:val="VerbatimChar"/>
              </w:rPr>
              <w:t xml:space="preserve">ml</w:t>
            </w:r>
            <w:r>
              <w:t xml:space="preserve">)</w:t>
            </w:r>
          </w:p>
        </w:tc>
      </w:tr>
      <w:tr>
        <w:tc>
          <w:tcPr/>
          <w:p>
            <w:pPr>
              <w:pStyle w:val="Compact"/>
            </w:pPr>
            <w:r>
              <w:t xml:space="preserve">Origin times (UTC)</w:t>
            </w:r>
          </w:p>
        </w:tc>
        <w:tc>
          <w:tcPr/>
          <w:p>
            <w:pPr>
              <w:pStyle w:val="Compact"/>
            </w:pPr>
            <w:r>
              <w:t xml:space="preserve">2024-05-01 – 2024-10-25</w:t>
            </w:r>
          </w:p>
        </w:tc>
      </w:tr>
      <w:tr>
        <w:tc>
          <w:tcPr/>
          <w:p>
            <w:pPr>
              <w:pStyle w:val="Compact"/>
            </w:pPr>
            <w:r>
              <w:t xml:space="preserve">Channel</w:t>
            </w:r>
          </w:p>
        </w:tc>
        <w:tc>
          <w:tcPr/>
          <w:p>
            <w:pPr>
              <w:pStyle w:val="Compact"/>
            </w:pPr>
            <w:r>
              <w:t xml:space="preserve">BHZ</w:t>
            </w:r>
          </w:p>
        </w:tc>
      </w:tr>
      <w:tr>
        <w:tc>
          <w:tcPr/>
          <w:p>
            <w:pPr>
              <w:pStyle w:val="Compact"/>
            </w:pPr>
            <w:r>
              <w:t xml:space="preserve">Sampling rate</w:t>
            </w:r>
          </w:p>
        </w:tc>
        <w:tc>
          <w:tcPr/>
          <w:p>
            <w:pPr>
              <w:pStyle w:val="Compact"/>
            </w:pPr>
            <w:r>
              <w:t xml:space="preserve">40 Hz</w:t>
            </w:r>
          </w:p>
        </w:tc>
      </w:tr>
      <w:tr>
        <w:tc>
          <w:tcPr/>
          <w:p>
            <w:pPr>
              <w:pStyle w:val="Compact"/>
            </w:pPr>
            <w:r>
              <w:t xml:space="preserve">Window</w:t>
            </w:r>
          </w:p>
        </w:tc>
        <w:tc>
          <w:tcPr/>
          <w:p>
            <w:pPr>
              <w:pStyle w:val="Compact"/>
            </w:pPr>
            <w:r>
              <w:t xml:space="preserve">300 s from catalog origin time</w:t>
            </w:r>
          </w:p>
        </w:tc>
      </w:tr>
      <w:tr>
        <w:tc>
          <w:tcPr/>
          <w:p>
            <w:pPr>
              <w:pStyle w:val="Compact"/>
            </w:pPr>
            <w:r>
              <w:t xml:space="preserve">Stations (manifest)</w:t>
            </w:r>
          </w:p>
        </w:tc>
        <w:tc>
          <w:tcPr/>
          <w:p>
            <w:pPr>
              <w:pStyle w:val="Compact"/>
            </w:pPr>
            <w:r>
              <w:t xml:space="preserve">CI.ADO (6 events), CI.USC (2 events)</w:t>
            </w:r>
          </w:p>
        </w:tc>
      </w:tr>
      <w:tr>
        <w:tc>
          <w:tcPr/>
          <w:p>
            <w:pPr>
              <w:pStyle w:val="Compact"/>
            </w:pPr>
            <w:r>
              <w:t xml:space="preserve">Manifest path</w:t>
            </w:r>
          </w:p>
        </w:tc>
        <w:tc>
          <w:tcPr/>
          <w:p>
            <w:pPr>
              <w:pStyle w:val="Compact"/>
            </w:pPr>
            <w:r>
              <w:rPr>
                <w:rStyle w:val="VerbatimChar"/>
              </w:rPr>
              <w:t xml:space="preserve">data/manifests/iris_california_pilot_events.csv</w:t>
            </w:r>
          </w:p>
        </w:tc>
      </w:tr>
      <w:tr>
        <w:tc>
          <w:tcPr/>
          <w:p>
            <w:pPr>
              <w:pStyle w:val="Compact"/>
            </w:pPr>
            <w:r>
              <w:t xml:space="preserve">Raw waveforms (local)</w:t>
            </w:r>
          </w:p>
        </w:tc>
        <w:tc>
          <w:tcPr/>
          <w:p>
            <w:pPr>
              <w:pStyle w:val="Compact"/>
            </w:pPr>
            <w:r>
              <w:rPr>
                <w:rStyle w:val="VerbatimChar"/>
              </w:rPr>
              <w:t xml:space="preserve">data/raw/iris/</w:t>
            </w:r>
          </w:p>
        </w:tc>
      </w:tr>
    </w:tbl>
    <w:p>
      <w:pPr>
        <w:pStyle w:val="BodyText"/>
      </w:pPr>
      <w:r>
        <w:t xml:space="preserve">Legacy files: EDA recorded twelve MiniSEED files on disk at run time; four lie outside the current manifest (</w:t>
      </w:r>
      <w:r>
        <w:rPr>
          <w:rStyle w:val="VerbatimChar"/>
        </w:rPr>
        <w:t xml:space="preserve">reports/eda/mseed_file_inspection.csv</w:t>
      </w:r>
      <w:r>
        <w:t xml:space="preserve">). All completed analyses use eight manifest-linked records only.</w:t>
      </w:r>
    </w:p>
    <w:bookmarkEnd w:id="21"/>
    <w:bookmarkStart w:id="22" w:name="fdsn-acquisition-parameters-summary"/>
    <w:p>
      <w:pPr>
        <w:pStyle w:val="Heading3"/>
      </w:pPr>
      <w:r>
        <w:t xml:space="preserve">5.2 FDSN acquisition parameters (summary)</w:t>
      </w:r>
    </w:p>
    <w:p>
      <w:pPr>
        <w:pStyle w:val="FirstParagraph"/>
      </w:pPr>
      <w:r>
        <w:t xml:space="preserve">Table 2. FDSN query parameters (from</w:t>
      </w:r>
      <w:r>
        <w:t xml:space="preserve"> </w:t>
      </w:r>
      <w:r>
        <w:rPr>
          <w:rStyle w:val="VerbatimChar"/>
        </w:rPr>
        <w:t xml:space="preserve">docs/IRIS_DATASET_REPORT.md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Event search (USGS)</w:t>
            </w:r>
          </w:p>
        </w:tc>
        <w:tc>
          <w:tcPr/>
          <w:p>
            <w:pPr>
              <w:pStyle w:val="Compact"/>
            </w:pPr>
            <w:r>
              <w:t xml:space="preserve">Waveform download (EarthScope)</w:t>
            </w:r>
          </w:p>
        </w:tc>
      </w:tr>
      <w:tr>
        <w:tc>
          <w:tcPr/>
          <w:p>
            <w:pPr>
              <w:pStyle w:val="Compact"/>
            </w:pPr>
            <w:r>
              <w:t xml:space="preserve">Time window</w:t>
            </w:r>
          </w:p>
        </w:tc>
        <w:tc>
          <w:tcPr/>
          <w:p>
            <w:pPr>
              <w:pStyle w:val="Compact"/>
            </w:pPr>
            <w:r>
              <w:t xml:space="preserve">2024-01-01 – 2024-12-31</w:t>
            </w:r>
          </w:p>
        </w:tc>
        <w:tc>
          <w:tcPr/>
          <w:p>
            <w:pPr>
              <w:pStyle w:val="Compact"/>
            </w:pPr>
            <w:r>
              <w:t xml:space="preserve">300 s from origin</w:t>
            </w:r>
          </w:p>
        </w:tc>
      </w:tr>
      <w:tr>
        <w:tc>
          <w:tcPr/>
          <w:p>
            <w:pPr>
              <w:pStyle w:val="Compact"/>
            </w:pPr>
            <w:r>
              <w:t xml:space="preserve">Latitude</w:t>
            </w:r>
          </w:p>
        </w:tc>
        <w:tc>
          <w:tcPr/>
          <w:p>
            <w:pPr>
              <w:pStyle w:val="Compact"/>
            </w:pPr>
            <w:r>
              <w:t xml:space="preserve">32.5° – 42.0° N</w:t>
            </w:r>
          </w:p>
        </w:tc>
        <w:tc>
          <w:tcPr/>
          <w:p>
            <w:pPr>
              <w:pStyle w:val="Compact"/>
            </w:pPr>
            <w:r>
              <w:t xml:space="preserve">—</w:t>
            </w:r>
          </w:p>
        </w:tc>
      </w:tr>
      <w:tr>
        <w:tc>
          <w:tcPr/>
          <w:p>
            <w:pPr>
              <w:pStyle w:val="Compact"/>
            </w:pPr>
            <w:r>
              <w:t xml:space="preserve">Longitude</w:t>
            </w:r>
          </w:p>
        </w:tc>
        <w:tc>
          <w:tcPr/>
          <w:p>
            <w:pPr>
              <w:pStyle w:val="Compact"/>
            </w:pPr>
            <w:r>
              <w:t xml:space="preserve">−124.5° – −114.0° E</w:t>
            </w:r>
          </w:p>
        </w:tc>
        <w:tc>
          <w:tcPr/>
          <w:p>
            <w:pPr>
              <w:pStyle w:val="Compact"/>
            </w:pPr>
            <w:r>
              <w:t xml:space="preserve">—</w:t>
            </w:r>
          </w:p>
        </w:tc>
      </w:tr>
      <w:tr>
        <w:tc>
          <w:tcPr/>
          <w:p>
            <w:pPr>
              <w:pStyle w:val="Compact"/>
            </w:pPr>
            <w:r>
              <w:t xml:space="preserve">Magnitude</w:t>
            </w:r>
          </w:p>
        </w:tc>
        <w:tc>
          <w:tcPr/>
          <w:p>
            <w:pPr>
              <w:pStyle w:val="Compact"/>
            </w:pPr>
            <w:r>
              <w:t xml:space="preserve">4.0 – 7.5</w:t>
            </w:r>
          </w:p>
        </w:tc>
        <w:tc>
          <w:tcPr/>
          <w:p>
            <w:pPr>
              <w:pStyle w:val="Compact"/>
            </w:pPr>
            <w:r>
              <w:t xml:space="preserve">—</w:t>
            </w:r>
          </w:p>
        </w:tc>
      </w:tr>
      <w:tr>
        <w:tc>
          <w:tcPr/>
          <w:p>
            <w:pPr>
              <w:pStyle w:val="Compact"/>
            </w:pPr>
            <w:r>
              <w:t xml:space="preserve">Networks (candidates)</w:t>
            </w:r>
          </w:p>
        </w:tc>
        <w:tc>
          <w:tcPr/>
          <w:p>
            <w:pPr>
              <w:pStyle w:val="Compact"/>
            </w:pPr>
            <w:r>
              <w:t xml:space="preserve">—</w:t>
            </w:r>
          </w:p>
        </w:tc>
        <w:tc>
          <w:tcPr/>
          <w:p>
            <w:pPr>
              <w:pStyle w:val="Compact"/>
            </w:pPr>
            <w:r>
              <w:t xml:space="preserve">CI, NC, BK</w:t>
            </w:r>
          </w:p>
        </w:tc>
      </w:tr>
      <w:tr>
        <w:tc>
          <w:tcPr/>
          <w:p>
            <w:pPr>
              <w:pStyle w:val="Compact"/>
            </w:pPr>
            <w:r>
              <w:t xml:space="preserve">Channel</w:t>
            </w:r>
          </w:p>
        </w:tc>
        <w:tc>
          <w:tcPr/>
          <w:p>
            <w:pPr>
              <w:pStyle w:val="Compact"/>
            </w:pPr>
            <w:r>
              <w:t xml:space="preserve">—</w:t>
            </w:r>
          </w:p>
        </w:tc>
        <w:tc>
          <w:tcPr/>
          <w:p>
            <w:pPr>
              <w:pStyle w:val="Compact"/>
            </w:pPr>
            <w:r>
              <w:t xml:space="preserve">BHZ (may try HHZ/EHZ)</w:t>
            </w:r>
          </w:p>
        </w:tc>
      </w:tr>
      <w:tr>
        <w:tc>
          <w:tcPr/>
          <w:p>
            <w:pPr>
              <w:pStyle w:val="Compact"/>
            </w:pPr>
            <w:r>
              <w:t xml:space="preserve">Stations per event</w:t>
            </w:r>
          </w:p>
        </w:tc>
        <w:tc>
          <w:tcPr/>
          <w:p>
            <w:pPr>
              <w:pStyle w:val="Compact"/>
            </w:pPr>
            <w:r>
              <w:t xml:space="preserve">—</w:t>
            </w:r>
          </w:p>
        </w:tc>
        <w:tc>
          <w:tcPr/>
          <w:p>
            <w:pPr>
              <w:pStyle w:val="Compact"/>
            </w:pPr>
            <w:r>
              <w:t xml:space="preserve">1 (first successful candidate)</w:t>
            </w:r>
          </w:p>
        </w:tc>
      </w:tr>
      <w:tr>
        <w:tc>
          <w:tcPr/>
          <w:p>
            <w:pPr>
              <w:pStyle w:val="Compact"/>
            </w:pPr>
            <w:r>
              <w:t xml:space="preserve">Catalog matches (query)</w:t>
            </w:r>
          </w:p>
        </w:tc>
        <w:tc>
          <w:tcPr/>
          <w:p>
            <w:pPr>
              <w:pStyle w:val="Compact"/>
            </w:pPr>
            <w:r>
              <w:t xml:space="preserve">41</w:t>
            </w:r>
          </w:p>
        </w:tc>
        <w:tc>
          <w:tcPr/>
          <w:p>
            <w:pPr>
              <w:pStyle w:val="Compact"/>
            </w:pPr>
            <w:r>
              <w:t xml:space="preserve">—</w:t>
            </w:r>
          </w:p>
        </w:tc>
      </w:tr>
      <w:tr>
        <w:tc>
          <w:tcPr/>
          <w:p>
            <w:pPr>
              <w:pStyle w:val="Compact"/>
            </w:pPr>
            <w:r>
              <w:t xml:space="preserve">Events retained</w:t>
            </w:r>
          </w:p>
        </w:tc>
        <w:tc>
          <w:tcPr/>
          <w:p>
            <w:pPr>
              <w:pStyle w:val="Compact"/>
            </w:pPr>
            <w:r>
              <w:t xml:space="preserve">8</w:t>
            </w:r>
          </w:p>
        </w:tc>
        <w:tc>
          <w:tcPr/>
          <w:p>
            <w:pPr>
              <w:pStyle w:val="Compact"/>
            </w:pPr>
            <w:r>
              <w:t xml:space="preserve">8 waveforms</w:t>
            </w:r>
          </w:p>
        </w:tc>
      </w:tr>
    </w:tbl>
    <w:p>
      <w:pPr>
        <w:pStyle w:val="BodyText"/>
      </w:pPr>
      <w:r>
        <w:t xml:space="preserve">Station selection uses a fixed distance-ranked candidate list; this is not uniform network sampling.</w:t>
      </w:r>
    </w:p>
    <w:bookmarkEnd w:id="22"/>
    <w:bookmarkStart w:id="23" w:name="european-dataset-proposed"/>
    <w:p>
      <w:pPr>
        <w:pStyle w:val="Heading3"/>
      </w:pPr>
      <w:r>
        <w:t xml:space="preserve">5.3 European dataset (proposed)</w:t>
      </w:r>
    </w:p>
    <w:p>
      <w:pPr>
        <w:pStyle w:val="FirstParagraph"/>
      </w:pPr>
      <w:r>
        <w:t xml:space="preserve">No European waveforms are included. Future work is expected to mirror manifest and report patterns for EIDA/ORFEUS (</w:t>
      </w:r>
      <w:r>
        <w:rPr>
          <w:rStyle w:val="VerbatimChar"/>
        </w:rPr>
        <w:t xml:space="preserve">docs/PROJECT_CHARTER.md</w:t>
      </w:r>
      <w:r>
        <w:t xml:space="preserve">,</w:t>
      </w:r>
      <w:r>
        <w:t xml:space="preserve"> </w:t>
      </w:r>
      <w:r>
        <w:rPr>
          <w:rStyle w:val="VerbatimChar"/>
        </w:rPr>
        <w:t xml:space="preserve">docs/ROADMAP.md</w:t>
      </w:r>
      <w:r>
        <w:t xml:space="preserve">).</w:t>
      </w:r>
    </w:p>
    <w:bookmarkEnd w:id="23"/>
    <w:bookmarkStart w:id="24" w:name="published-tables-and-matrices"/>
    <w:p>
      <w:pPr>
        <w:pStyle w:val="Heading3"/>
      </w:pPr>
      <w:r>
        <w:t xml:space="preserve">5.4 Published tables and matrices</w:t>
      </w:r>
    </w:p>
    <w:p>
      <w:pPr>
        <w:pStyle w:val="Compact"/>
        <w:numPr>
          <w:ilvl w:val="0"/>
          <w:numId w:val="1005"/>
        </w:numPr>
      </w:pPr>
      <w:r>
        <w:rPr>
          <w:rStyle w:val="VerbatimChar"/>
        </w:rPr>
        <w:t xml:space="preserve">reports/tables/event_summary.csv</w:t>
      </w:r>
      <w:r>
        <w:t xml:space="preserve">,</w:t>
      </w:r>
      <w:r>
        <w:t xml:space="preserve"> </w:t>
      </w:r>
      <w:r>
        <w:rPr>
          <w:rStyle w:val="VerbatimChar"/>
        </w:rPr>
        <w:t xml:space="preserve">station_summary.csv</w:t>
      </w:r>
      <w:r>
        <w:br/>
      </w:r>
    </w:p>
    <w:p>
      <w:pPr>
        <w:pStyle w:val="Compact"/>
        <w:numPr>
          <w:ilvl w:val="0"/>
          <w:numId w:val="1005"/>
        </w:numPr>
      </w:pPr>
      <w:r>
        <w:rPr>
          <w:rStyle w:val="VerbatimChar"/>
        </w:rPr>
        <w:t xml:space="preserve">reports/tables/signal_analysis_per_event.csv</w:t>
      </w:r>
      <w:r>
        <w:br/>
      </w:r>
    </w:p>
    <w:p>
      <w:pPr>
        <w:pStyle w:val="Compact"/>
        <w:numPr>
          <w:ilvl w:val="0"/>
          <w:numId w:val="1005"/>
        </w:numPr>
      </w:pPr>
      <w:r>
        <w:rPr>
          <w:rStyle w:val="VerbatimChar"/>
        </w:rPr>
        <w:t xml:space="preserve">reports/tables/preprocessing_quality_metrics.csv</w:t>
      </w:r>
      <w:r>
        <w:br/>
      </w:r>
    </w:p>
    <w:p>
      <w:pPr>
        <w:pStyle w:val="Compact"/>
        <w:numPr>
          <w:ilvl w:val="0"/>
          <w:numId w:val="1005"/>
        </w:numPr>
      </w:pPr>
      <w:r>
        <w:rPr>
          <w:rStyle w:val="VerbatimChar"/>
        </w:rPr>
        <w:t xml:space="preserve">reports/features/feature_matrix.csv</w:t>
      </w:r>
      <w:r>
        <w:t xml:space="preserve">,</w:t>
      </w:r>
      <w:r>
        <w:t xml:space="preserve"> </w:t>
      </w:r>
      <w:r>
        <w:rPr>
          <w:rStyle w:val="VerbatimChar"/>
        </w:rPr>
        <w:t xml:space="preserve">reports/tables/feature_correlation_matrix.csv</w:t>
      </w:r>
    </w:p>
    <w:p>
      <w:r>
        <w:pict>
          <v:rect style="width:0;height:1.5pt" o:hralign="center" o:hrstd="t" o:hr="t"/>
        </w:pict>
      </w:r>
    </w:p>
    <w:bookmarkEnd w:id="24"/>
    <w:bookmarkEnd w:id="25"/>
    <w:bookmarkStart w:id="32" w:name="methodology"/>
    <w:p>
      <w:pPr>
        <w:pStyle w:val="Heading2"/>
      </w:pPr>
      <w:r>
        <w:t xml:space="preserve">6. Methodology</w:t>
      </w:r>
    </w:p>
    <w:bookmarkStart w:id="26" w:name="acquisition-completed"/>
    <w:p>
      <w:pPr>
        <w:pStyle w:val="Heading3"/>
      </w:pPr>
      <w:r>
        <w:t xml:space="preserve">6.1 Acquisition (completed)</w:t>
      </w:r>
    </w:p>
    <w:p>
      <w:pPr>
        <w:pStyle w:val="FirstParagraph"/>
      </w:pPr>
      <w:r>
        <w:t xml:space="preserve">Script:</w:t>
      </w:r>
      <w:r>
        <w:t xml:space="preserve"> </w:t>
      </w:r>
      <w:r>
        <w:rPr>
          <w:rStyle w:val="VerbatimChar"/>
        </w:rPr>
        <w:t xml:space="preserve">scripts/download/download_iris_california_pilot.py</w:t>
      </w:r>
      <w:r>
        <w:t xml:space="preserve">. Events from USGS; waveforms from EarthScope dataselect. Parameters and results:</w:t>
      </w:r>
      <w:r>
        <w:t xml:space="preserve"> </w:t>
      </w:r>
      <w:r>
        <w:rPr>
          <w:rStyle w:val="VerbatimChar"/>
        </w:rPr>
        <w:t xml:space="preserve">docs/IRIS_DATASET_REPORT.md</w:t>
      </w:r>
      <w:r>
        <w:t xml:space="preserve">,</w:t>
      </w:r>
      <w:r>
        <w:t xml:space="preserve"> </w:t>
      </w:r>
      <w:r>
        <w:rPr>
          <w:rStyle w:val="VerbatimChar"/>
        </w:rPr>
        <w:t xml:space="preserve">logs/iris_california_pilot_summary.json</w:t>
      </w:r>
      <w:r>
        <w:t xml:space="preserve"> </w:t>
      </w:r>
      <w:r>
        <w:t xml:space="preserve">(local, gitignored).</w:t>
      </w:r>
    </w:p>
    <w:bookmarkEnd w:id="26"/>
    <w:bookmarkStart w:id="27" w:name="exploratory-data-analysis-phase-a.1"/>
    <w:p>
      <w:pPr>
        <w:pStyle w:val="Heading3"/>
      </w:pPr>
      <w:r>
        <w:t xml:space="preserve">6.2 Exploratory data analysis (Phase A.1)</w:t>
      </w:r>
    </w:p>
    <w:p>
      <w:pPr>
        <w:pStyle w:val="FirstParagraph"/>
      </w:pPr>
      <w:r>
        <w:t xml:space="preserve">Script:</w:t>
      </w:r>
      <w:r>
        <w:t xml:space="preserve"> </w:t>
      </w:r>
      <w:r>
        <w:rPr>
          <w:rStyle w:val="VerbatimChar"/>
        </w:rPr>
        <w:t xml:space="preserve">scripts/analysis/run_california_pilot_eda.py</w:t>
      </w:r>
      <w:r>
        <w:t xml:space="preserve">. ObsPy inspection of all</w:t>
      </w:r>
      <w:r>
        <w:t xml:space="preserve"> </w:t>
      </w:r>
      <w:r>
        <w:rPr>
          <w:rStyle w:val="VerbatimChar"/>
        </w:rPr>
        <w:t xml:space="preserve">.mseed</w:t>
      </w:r>
      <w:r>
        <w:t xml:space="preserve"> </w:t>
      </w:r>
      <w:r>
        <w:t xml:space="preserve">under</w:t>
      </w:r>
      <w:r>
        <w:t xml:space="preserve"> </w:t>
      </w:r>
      <w:r>
        <w:rPr>
          <w:rStyle w:val="VerbatimChar"/>
        </w:rPr>
        <w:t xml:space="preserve">data/raw/iris/</w:t>
      </w:r>
      <w:r>
        <w:t xml:space="preserve">; cohort summaries for manifest events only (</w:t>
      </w:r>
      <w:r>
        <w:rPr>
          <w:rStyle w:val="VerbatimChar"/>
        </w:rPr>
        <w:t xml:space="preserve">docs/EDA_REPORT.md</w:t>
      </w:r>
      <w:r>
        <w:t xml:space="preserve">).</w:t>
      </w:r>
    </w:p>
    <w:bookmarkEnd w:id="27"/>
    <w:bookmarkStart w:id="28" w:name="signal-analysis-phase-a.2"/>
    <w:p>
      <w:pPr>
        <w:pStyle w:val="Heading3"/>
      </w:pPr>
      <w:r>
        <w:t xml:space="preserve">6.3 Signal analysis (Phase A.2)</w:t>
      </w:r>
    </w:p>
    <w:p>
      <w:pPr>
        <w:pStyle w:val="FirstParagraph"/>
      </w:pPr>
      <w:r>
        <w:t xml:space="preserve">Script:</w:t>
      </w:r>
      <w:r>
        <w:t xml:space="preserve"> </w:t>
      </w:r>
      <w:r>
        <w:rPr>
          <w:rStyle w:val="VerbatimChar"/>
        </w:rPr>
        <w:t xml:space="preserve">scripts/analysis/run_california_signal_analysis.py</w:t>
      </w:r>
      <w:r>
        <w:t xml:space="preserve">. Per trace: peak/RMS amplitudes, noise RMS from 0–5 s proxy, peak SNR, STA/LTA P pick (STA 0.5 s, LTA 10 s, threshold 2.5, ObsPy</w:t>
      </w:r>
      <w:r>
        <w:t xml:space="preserve"> </w:t>
      </w:r>
      <w:r>
        <w:rPr>
          <w:rStyle w:val="VerbatimChar"/>
        </w:rPr>
        <w:t xml:space="preserve">classic_sta_lta</w:t>
      </w:r>
      <w:r>
        <w:t xml:space="preserve">), signal duration (</w:t>
      </w:r>
      <w:r>
        <w:rPr>
          <w:rStyle w:val="VerbatimChar"/>
        </w:rPr>
        <w:t xml:space="preserve">docs/SIGNAL_ANALYSIS_REPORT.md</w:t>
      </w:r>
      <w:r>
        <w:t xml:space="preserve">).</w:t>
      </w:r>
    </w:p>
    <w:bookmarkEnd w:id="28"/>
    <w:bookmarkStart w:id="29" w:name="preprocessing-phase-b.1"/>
    <w:p>
      <w:pPr>
        <w:pStyle w:val="Heading3"/>
      </w:pPr>
      <w:r>
        <w:t xml:space="preserve">6.4 Preprocessing (Phase B.1)</w:t>
      </w:r>
    </w:p>
    <w:p>
      <w:pPr>
        <w:pStyle w:val="FirstParagraph"/>
      </w:pPr>
      <w:r>
        <w:t xml:space="preserve">Script:</w:t>
      </w:r>
      <w:r>
        <w:t xml:space="preserve"> </w:t>
      </w:r>
      <w:r>
        <w:rPr>
          <w:rStyle w:val="VerbatimChar"/>
        </w:rPr>
        <w:t xml:space="preserve">scripts/analysis/run_california_preprocessing.py</w:t>
      </w:r>
      <w:r>
        <w:t xml:space="preserve">. Frozen config:</w:t>
      </w:r>
      <w:r>
        <w:t xml:space="preserve"> </w:t>
      </w:r>
      <w:r>
        <w:rPr>
          <w:rStyle w:val="VerbatimChar"/>
        </w:rPr>
        <w:t xml:space="preserve">reports/preprocessing/preprocessing_config.json</w:t>
      </w:r>
      <w:r>
        <w:t xml:space="preserve">.</w:t>
      </w:r>
    </w:p>
    <w:p>
      <w:pPr>
        <w:pStyle w:val="BodyText"/>
      </w:pPr>
      <w:r>
        <w:t xml:space="preserve">Table 3. Preprocessing parameters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Step</w:t>
            </w:r>
          </w:p>
        </w:tc>
        <w:tc>
          <w:tcPr/>
          <w:p>
            <w:pPr>
              <w:pStyle w:val="Compact"/>
            </w:pPr>
            <w:r>
              <w:t xml:space="preserve">Setting</w:t>
            </w:r>
          </w:p>
        </w:tc>
      </w:tr>
      <w:tr>
        <w:tc>
          <w:tcPr/>
          <w:p>
            <w:pPr>
              <w:pStyle w:val="Compact"/>
            </w:pPr>
            <w:r>
              <w:t xml:space="preserve">Demean</w:t>
            </w:r>
          </w:p>
        </w:tc>
        <w:tc>
          <w:tcPr/>
          <w:p>
            <w:pPr>
              <w:pStyle w:val="Compact"/>
            </w:pPr>
            <w:r>
              <w:t xml:space="preserve">Mean removal</w:t>
            </w:r>
          </w:p>
        </w:tc>
      </w:tr>
      <w:tr>
        <w:tc>
          <w:tcPr/>
          <w:p>
            <w:pPr>
              <w:pStyle w:val="Compact"/>
            </w:pPr>
            <w:r>
              <w:t xml:space="preserve">Detrend</w:t>
            </w:r>
          </w:p>
        </w:tc>
        <w:tc>
          <w:tcPr/>
          <w:p>
            <w:pPr>
              <w:pStyle w:val="Compact"/>
            </w:pPr>
            <w:r>
              <w:t xml:space="preserve">Linear</w:t>
            </w:r>
          </w:p>
        </w:tc>
      </w:tr>
      <w:tr>
        <w:tc>
          <w:tcPr/>
          <w:p>
            <w:pPr>
              <w:pStyle w:val="Compact"/>
            </w:pPr>
            <w:r>
              <w:t xml:space="preserve">Taper</w:t>
            </w:r>
          </w:p>
        </w:tc>
        <w:tc>
          <w:tcPr/>
          <w:p>
            <w:pPr>
              <w:pStyle w:val="Compact"/>
            </w:pPr>
            <w:r>
              <w:t xml:space="preserve">Hann, 5%</w:t>
            </w:r>
          </w:p>
        </w:tc>
      </w:tr>
      <w:tr>
        <w:tc>
          <w:tcPr/>
          <w:p>
            <w:pPr>
              <w:pStyle w:val="Compact"/>
            </w:pPr>
            <w:r>
              <w:t xml:space="preserve">Band-pass</w:t>
            </w:r>
          </w:p>
        </w:tc>
        <w:tc>
          <w:tcPr/>
          <w:p>
            <w:pPr>
              <w:pStyle w:val="Compact"/>
            </w:pPr>
            <w:r>
              <w:t xml:space="preserve">0.1–15 Hz, four corners, zero-phase</w:t>
            </w:r>
          </w:p>
        </w:tc>
      </w:tr>
      <w:tr>
        <w:tc>
          <w:tcPr/>
          <w:p>
            <w:pPr>
              <w:pStyle w:val="Compact"/>
            </w:pPr>
            <w:r>
              <w:t xml:space="preserve">Instrument response</w:t>
            </w:r>
          </w:p>
        </w:tc>
        <w:tc>
          <w:tcPr/>
          <w:p>
            <w:pPr>
              <w:pStyle w:val="Compact"/>
            </w:pPr>
            <w:r>
              <w:t xml:space="preserve">EarthScope</w:t>
            </w:r>
            <w:r>
              <w:t xml:space="preserve"> </w:t>
            </w:r>
            <w:r>
              <w:rPr>
                <w:rStyle w:val="VerbatimChar"/>
              </w:rPr>
              <w:t xml:space="preserve">level=response</w:t>
            </w:r>
            <w:r>
              <w:t xml:space="preserve"> </w:t>
            </w:r>
            <w:r>
              <w:t xml:space="preserve">→ velocity (attempted)</w:t>
            </w:r>
          </w:p>
        </w:tc>
      </w:tr>
      <w:tr>
        <w:tc>
          <w:tcPr/>
          <w:p>
            <w:pPr>
              <w:pStyle w:val="Compact"/>
            </w:pPr>
            <w:r>
              <w:t xml:space="preserve">Normalisation</w:t>
            </w:r>
          </w:p>
        </w:tc>
        <w:tc>
          <w:tcPr/>
          <w:p>
            <w:pPr>
              <w:pStyle w:val="Compact"/>
            </w:pPr>
            <w:r>
              <w:t xml:space="preserve">Peak absolute amplitude</w:t>
            </w:r>
          </w:p>
        </w:tc>
      </w:tr>
    </w:tbl>
    <w:p>
      <w:pPr>
        <w:pStyle w:val="BodyText"/>
      </w:pPr>
      <w:r>
        <w:t xml:space="preserve">Outcome: Response removal 0/8 applied (skipped); filtered traces remain in counts (</w:t>
      </w:r>
      <w:r>
        <w:rPr>
          <w:rStyle w:val="VerbatimChar"/>
        </w:rPr>
        <w:t xml:space="preserve">docs/PREPROCESSING_REPORT.md</w:t>
      </w:r>
      <w:r>
        <w:t xml:space="preserve"> </w:t>
      </w:r>
      <w:r>
        <w:t xml:space="preserve">§4). Stages:</w:t>
      </w:r>
      <w:r>
        <w:t xml:space="preserve"> </w:t>
      </w:r>
      <w:r>
        <w:rPr>
          <w:rStyle w:val="VerbatimChar"/>
        </w:rPr>
        <w:t xml:space="preserve">reports/preprocessing/&lt;short_id&gt;_stages.npz</w:t>
      </w:r>
      <w:r>
        <w:t xml:space="preserve">.</w:t>
      </w:r>
    </w:p>
    <w:bookmarkEnd w:id="29"/>
    <w:bookmarkStart w:id="30" w:name="feature-engineering-phase-b.2"/>
    <w:p>
      <w:pPr>
        <w:pStyle w:val="Heading3"/>
      </w:pPr>
      <w:r>
        <w:t xml:space="preserve">6.5 Feature engineering (Phase B.2)</w:t>
      </w:r>
    </w:p>
    <w:p>
      <w:pPr>
        <w:pStyle w:val="FirstParagraph"/>
      </w:pPr>
      <w:r>
        <w:t xml:space="preserve">Script:</w:t>
      </w:r>
      <w:r>
        <w:t xml:space="preserve"> </w:t>
      </w:r>
      <w:r>
        <w:rPr>
          <w:rStyle w:val="VerbatimChar"/>
        </w:rPr>
        <w:t xml:space="preserve">scripts/analysis/run_california_feature_engineering.py</w:t>
      </w:r>
      <w:r>
        <w:t xml:space="preserve">. 18 features from filtered traces; P times from Phase A.2 metrics JSON (</w:t>
      </w:r>
      <w:r>
        <w:rPr>
          <w:rStyle w:val="VerbatimChar"/>
        </w:rPr>
        <w:t xml:space="preserve">docs/FEATURE_ENGINEERING_REPORT.md</w:t>
      </w:r>
      <w:r>
        <w:t xml:space="preserve">).</w:t>
      </w:r>
    </w:p>
    <w:p>
      <w:pPr>
        <w:pStyle w:val="BodyText"/>
      </w:pPr>
      <w:r>
        <w:t xml:space="preserve">Table 7. Feature domains (18 features)</w:t>
      </w:r>
    </w:p>
    <w:tbl>
      <w:tblPr>
        <w:tblStyle w:val="Table"/>
        <w:tblW w:type="pct" w:w="5000"/>
        <w:tblLayout w:type="fixed"/>
        <w:tblLook w:firstRow="1" w:lastRow="0" w:firstColumn="0" w:lastColumn="0" w:noHBand="0" w:noVBand="0" w:val="0020"/>
      </w:tblPr>
      <w:tblGrid>
        <w:gridCol w:w="1440"/>
        <w:gridCol w:w="1260"/>
        <w:gridCol w:w="5220"/>
      </w:tblGrid>
      <w:tr>
        <w:trPr>
          <w:tblHeader w:val="on"/>
        </w:trPr>
        <w:tc>
          <w:tcPr/>
          <w:p>
            <w:pPr>
              <w:pStyle w:val="Compact"/>
            </w:pPr>
            <w:r>
              <w:t xml:space="preserve">Domain</w:t>
            </w:r>
          </w:p>
        </w:tc>
        <w:tc>
          <w:tcPr/>
          <w:p>
            <w:pPr>
              <w:pStyle w:val="Compact"/>
            </w:pPr>
            <w:r>
              <w:t xml:space="preserve">Count</w:t>
            </w:r>
          </w:p>
        </w:tc>
        <w:tc>
          <w:tcPr/>
          <w:p>
            <w:pPr>
              <w:pStyle w:val="Compact"/>
            </w:pPr>
            <w:r>
              <w:t xml:space="preserve">Examples (repository names)</w:t>
            </w:r>
          </w:p>
        </w:tc>
      </w:tr>
      <w:tr>
        <w:tc>
          <w:tcPr/>
          <w:p>
            <w:pPr>
              <w:pStyle w:val="Compact"/>
            </w:pPr>
            <w:r>
              <w:t xml:space="preserve">Time-domain</w:t>
            </w:r>
          </w:p>
        </w:tc>
        <w:tc>
          <w:tcPr/>
          <w:p>
            <w:pPr>
              <w:pStyle w:val="Compact"/>
            </w:pPr>
            <w:r>
              <w:t xml:space="preserve">9</w:t>
            </w:r>
          </w:p>
        </w:tc>
        <w:tc>
          <w:tcPr/>
          <w:p>
            <w:pPr>
              <w:pStyle w:val="Compact"/>
            </w:pPr>
            <w:r>
              <w:rPr>
                <w:rStyle w:val="VerbatimChar"/>
              </w:rPr>
              <w:t xml:space="preserve">peak_amplitude</w:t>
            </w:r>
            <w:r>
              <w:t xml:space="preserve">,</w:t>
            </w:r>
            <w:r>
              <w:t xml:space="preserve"> </w:t>
            </w:r>
            <w:r>
              <w:rPr>
                <w:rStyle w:val="VerbatimChar"/>
              </w:rPr>
              <w:t xml:space="preserve">rms</w:t>
            </w:r>
            <w:r>
              <w:t xml:space="preserve">,</w:t>
            </w:r>
            <w:r>
              <w:t xml:space="preserve"> </w:t>
            </w:r>
            <w:r>
              <w:rPr>
                <w:rStyle w:val="VerbatimChar"/>
              </w:rPr>
              <w:t xml:space="preserve">crest_factor</w:t>
            </w:r>
            <w:r>
              <w:t xml:space="preserve">,</w:t>
            </w:r>
            <w:r>
              <w:t xml:space="preserve"> </w:t>
            </w:r>
            <w:r>
              <w:rPr>
                <w:rStyle w:val="VerbatimChar"/>
              </w:rPr>
              <w:t xml:space="preserve">zero_crossing_rate_hz</w:t>
            </w:r>
            <w:r>
              <w:t xml:space="preserve">,</w:t>
            </w:r>
            <w:r>
              <w:t xml:space="preserve"> </w:t>
            </w:r>
            <w:r>
              <w:rPr>
                <w:rStyle w:val="VerbatimChar"/>
              </w:rPr>
              <w:t xml:space="preserve">signal_entropy</w:t>
            </w:r>
            <w:r>
              <w:t xml:space="preserve">, …</w:t>
            </w:r>
          </w:p>
        </w:tc>
      </w:tr>
      <w:tr>
        <w:tc>
          <w:tcPr/>
          <w:p>
            <w:pPr>
              <w:pStyle w:val="Compact"/>
            </w:pPr>
            <w:r>
              <w:t xml:space="preserve">Frequency-domain</w:t>
            </w:r>
          </w:p>
        </w:tc>
        <w:tc>
          <w:tcPr/>
          <w:p>
            <w:pPr>
              <w:pStyle w:val="Compact"/>
            </w:pPr>
            <w:r>
              <w:t xml:space="preserve">5</w:t>
            </w:r>
          </w:p>
        </w:tc>
        <w:tc>
          <w:tcPr/>
          <w:p>
            <w:pPr>
              <w:pStyle w:val="Compact"/>
            </w:pPr>
            <w:r>
              <w:rPr>
                <w:rStyle w:val="VerbatimChar"/>
              </w:rPr>
              <w:t xml:space="preserve">dominant_frequency_hz</w:t>
            </w:r>
            <w:r>
              <w:t xml:space="preserve">,</w:t>
            </w:r>
            <w:r>
              <w:t xml:space="preserve"> </w:t>
            </w:r>
            <w:r>
              <w:rPr>
                <w:rStyle w:val="VerbatimChar"/>
              </w:rPr>
              <w:t xml:space="preserve">spectral_centroid_hz</w:t>
            </w:r>
            <w:r>
              <w:t xml:space="preserve">,</w:t>
            </w:r>
            <w:r>
              <w:t xml:space="preserve"> </w:t>
            </w:r>
            <w:r>
              <w:rPr>
                <w:rStyle w:val="VerbatimChar"/>
              </w:rPr>
              <w:t xml:space="preserve">spectral_bandwidth_hz</w:t>
            </w:r>
            <w:r>
              <w:t xml:space="preserve">,</w:t>
            </w:r>
            <w:r>
              <w:t xml:space="preserve"> </w:t>
            </w:r>
            <w:r>
              <w:rPr>
                <w:rStyle w:val="VerbatimChar"/>
              </w:rPr>
              <w:t xml:space="preserve">spectral_rolloff_95_hz</w:t>
            </w:r>
            <w:r>
              <w:t xml:space="preserve">,</w:t>
            </w:r>
            <w:r>
              <w:t xml:space="preserve"> </w:t>
            </w:r>
            <w:r>
              <w:rPr>
                <w:rStyle w:val="VerbatimChar"/>
              </w:rPr>
              <w:t xml:space="preserve">spectral_entropy</w:t>
            </w:r>
          </w:p>
        </w:tc>
      </w:tr>
      <w:tr>
        <w:tc>
          <w:tcPr/>
          <w:p>
            <w:pPr>
              <w:pStyle w:val="Compact"/>
            </w:pPr>
            <w:r>
              <w:t xml:space="preserve">Earthquake-related</w:t>
            </w:r>
          </w:p>
        </w:tc>
        <w:tc>
          <w:tcPr/>
          <w:p>
            <w:pPr>
              <w:pStyle w:val="Compact"/>
            </w:pPr>
            <w:r>
              <w:t xml:space="preserve">4</w:t>
            </w:r>
          </w:p>
        </w:tc>
        <w:tc>
          <w:tcPr/>
          <w:p>
            <w:pPr>
              <w:pStyle w:val="Compact"/>
            </w:pPr>
            <w:r>
              <w:rPr>
                <w:rStyle w:val="VerbatimChar"/>
              </w:rPr>
              <w:t xml:space="preserve">p_arrival_time_s</w:t>
            </w:r>
            <w:r>
              <w:t xml:space="preserve">,</w:t>
            </w:r>
            <w:r>
              <w:t xml:space="preserve"> </w:t>
            </w:r>
            <w:r>
              <w:rPr>
                <w:rStyle w:val="VerbatimChar"/>
              </w:rPr>
              <w:t xml:space="preserve">signal_duration_s</w:t>
            </w:r>
            <w:r>
              <w:t xml:space="preserve">,</w:t>
            </w:r>
            <w:r>
              <w:t xml:space="preserve"> </w:t>
            </w:r>
            <w:r>
              <w:rPr>
                <w:rStyle w:val="VerbatimChar"/>
              </w:rPr>
              <w:t xml:space="preserve">pgm_proxy_counts</w:t>
            </w:r>
            <w:r>
              <w:t xml:space="preserve">,</w:t>
            </w:r>
            <w:r>
              <w:t xml:space="preserve"> </w:t>
            </w:r>
            <w:r>
              <w:rPr>
                <w:rStyle w:val="VerbatimChar"/>
              </w:rPr>
              <w:t xml:space="preserve">arias_intensity_counts2_s_proxy</w:t>
            </w:r>
          </w:p>
        </w:tc>
      </w:tr>
    </w:tbl>
    <w:p>
      <w:pPr>
        <w:pStyle w:val="BodyText"/>
      </w:pPr>
      <w:r>
        <w:t xml:space="preserve">FFT spectra are figure-only (not matrix columns). PGM and Arias entries are counts-based proxies, not physical PGA or standard Arias intensity.</w:t>
      </w:r>
    </w:p>
    <w:bookmarkEnd w:id="30"/>
    <w:bookmarkStart w:id="31" w:name="X845daf52131d9c125fc316bfc10f67376828bc2"/>
    <w:p>
      <w:pPr>
        <w:pStyle w:val="Heading3"/>
      </w:pPr>
      <w:r>
        <w:t xml:space="preserve">6.6 EarthESND reference (not primary experiment)</w:t>
      </w:r>
    </w:p>
    <w:p>
      <w:pPr>
        <w:pStyle w:val="FirstParagraph"/>
      </w:pPr>
      <w:r>
        <w:t xml:space="preserve">Full EarthESND-aligned implementation in</w:t>
      </w:r>
      <w:r>
        <w:t xml:space="preserve"> </w:t>
      </w:r>
      <w:r>
        <w:rPr>
          <w:rStyle w:val="VerbatimChar"/>
        </w:rPr>
        <w:t xml:space="preserve">src/</w:t>
      </w:r>
      <w:r>
        <w:t xml:space="preserve"> </w:t>
      </w:r>
      <w:r>
        <w:t xml:space="preserve">with 88 passing tests on a complete checkout. K-NET scientific reproduction is not started. California pilot results did not use EarthESND modules (</w:t>
      </w:r>
      <w:r>
        <w:rPr>
          <w:rStyle w:val="VerbatimChar"/>
        </w:rPr>
        <w:t xml:space="preserve">docs/RESULTS_AND_DISCUSSION.md</w:t>
      </w:r>
      <w:r>
        <w:t xml:space="preserve"> </w:t>
      </w:r>
      <w:r>
        <w:t xml:space="preserve">§1).</w:t>
      </w:r>
    </w:p>
    <w:p>
      <w:r>
        <w:pict>
          <v:rect style="width:0;height:1.5pt" o:hralign="center" o:hrstd="t" o:hr="t"/>
        </w:pict>
      </w:r>
    </w:p>
    <w:bookmarkEnd w:id="31"/>
    <w:bookmarkEnd w:id="32"/>
    <w:bookmarkStart w:id="33" w:name="california-pilot-workflow-and-execution"/>
    <w:p>
      <w:pPr>
        <w:pStyle w:val="Heading2"/>
      </w:pPr>
      <w:r>
        <w:t xml:space="preserve">7. California pilot workflow and execution</w:t>
      </w:r>
    </w:p>
    <w:p>
      <w:pPr>
        <w:pStyle w:val="SourceCode"/>
      </w:pPr>
      <w:r>
        <w:rPr>
          <w:rStyle w:val="VerbatimChar"/>
        </w:rPr>
        <w:t xml:space="preserve">[Completed] USGS + EarthScope download → MiniSEED + CSV manifest</w:t>
      </w:r>
      <w:r>
        <w:br/>
      </w:r>
      <w:r>
        <w:rPr>
          <w:rStyle w:val="VerbatimChar"/>
        </w:rPr>
        <w:t xml:space="preserve">[Completed] Phase A.1 EDA → reports/eda/, four summary figures</w:t>
      </w:r>
      <w:r>
        <w:br/>
      </w:r>
      <w:r>
        <w:rPr>
          <w:rStyle w:val="VerbatimChar"/>
        </w:rPr>
        <w:t xml:space="preserve">[Completed] Phase A.2 Signal analysis → STA/LTA, SNR, eight four-panel figures</w:t>
      </w:r>
      <w:r>
        <w:br/>
      </w:r>
      <w:r>
        <w:rPr>
          <w:rStyle w:val="VerbatimChar"/>
        </w:rPr>
        <w:t xml:space="preserve">[Completed] Phase B.1 Preprocessing → stage NPZ, eight comparison figures</w:t>
      </w:r>
      <w:r>
        <w:br/>
      </w:r>
      <w:r>
        <w:rPr>
          <w:rStyle w:val="VerbatimChar"/>
        </w:rPr>
        <w:t xml:space="preserve">[Completed] Phase B.2 Features → 8×18 matrix, four feature figures</w:t>
      </w:r>
      <w:r>
        <w:br/>
      </w:r>
      <w:r>
        <w:rPr>
          <w:rStyle w:val="VerbatimChar"/>
        </w:rPr>
        <w:t xml:space="preserve">[Completed] Phase C Interpretation → docs/RESULTS_AND_DISCUSSION.md</w:t>
      </w:r>
      <w:r>
        <w:br/>
      </w:r>
      <w:r>
        <w:rPr>
          <w:rStyle w:val="VerbatimChar"/>
        </w:rPr>
        <w:t xml:space="preserve">[Completed] Deliverable 1 → Research_Proposal_v1.md</w:t>
      </w:r>
      <w:r>
        <w:br/>
      </w:r>
      <w:r>
        <w:rPr>
          <w:rStyle w:val="VerbatimChar"/>
        </w:rPr>
        <w:t xml:space="preserve">[Completed] D-S1/D-S2 → Reproducibility &amp; data availability statements</w:t>
      </w:r>
      <w:r>
        <w:br/>
      </w:r>
      <w:r>
        <w:rPr>
          <w:rStyle w:val="VerbatimChar"/>
        </w:rPr>
        <w:t xml:space="preserve">[Completed] D-F1 → final research report (this document)</w:t>
      </w:r>
      <w:r>
        <w:br/>
      </w:r>
      <w:r>
        <w:rPr>
          <w:rStyle w:val="VerbatimChar"/>
        </w:rPr>
        <w:t xml:space="preserve">[Proposed] European acquisition, response cache, larger N, ML, real-time</w:t>
      </w:r>
    </w:p>
    <w:p>
      <w:pPr>
        <w:pStyle w:val="FirstParagraph"/>
      </w:pPr>
      <w:r>
        <w:t xml:space="preserve">Reproduction commands: Appendix B. The EarthESND reference track remains optional (</w:t>
      </w:r>
      <w:r>
        <w:rPr>
          <w:rStyle w:val="VerbatimChar"/>
        </w:rPr>
        <w:t xml:space="preserve">docs/PAPER_REPRODUCTION.md</w:t>
      </w:r>
      <w:r>
        <w:t xml:space="preserve">).</w:t>
      </w:r>
    </w:p>
    <w:p>
      <w:r>
        <w:pict>
          <v:rect style="width:0;height:1.5pt" o:hralign="center" o:hrstd="t" o:hr="t"/>
        </w:pict>
      </w:r>
    </w:p>
    <w:bookmarkEnd w:id="33"/>
    <w:bookmarkStart w:id="74" w:name="results"/>
    <w:p>
      <w:pPr>
        <w:pStyle w:val="Heading2"/>
      </w:pPr>
      <w:r>
        <w:t xml:space="preserve">8. Results</w:t>
      </w:r>
    </w:p>
    <w:p>
      <w:pPr>
        <w:pStyle w:val="FirstParagraph"/>
      </w:pPr>
      <w:r>
        <w:rPr>
          <w:i/>
          <w:iCs/>
        </w:rPr>
        <w:t xml:space="preserve">Primary synthesis:</w:t>
      </w:r>
      <w:r>
        <w:rPr>
          <w:i/>
          <w:iCs/>
        </w:rPr>
        <w:t xml:space="preserve"> </w:t>
      </w:r>
      <w:r>
        <w:rPr>
          <w:rStyle w:val="VerbatimChar"/>
          <w:i/>
          <w:iCs/>
        </w:rPr>
        <w:t xml:space="preserve">docs/RESULTS_AND_DISCUSSION.md</w:t>
      </w:r>
      <w:r>
        <w:rPr>
          <w:i/>
          <w:iCs/>
        </w:rPr>
        <w:t xml:space="preserve">. No new numbers below.</w:t>
      </w:r>
    </w:p>
    <w:bookmarkStart w:id="46" w:name="exploratory-data-analysis"/>
    <w:p>
      <w:pPr>
        <w:pStyle w:val="Heading3"/>
      </w:pPr>
      <w:r>
        <w:t xml:space="preserve">8.1 Exploratory data analysis</w:t>
      </w:r>
    </w:p>
    <w:p>
      <w:pPr>
        <w:pStyle w:val="FirstParagraph"/>
      </w:pPr>
      <w:r>
        <w:t xml:space="preserve">Eight events occupy a narrow M 4–5 band; CI.ADO supplies six of eight traces. Figures 1–4 summarise raw example, magnitude distribution, temporal coverage, and station usage.</w:t>
      </w:r>
    </w:p>
    <w:p>
      <w:pPr>
        <w:pStyle w:val="CaptionedFigure"/>
      </w:pPr>
      <w:r>
        <w:drawing>
          <wp:inline>
            <wp:extent cx="5334000" cy="2703534"/>
            <wp:effectExtent b="0" l="0" r="0" t="0"/>
            <wp:docPr descr="Figure 1: Raw BHZ record (highest pilot magnitude M 4.87, CI.ADO); amplitudes in digital counts, 300 s window from trace start." title="" id="35" name="Picture"/>
            <a:graphic>
              <a:graphicData uri="http://schemas.openxmlformats.org/drawingml/2006/picture">
                <pic:pic>
                  <pic:nvPicPr>
                    <pic:cNvPr descr="figures/example_waveform_raw.png" id="36" name="Picture"/>
                    <pic:cNvPicPr>
                      <a:picLocks noChangeArrowheads="1" noChangeAspect="1"/>
                    </pic:cNvPicPr>
                  </pic:nvPicPr>
                  <pic:blipFill>
                    <a:blip r:embed="rId34"/>
                    <a:stretch>
                      <a:fillRect/>
                    </a:stretch>
                  </pic:blipFill>
                  <pic:spPr bwMode="auto">
                    <a:xfrm>
                      <a:off x="0" y="0"/>
                      <a:ext cx="5334000" cy="2703534"/>
                    </a:xfrm>
                    <a:prstGeom prst="rect">
                      <a:avLst/>
                    </a:prstGeom>
                    <a:noFill/>
                    <a:ln w="9525">
                      <a:noFill/>
                      <a:headEnd/>
                      <a:tailEnd/>
                    </a:ln>
                  </pic:spPr>
                </pic:pic>
              </a:graphicData>
            </a:graphic>
          </wp:inline>
        </w:drawing>
      </w:r>
    </w:p>
    <w:p>
      <w:pPr>
        <w:pStyle w:val="ImageCaption"/>
      </w:pPr>
      <w:r>
        <w:t xml:space="preserve">Figure 1: Raw BHZ record (highest pilot magnitude M 4.87, CI.ADO); amplitudes in digital counts, 300 s window from trace start.</w:t>
      </w:r>
    </w:p>
    <w:p>
      <w:pPr>
        <w:pStyle w:val="CaptionedFigure"/>
      </w:pPr>
      <w:r>
        <w:drawing>
          <wp:inline>
            <wp:extent cx="4672920" cy="3633134"/>
            <wp:effectExtent b="0" l="0" r="0" t="0"/>
            <wp:docPr descr="Figure 2: Magnitude distribution for eight manifest events." title="" id="38" name="Picture"/>
            <a:graphic>
              <a:graphicData uri="http://schemas.openxmlformats.org/drawingml/2006/picture">
                <pic:pic>
                  <pic:nvPicPr>
                    <pic:cNvPr descr="figures/magnitude_histogram.png" id="39" name="Picture"/>
                    <pic:cNvPicPr>
                      <a:picLocks noChangeArrowheads="1" noChangeAspect="1"/>
                    </pic:cNvPicPr>
                  </pic:nvPicPr>
                  <pic:blipFill>
                    <a:blip r:embed="rId37"/>
                    <a:stretch>
                      <a:fillRect/>
                    </a:stretch>
                  </pic:blipFill>
                  <pic:spPr bwMode="auto">
                    <a:xfrm>
                      <a:off x="0" y="0"/>
                      <a:ext cx="4672920" cy="3633134"/>
                    </a:xfrm>
                    <a:prstGeom prst="rect">
                      <a:avLst/>
                    </a:prstGeom>
                    <a:noFill/>
                    <a:ln w="9525">
                      <a:noFill/>
                      <a:headEnd/>
                      <a:tailEnd/>
                    </a:ln>
                  </pic:spPr>
                </pic:pic>
              </a:graphicData>
            </a:graphic>
          </wp:inline>
        </w:drawing>
      </w:r>
    </w:p>
    <w:p>
      <w:pPr>
        <w:pStyle w:val="ImageCaption"/>
      </w:pPr>
      <w:r>
        <w:t xml:space="preserve">Figure 2: Magnitude distribution for eight manifest events.</w:t>
      </w:r>
    </w:p>
    <w:p>
      <w:pPr>
        <w:pStyle w:val="CaptionedFigure"/>
      </w:pPr>
      <w:r>
        <w:drawing>
          <wp:inline>
            <wp:extent cx="5334000" cy="2976997"/>
            <wp:effectExtent b="0" l="0" r="0" t="0"/>
            <wp:docPr descr="Figure 3: Origin time versus magnitude for manifest events." title="" id="41" name="Picture"/>
            <a:graphic>
              <a:graphicData uri="http://schemas.openxmlformats.org/drawingml/2006/picture">
                <pic:pic>
                  <pic:nvPicPr>
                    <pic:cNvPr descr="figures/events_over_time.png" id="42" name="Picture"/>
                    <pic:cNvPicPr>
                      <a:picLocks noChangeArrowheads="1" noChangeAspect="1"/>
                    </pic:cNvPicPr>
                  </pic:nvPicPr>
                  <pic:blipFill>
                    <a:blip r:embed="rId40"/>
                    <a:stretch>
                      <a:fillRect/>
                    </a:stretch>
                  </pic:blipFill>
                  <pic:spPr bwMode="auto">
                    <a:xfrm>
                      <a:off x="0" y="0"/>
                      <a:ext cx="5334000" cy="2976997"/>
                    </a:xfrm>
                    <a:prstGeom prst="rect">
                      <a:avLst/>
                    </a:prstGeom>
                    <a:noFill/>
                    <a:ln w="9525">
                      <a:noFill/>
                      <a:headEnd/>
                      <a:tailEnd/>
                    </a:ln>
                  </pic:spPr>
                </pic:pic>
              </a:graphicData>
            </a:graphic>
          </wp:inline>
        </w:drawing>
      </w:r>
    </w:p>
    <w:p>
      <w:pPr>
        <w:pStyle w:val="ImageCaption"/>
      </w:pPr>
      <w:r>
        <w:t xml:space="preserve">Figure 3: Origin time versus magnitude for manifest events.</w:t>
      </w:r>
    </w:p>
    <w:p>
      <w:pPr>
        <w:pStyle w:val="CaptionedFigure"/>
      </w:pPr>
      <w:r>
        <w:drawing>
          <wp:inline>
            <wp:extent cx="4877819" cy="3633134"/>
            <wp:effectExtent b="0" l="0" r="0" t="0"/>
            <wp:docPr descr="Figure 4: Station usage frequency (CI.ADO vs CI.USC)." title="" id="44" name="Picture"/>
            <a:graphic>
              <a:graphicData uri="http://schemas.openxmlformats.org/drawingml/2006/picture">
                <pic:pic>
                  <pic:nvPicPr>
                    <pic:cNvPr descr="figures/station_usage_frequency.png" id="45" name="Picture"/>
                    <pic:cNvPicPr>
                      <a:picLocks noChangeArrowheads="1" noChangeAspect="1"/>
                    </pic:cNvPicPr>
                  </pic:nvPicPr>
                  <pic:blipFill>
                    <a:blip r:embed="rId43"/>
                    <a:stretch>
                      <a:fillRect/>
                    </a:stretch>
                  </pic:blipFill>
                  <pic:spPr bwMode="auto">
                    <a:xfrm>
                      <a:off x="0" y="0"/>
                      <a:ext cx="4877819" cy="3633134"/>
                    </a:xfrm>
                    <a:prstGeom prst="rect">
                      <a:avLst/>
                    </a:prstGeom>
                    <a:noFill/>
                    <a:ln w="9525">
                      <a:noFill/>
                      <a:headEnd/>
                      <a:tailEnd/>
                    </a:ln>
                  </pic:spPr>
                </pic:pic>
              </a:graphicData>
            </a:graphic>
          </wp:inline>
        </w:drawing>
      </w:r>
    </w:p>
    <w:p>
      <w:pPr>
        <w:pStyle w:val="ImageCaption"/>
      </w:pPr>
      <w:r>
        <w:t xml:space="preserve">Figure 4: Station usage frequency (CI.ADO vs CI.USC).</w:t>
      </w:r>
    </w:p>
    <w:p>
      <w:pPr>
        <w:pStyle w:val="BodyText"/>
      </w:pPr>
      <w:r>
        <w:t xml:space="preserve">Interpretation (</w:t>
      </w:r>
      <w:r>
        <w:rPr>
          <w:rStyle w:val="VerbatimChar"/>
        </w:rPr>
        <w:t xml:space="preserve">docs/RESULTS_AND_DISCUSSION.md</w:t>
      </w:r>
      <w:r>
        <w:t xml:space="preserve"> </w:t>
      </w:r>
      <w:r>
        <w:t xml:space="preserve">§2.3): The histogram reflects query cutoffs, not regional completeness. Temporal gaps reflect download success. ADO dominance is structural bias from the acquisition script.</w:t>
      </w:r>
    </w:p>
    <w:bookmarkEnd w:id="46"/>
    <w:bookmarkStart w:id="53" w:name="signal-analysis-and-waveform-behaviour"/>
    <w:p>
      <w:pPr>
        <w:pStyle w:val="Heading3"/>
      </w:pPr>
      <w:r>
        <w:t xml:space="preserve">8.2 Signal analysis and waveform behaviour</w:t>
      </w:r>
    </w:p>
    <w:p>
      <w:pPr>
        <w:pStyle w:val="FirstParagraph"/>
      </w:pPr>
      <w:r>
        <w:t xml:space="preserve">Peak raw amplitudes span approximately 1.7×10⁴ to 3.5×10⁶ counts (</w:t>
      </w:r>
      <w:r>
        <w:rPr>
          <w:rStyle w:val="VerbatimChar"/>
        </w:rPr>
        <w:t xml:space="preserve">reports/signal_analysis/signal_analysis_summary.json</w:t>
      </w:r>
      <w:r>
        <w:t xml:space="preserve">).</w:t>
      </w:r>
    </w:p>
    <w:p>
      <w:pPr>
        <w:pStyle w:val="BodyText"/>
      </w:pPr>
      <w:r>
        <w:t xml:space="preserve">Table 4. Aggregate signal metrics (eight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P pick (s from trace start)</w:t>
            </w:r>
          </w:p>
        </w:tc>
        <w:tc>
          <w:tcPr/>
          <w:p>
            <w:pPr>
              <w:pStyle w:val="Compact"/>
            </w:pPr>
            <w:r>
              <w:t xml:space="preserve">10.15 – 55.15 (mean 31.3)</w:t>
            </w:r>
          </w:p>
        </w:tc>
      </w:tr>
      <w:tr>
        <w:tc>
          <w:tcPr/>
          <w:p>
            <w:pPr>
              <w:pStyle w:val="Compact"/>
            </w:pPr>
            <w:r>
              <w:t xml:space="preserve">SNR (peak), raw</w:t>
            </w:r>
          </w:p>
        </w:tc>
        <w:tc>
          <w:tcPr/>
          <w:p>
            <w:pPr>
              <w:pStyle w:val="Compact"/>
            </w:pPr>
            <w:r>
              <w:t xml:space="preserve">6.3 – 778 (median 49.9)</w:t>
            </w:r>
          </w:p>
        </w:tc>
      </w:tr>
      <w:tr>
        <w:tc>
          <w:tcPr/>
          <w:p>
            <w:pPr>
              <w:pStyle w:val="Compact"/>
            </w:pPr>
            <w:r>
              <w:t xml:space="preserve">Signal duration (post-P proxy)</w:t>
            </w:r>
          </w:p>
        </w:tc>
        <w:tc>
          <w:tcPr/>
          <w:p>
            <w:pPr>
              <w:pStyle w:val="Compact"/>
            </w:pPr>
            <w:r>
              <w:t xml:space="preserve">0 – 289.5 s (mean 183.2)</w:t>
            </w:r>
          </w:p>
        </w:tc>
      </w:tr>
    </w:tbl>
    <w:p>
      <w:pPr>
        <w:pStyle w:val="BodyText"/>
      </w:pPr>
      <w:r>
        <w:t xml:space="preserve">Table 5. Station-level signal contrasts (</w:t>
      </w:r>
      <w:r>
        <w:rPr>
          <w:rStyle w:val="VerbatimChar"/>
        </w:rPr>
        <w:t xml:space="preserve">signal_analysis_summary.json</w:t>
      </w:r>
      <w:r>
        <w:t xml:space="preserve">)</w:t>
      </w:r>
    </w:p>
    <w:tbl>
      <w:tblPr>
        <w:tblStyle w:val="Table"/>
        <w:tblW w:type="pct" w:w="5000"/>
        <w:tblLayout w:type="fixed"/>
        <w:tblLook w:firstRow="1" w:lastRow="0" w:firstColumn="0" w:lastColumn="0" w:noHBand="0" w:noVBand="0" w:val="0020"/>
      </w:tblPr>
      <w:tblGrid>
        <w:gridCol w:w="1063"/>
        <w:gridCol w:w="354"/>
        <w:gridCol w:w="2009"/>
        <w:gridCol w:w="2009"/>
        <w:gridCol w:w="2482"/>
      </w:tblGrid>
      <w:tr>
        <w:trPr>
          <w:tblHeader w:val="on"/>
        </w:trPr>
        <w:tc>
          <w:tcPr/>
          <w:p>
            <w:pPr>
              <w:pStyle w:val="Compact"/>
            </w:pPr>
            <w:r>
              <w:t xml:space="preserve">Station</w:t>
            </w:r>
          </w:p>
        </w:tc>
        <w:tc>
          <w:tcPr/>
          <w:p>
            <w:pPr>
              <w:pStyle w:val="Compact"/>
            </w:pPr>
            <w:r>
              <w:t xml:space="preserve">n</w:t>
            </w:r>
          </w:p>
        </w:tc>
        <w:tc>
          <w:tcPr/>
          <w:p>
            <w:pPr>
              <w:pStyle w:val="Compact"/>
            </w:pPr>
            <w:r>
              <w:t xml:space="preserve">Mean SNR (peak)</w:t>
            </w:r>
          </w:p>
        </w:tc>
        <w:tc>
          <w:tcPr/>
          <w:p>
            <w:pPr>
              <w:pStyle w:val="Compact"/>
            </w:pPr>
            <w:r>
              <w:t xml:space="preserve">Mean P pick (s)</w:t>
            </w:r>
          </w:p>
        </w:tc>
        <w:tc>
          <w:tcPr/>
          <w:p>
            <w:pPr>
              <w:pStyle w:val="Compact"/>
            </w:pPr>
            <w:r>
              <w:t xml:space="preserve">Mean peak (counts)</w:t>
            </w:r>
          </w:p>
        </w:tc>
      </w:tr>
      <w:tr>
        <w:tc>
          <w:tcPr/>
          <w:p>
            <w:pPr>
              <w:pStyle w:val="Compact"/>
            </w:pPr>
            <w:r>
              <w:t xml:space="preserve">CI.ADO</w:t>
            </w:r>
          </w:p>
        </w:tc>
        <w:tc>
          <w:tcPr/>
          <w:p>
            <w:pPr>
              <w:pStyle w:val="Compact"/>
            </w:pPr>
            <w:r>
              <w:t xml:space="preserve">6</w:t>
            </w:r>
          </w:p>
        </w:tc>
        <w:tc>
          <w:tcPr/>
          <w:p>
            <w:pPr>
              <w:pStyle w:val="Compact"/>
            </w:pPr>
            <w:r>
              <w:t xml:space="preserve">169</w:t>
            </w:r>
          </w:p>
        </w:tc>
        <w:tc>
          <w:tcPr/>
          <w:p>
            <w:pPr>
              <w:pStyle w:val="Compact"/>
            </w:pPr>
            <w:r>
              <w:t xml:space="preserve">30.5</w:t>
            </w:r>
          </w:p>
        </w:tc>
        <w:tc>
          <w:tcPr/>
          <w:p>
            <w:pPr>
              <w:pStyle w:val="Compact"/>
            </w:pPr>
            <w:r>
              <w:t xml:space="preserve">2.98×10⁵</w:t>
            </w:r>
          </w:p>
        </w:tc>
      </w:tr>
      <w:tr>
        <w:tc>
          <w:tcPr/>
          <w:p>
            <w:pPr>
              <w:pStyle w:val="Compact"/>
            </w:pPr>
            <w:r>
              <w:t xml:space="preserve">CI.USC</w:t>
            </w:r>
          </w:p>
        </w:tc>
        <w:tc>
          <w:tcPr/>
          <w:p>
            <w:pPr>
              <w:pStyle w:val="Compact"/>
            </w:pPr>
            <w:r>
              <w:t xml:space="preserve">2</w:t>
            </w:r>
          </w:p>
        </w:tc>
        <w:tc>
          <w:tcPr/>
          <w:p>
            <w:pPr>
              <w:pStyle w:val="Compact"/>
            </w:pPr>
            <w:r>
              <w:t xml:space="preserve">42</w:t>
            </w:r>
          </w:p>
        </w:tc>
        <w:tc>
          <w:tcPr/>
          <w:p>
            <w:pPr>
              <w:pStyle w:val="Compact"/>
            </w:pPr>
            <w:r>
              <w:t xml:space="preserve">33.6</w:t>
            </w:r>
          </w:p>
        </w:tc>
        <w:tc>
          <w:tcPr/>
          <w:p>
            <w:pPr>
              <w:pStyle w:val="Compact"/>
            </w:pPr>
            <w:r>
              <w:t xml:space="preserve">1.83×10⁶</w:t>
            </w:r>
          </w:p>
        </w:tc>
      </w:tr>
    </w:tbl>
    <w:p>
      <w:pPr>
        <w:pStyle w:val="BodyText"/>
      </w:pPr>
      <w:r>
        <w:t xml:space="preserve">Figure 5 shows ci40675215 (M 4.87, high SNR, early pick ~10.2 s). Figure 6 shows ci40699207 at CI.USC (SNR ~6, duration 0 s), illustrating noise-window contamination when downloads start at origin time.</w:t>
      </w:r>
    </w:p>
    <w:p>
      <w:pPr>
        <w:pStyle w:val="CaptionedFigure"/>
      </w:pPr>
      <w:r>
        <w:drawing>
          <wp:inline>
            <wp:extent cx="5334000" cy="5397952"/>
            <wp:effectExtent b="0" l="0" r="0" t="0"/>
            <wp:docPr descr="Figure 5: Signal analysis panels for ci40675215 (raw, normalised, STA/LTA, P marker)." title="" id="48" name="Picture"/>
            <a:graphic>
              <a:graphicData uri="http://schemas.openxmlformats.org/drawingml/2006/picture">
                <pic:pic>
                  <pic:nvPicPr>
                    <pic:cNvPr descr="figures/signal_analysis_ci40675215.png" id="49" name="Picture"/>
                    <pic:cNvPicPr>
                      <a:picLocks noChangeArrowheads="1" noChangeAspect="1"/>
                    </pic:cNvPicPr>
                  </pic:nvPicPr>
                  <pic:blipFill>
                    <a:blip r:embed="rId47"/>
                    <a:stretch>
                      <a:fillRect/>
                    </a:stretch>
                  </pic:blipFill>
                  <pic:spPr bwMode="auto">
                    <a:xfrm>
                      <a:off x="0" y="0"/>
                      <a:ext cx="5334000" cy="5397952"/>
                    </a:xfrm>
                    <a:prstGeom prst="rect">
                      <a:avLst/>
                    </a:prstGeom>
                    <a:noFill/>
                    <a:ln w="9525">
                      <a:noFill/>
                      <a:headEnd/>
                      <a:tailEnd/>
                    </a:ln>
                  </pic:spPr>
                </pic:pic>
              </a:graphicData>
            </a:graphic>
          </wp:inline>
        </w:drawing>
      </w:r>
    </w:p>
    <w:p>
      <w:pPr>
        <w:pStyle w:val="ImageCaption"/>
      </w:pPr>
      <w:r>
        <w:t xml:space="preserve">Figure 5: Signal analysis panels for ci40675215 (raw, normalised, STA/LTA, P marker).</w:t>
      </w:r>
    </w:p>
    <w:p>
      <w:pPr>
        <w:pStyle w:val="CaptionedFigure"/>
      </w:pPr>
      <w:r>
        <w:drawing>
          <wp:inline>
            <wp:extent cx="5334000" cy="5397952"/>
            <wp:effectExtent b="0" l="0" r="0" t="0"/>
            <wp:docPr descr="Figure 6: Signal analysis panels for ci40699207 (low peak-SNR case at USC)." title="" id="51" name="Picture"/>
            <a:graphic>
              <a:graphicData uri="http://schemas.openxmlformats.org/drawingml/2006/picture">
                <pic:pic>
                  <pic:nvPicPr>
                    <pic:cNvPr descr="figures/signal_analysis_ci40699207.png" id="52" name="Picture"/>
                    <pic:cNvPicPr>
                      <a:picLocks noChangeArrowheads="1" noChangeAspect="1"/>
                    </pic:cNvPicPr>
                  </pic:nvPicPr>
                  <pic:blipFill>
                    <a:blip r:embed="rId50"/>
                    <a:stretch>
                      <a:fillRect/>
                    </a:stretch>
                  </pic:blipFill>
                  <pic:spPr bwMode="auto">
                    <a:xfrm>
                      <a:off x="0" y="0"/>
                      <a:ext cx="5334000" cy="5397952"/>
                    </a:xfrm>
                    <a:prstGeom prst="rect">
                      <a:avLst/>
                    </a:prstGeom>
                    <a:noFill/>
                    <a:ln w="9525">
                      <a:noFill/>
                      <a:headEnd/>
                      <a:tailEnd/>
                    </a:ln>
                  </pic:spPr>
                </pic:pic>
              </a:graphicData>
            </a:graphic>
          </wp:inline>
        </w:drawing>
      </w:r>
    </w:p>
    <w:p>
      <w:pPr>
        <w:pStyle w:val="ImageCaption"/>
      </w:pPr>
      <w:r>
        <w:t xml:space="preserve">Figure 6: Signal analysis panels for ci40699207 (low peak-SNR case at USC).</w:t>
      </w:r>
    </w:p>
    <w:bookmarkEnd w:id="53"/>
    <w:bookmarkStart w:id="60" w:name="preprocessing"/>
    <w:p>
      <w:pPr>
        <w:pStyle w:val="Heading3"/>
      </w:pPr>
      <w:r>
        <w:t xml:space="preserve">8.3 Preprocessing</w:t>
      </w:r>
    </w:p>
    <w:p>
      <w:pPr>
        <w:pStyle w:val="FirstParagraph"/>
      </w:pPr>
      <w:r>
        <w:t xml:space="preserve">Table 6. Preprocessing SNR aggregates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Mean SNR (peak)</w:t>
            </w:r>
          </w:p>
        </w:tc>
      </w:tr>
      <w:tr>
        <w:tc>
          <w:tcPr/>
          <w:p>
            <w:pPr>
              <w:pStyle w:val="Compact"/>
            </w:pPr>
            <w:r>
              <w:t xml:space="preserve">Raw</w:t>
            </w:r>
          </w:p>
        </w:tc>
        <w:tc>
          <w:tcPr/>
          <w:p>
            <w:pPr>
              <w:pStyle w:val="Compact"/>
            </w:pPr>
            <w:r>
              <w:t xml:space="preserve">137</w:t>
            </w:r>
          </w:p>
        </w:tc>
      </w:tr>
      <w:tr>
        <w:tc>
          <w:tcPr/>
          <w:p>
            <w:pPr>
              <w:pStyle w:val="Compact"/>
            </w:pPr>
            <w:r>
              <w:t xml:space="preserve">Filtered (pre-normalisation)</w:t>
            </w:r>
          </w:p>
        </w:tc>
        <w:tc>
          <w:tcPr/>
          <w:p>
            <w:pPr>
              <w:pStyle w:val="Compact"/>
            </w:pPr>
            <w:r>
              <w:t xml:space="preserve">1684</w:t>
            </w:r>
          </w:p>
        </w:tc>
      </w:tr>
    </w:tbl>
    <w:p>
      <w:pPr>
        <w:pStyle w:val="BodyText"/>
      </w:pPr>
      <w:r>
        <w:t xml:space="preserve">Filtered/raw SNR ratio range 2.5–27.6 (mean 17.1). Figures 7–8 show four-panel progressions (raw → detrended → filtered → normalised) for the same events as Figures 5–6.</w:t>
      </w:r>
    </w:p>
    <w:p>
      <w:pPr>
        <w:pStyle w:val="CaptionedFigure"/>
      </w:pPr>
      <w:r>
        <w:drawing>
          <wp:inline>
            <wp:extent cx="5334000" cy="5318011"/>
            <wp:effectExtent b="0" l="0" r="0" t="0"/>
            <wp:docPr descr="Figure 7: Preprocessing stages for ci40675215." title="" id="55" name="Picture"/>
            <a:graphic>
              <a:graphicData uri="http://schemas.openxmlformats.org/drawingml/2006/picture">
                <pic:pic>
                  <pic:nvPicPr>
                    <pic:cNvPr descr="figures/preprocessing_ci40675215.png" id="56" name="Picture"/>
                    <pic:cNvPicPr>
                      <a:picLocks noChangeArrowheads="1" noChangeAspect="1"/>
                    </pic:cNvPicPr>
                  </pic:nvPicPr>
                  <pic:blipFill>
                    <a:blip r:embed="rId54"/>
                    <a:stretch>
                      <a:fillRect/>
                    </a:stretch>
                  </pic:blipFill>
                  <pic:spPr bwMode="auto">
                    <a:xfrm>
                      <a:off x="0" y="0"/>
                      <a:ext cx="5334000" cy="5318011"/>
                    </a:xfrm>
                    <a:prstGeom prst="rect">
                      <a:avLst/>
                    </a:prstGeom>
                    <a:noFill/>
                    <a:ln w="9525">
                      <a:noFill/>
                      <a:headEnd/>
                      <a:tailEnd/>
                    </a:ln>
                  </pic:spPr>
                </pic:pic>
              </a:graphicData>
            </a:graphic>
          </wp:inline>
        </w:drawing>
      </w:r>
    </w:p>
    <w:p>
      <w:pPr>
        <w:pStyle w:val="ImageCaption"/>
      </w:pPr>
      <w:r>
        <w:t xml:space="preserve">Figure 7: Preprocessing stages for ci40675215.</w:t>
      </w:r>
    </w:p>
    <w:p>
      <w:pPr>
        <w:pStyle w:val="CaptionedFigure"/>
      </w:pPr>
      <w:r>
        <w:drawing>
          <wp:inline>
            <wp:extent cx="5334000" cy="5318011"/>
            <wp:effectExtent b="0" l="0" r="0" t="0"/>
            <wp:docPr descr="Figure 8: Preprocessing stages for ci40699207." title="" id="58" name="Picture"/>
            <a:graphic>
              <a:graphicData uri="http://schemas.openxmlformats.org/drawingml/2006/picture">
                <pic:pic>
                  <pic:nvPicPr>
                    <pic:cNvPr descr="figures/preprocessing_ci40699207.png" id="59" name="Picture"/>
                    <pic:cNvPicPr>
                      <a:picLocks noChangeArrowheads="1" noChangeAspect="1"/>
                    </pic:cNvPicPr>
                  </pic:nvPicPr>
                  <pic:blipFill>
                    <a:blip r:embed="rId57"/>
                    <a:stretch>
                      <a:fillRect/>
                    </a:stretch>
                  </pic:blipFill>
                  <pic:spPr bwMode="auto">
                    <a:xfrm>
                      <a:off x="0" y="0"/>
                      <a:ext cx="5334000" cy="5318011"/>
                    </a:xfrm>
                    <a:prstGeom prst="rect">
                      <a:avLst/>
                    </a:prstGeom>
                    <a:noFill/>
                    <a:ln w="9525">
                      <a:noFill/>
                      <a:headEnd/>
                      <a:tailEnd/>
                    </a:ln>
                  </pic:spPr>
                </pic:pic>
              </a:graphicData>
            </a:graphic>
          </wp:inline>
        </w:drawing>
      </w:r>
    </w:p>
    <w:p>
      <w:pPr>
        <w:pStyle w:val="ImageCaption"/>
      </w:pPr>
      <w:r>
        <w:t xml:space="preserve">Figure 8: Preprocessing stages for ci40699207.</w:t>
      </w:r>
    </w:p>
    <w:p>
      <w:pPr>
        <w:pStyle w:val="BodyText"/>
      </w:pPr>
      <w:r>
        <w:t xml:space="preserve">Interpretation: Visual stabilisation supports machine-learning-oriented comparison; without response correction, filtered counts are not physical velocity or acceleration for magnitude estimation.</w:t>
      </w:r>
    </w:p>
    <w:bookmarkEnd w:id="60"/>
    <w:bookmarkStart w:id="73" w:name="feature-engineering"/>
    <w:p>
      <w:pPr>
        <w:pStyle w:val="Heading3"/>
      </w:pPr>
      <w:r>
        <w:t xml:space="preserve">8.4 Feature engineering</w:t>
      </w:r>
    </w:p>
    <w:p>
      <w:pPr>
        <w:pStyle w:val="FirstParagraph"/>
      </w:pPr>
      <w:r>
        <w:t xml:space="preserve">The 8×18 matrix is stored in</w:t>
      </w:r>
      <w:r>
        <w:t xml:space="preserve"> </w:t>
      </w:r>
      <w:r>
        <w:rPr>
          <w:rStyle w:val="VerbatimChar"/>
        </w:rPr>
        <w:t xml:space="preserve">reports/features/feature_matrix.csv</w:t>
      </w:r>
      <w:r>
        <w:t xml:space="preserve">. Crest factor cohort mean ≈ 11.4; dominant frequency and spectral centroid cluster near ~2.3–2.6 Hz (</w:t>
      </w:r>
      <w:r>
        <w:rPr>
          <w:rStyle w:val="VerbatimChar"/>
        </w:rPr>
        <w:t xml:space="preserve">reports/features/feature_summary.json</w:t>
      </w:r>
      <w:r>
        <w:t xml:space="preserve">), consistent with the 0.1–15 Hz band-pass.</w:t>
      </w:r>
    </w:p>
    <w:p>
      <w:pPr>
        <w:pStyle w:val="BodyText"/>
      </w:pPr>
      <w:r>
        <w:t xml:space="preserve">Strong collinearity links amplitude-derived features; crest factor, signal entropy, spectral entropy, and zero_crossing_rate_hz provide partially independent shape information at N=8 only.</w:t>
      </w:r>
    </w:p>
    <w:p>
      <w:pPr>
        <w:pStyle w:val="CaptionedFigure"/>
      </w:pPr>
      <w:r>
        <w:drawing>
          <wp:inline>
            <wp:extent cx="5334000" cy="5312426"/>
            <wp:effectExtent b="0" l="0" r="0" t="0"/>
            <wp:docPr descr="Figure 9: Per-event FFT power spectra (filtered traces)." title="" id="62" name="Picture"/>
            <a:graphic>
              <a:graphicData uri="http://schemas.openxmlformats.org/drawingml/2006/picture">
                <pic:pic>
                  <pic:nvPicPr>
                    <pic:cNvPr descr="figures/feature_engineering_fft_spectra.png" id="63" name="Picture"/>
                    <pic:cNvPicPr>
                      <a:picLocks noChangeArrowheads="1" noChangeAspect="1"/>
                    </pic:cNvPicPr>
                  </pic:nvPicPr>
                  <pic:blipFill>
                    <a:blip r:embed="rId61"/>
                    <a:stretch>
                      <a:fillRect/>
                    </a:stretch>
                  </pic:blipFill>
                  <pic:spPr bwMode="auto">
                    <a:xfrm>
                      <a:off x="0" y="0"/>
                      <a:ext cx="5334000" cy="5312426"/>
                    </a:xfrm>
                    <a:prstGeom prst="rect">
                      <a:avLst/>
                    </a:prstGeom>
                    <a:noFill/>
                    <a:ln w="9525">
                      <a:noFill/>
                      <a:headEnd/>
                      <a:tailEnd/>
                    </a:ln>
                  </pic:spPr>
                </pic:pic>
              </a:graphicData>
            </a:graphic>
          </wp:inline>
        </w:drawing>
      </w:r>
    </w:p>
    <w:p>
      <w:pPr>
        <w:pStyle w:val="ImageCaption"/>
      </w:pPr>
      <w:r>
        <w:t xml:space="preserve">Figure 9: Per-event FFT power spectra (filtered traces).</w:t>
      </w:r>
    </w:p>
    <w:p>
      <w:pPr>
        <w:pStyle w:val="CaptionedFigure"/>
      </w:pPr>
      <w:r>
        <w:drawing>
          <wp:inline>
            <wp:extent cx="5334000" cy="4354352"/>
            <wp:effectExtent b="0" l="0" r="0" t="0"/>
            <wp:docPr descr="Figure 10: Pearson correlation heatmap (18 features, 8 samples)." title="" id="65" name="Picture"/>
            <a:graphic>
              <a:graphicData uri="http://schemas.openxmlformats.org/drawingml/2006/picture">
                <pic:pic>
                  <pic:nvPicPr>
                    <pic:cNvPr descr="figures/feature_correlation_heatmap.png" id="66" name="Picture"/>
                    <pic:cNvPicPr>
                      <a:picLocks noChangeArrowheads="1" noChangeAspect="1"/>
                    </pic:cNvPicPr>
                  </pic:nvPicPr>
                  <pic:blipFill>
                    <a:blip r:embed="rId64"/>
                    <a:stretch>
                      <a:fillRect/>
                    </a:stretch>
                  </pic:blipFill>
                  <pic:spPr bwMode="auto">
                    <a:xfrm>
                      <a:off x="0" y="0"/>
                      <a:ext cx="5334000" cy="4354352"/>
                    </a:xfrm>
                    <a:prstGeom prst="rect">
                      <a:avLst/>
                    </a:prstGeom>
                    <a:noFill/>
                    <a:ln w="9525">
                      <a:noFill/>
                      <a:headEnd/>
                      <a:tailEnd/>
                    </a:ln>
                  </pic:spPr>
                </pic:pic>
              </a:graphicData>
            </a:graphic>
          </wp:inline>
        </w:drawing>
      </w:r>
    </w:p>
    <w:p>
      <w:pPr>
        <w:pStyle w:val="ImageCaption"/>
      </w:pPr>
      <w:r>
        <w:t xml:space="preserve">Figure 10: Pearson correlation heatmap (18 features, 8 samples).</w:t>
      </w:r>
    </w:p>
    <w:p>
      <w:pPr>
        <w:pStyle w:val="CaptionedFigure"/>
      </w:pPr>
      <w:r>
        <w:drawing>
          <wp:inline>
            <wp:extent cx="5334000" cy="2502591"/>
            <wp:effectExtent b="0" l="0" r="0" t="0"/>
            <wp:docPr descr="Figure 11: Per-feature distributions." title="" id="68" name="Picture"/>
            <a:graphic>
              <a:graphicData uri="http://schemas.openxmlformats.org/drawingml/2006/picture">
                <pic:pic>
                  <pic:nvPicPr>
                    <pic:cNvPr descr="figures/feature_distributions.png" id="69" name="Picture"/>
                    <pic:cNvPicPr>
                      <a:picLocks noChangeArrowheads="1" noChangeAspect="1"/>
                    </pic:cNvPicPr>
                  </pic:nvPicPr>
                  <pic:blipFill>
                    <a:blip r:embed="rId67"/>
                    <a:stretch>
                      <a:fillRect/>
                    </a:stretch>
                  </pic:blipFill>
                  <pic:spPr bwMode="auto">
                    <a:xfrm>
                      <a:off x="0" y="0"/>
                      <a:ext cx="5334000" cy="2502591"/>
                    </a:xfrm>
                    <a:prstGeom prst="rect">
                      <a:avLst/>
                    </a:prstGeom>
                    <a:noFill/>
                    <a:ln w="9525">
                      <a:noFill/>
                      <a:headEnd/>
                      <a:tailEnd/>
                    </a:ln>
                  </pic:spPr>
                </pic:pic>
              </a:graphicData>
            </a:graphic>
          </wp:inline>
        </w:drawing>
      </w:r>
    </w:p>
    <w:p>
      <w:pPr>
        <w:pStyle w:val="ImageCaption"/>
      </w:pPr>
      <w:r>
        <w:t xml:space="preserve">Figure 11: Per-feature distributions.</w:t>
      </w:r>
    </w:p>
    <w:p>
      <w:pPr>
        <w:pStyle w:val="CaptionedFigure"/>
      </w:pPr>
      <w:r>
        <w:drawing>
          <wp:inline>
            <wp:extent cx="5334000" cy="1559675"/>
            <wp:effectExtent b="0" l="0" r="0" t="0"/>
            <wp:docPr descr="Figure 12: Selected features by station (ADO vs USC)." title="" id="71" name="Picture"/>
            <a:graphic>
              <a:graphicData uri="http://schemas.openxmlformats.org/drawingml/2006/picture">
                <pic:pic>
                  <pic:nvPicPr>
                    <pic:cNvPr descr="figures/feature_boxplots_by_station.png" id="72" name="Picture"/>
                    <pic:cNvPicPr>
                      <a:picLocks noChangeArrowheads="1" noChangeAspect="1"/>
                    </pic:cNvPicPr>
                  </pic:nvPicPr>
                  <pic:blipFill>
                    <a:blip r:embed="rId70"/>
                    <a:stretch>
                      <a:fillRect/>
                    </a:stretch>
                  </pic:blipFill>
                  <pic:spPr bwMode="auto">
                    <a:xfrm>
                      <a:off x="0" y="0"/>
                      <a:ext cx="5334000" cy="1559675"/>
                    </a:xfrm>
                    <a:prstGeom prst="rect">
                      <a:avLst/>
                    </a:prstGeom>
                    <a:noFill/>
                    <a:ln w="9525">
                      <a:noFill/>
                      <a:headEnd/>
                      <a:tailEnd/>
                    </a:ln>
                  </pic:spPr>
                </pic:pic>
              </a:graphicData>
            </a:graphic>
          </wp:inline>
        </w:drawing>
      </w:r>
    </w:p>
    <w:p>
      <w:pPr>
        <w:pStyle w:val="ImageCaption"/>
      </w:pPr>
      <w:r>
        <w:t xml:space="preserve">Figure 12: Selected features by station (ADO vs USC).</w:t>
      </w:r>
    </w:p>
    <w:p>
      <w:r>
        <w:pict>
          <v:rect style="width:0;height:1.5pt" o:hralign="center" o:hrstd="t" o:hr="t"/>
        </w:pict>
      </w:r>
    </w:p>
    <w:bookmarkEnd w:id="73"/>
    <w:bookmarkEnd w:id="74"/>
    <w:bookmarkStart w:id="75" w:name="discussion"/>
    <w:p>
      <w:pPr>
        <w:pStyle w:val="Heading2"/>
      </w:pPr>
      <w:r>
        <w:t xml:space="preserve">9. Discussion</w:t>
      </w:r>
    </w:p>
    <w:p>
      <w:pPr>
        <w:pStyle w:val="FirstParagraph"/>
      </w:pPr>
      <w:r>
        <w:t xml:space="preserve">The pilot demonstrates a script-driven, documented path from FDSN services to tabular machine-learning inputs and normalised NPZ stages, satisfying certificate requirements for ObsPy, real data, graphs, and tables (</w:t>
      </w:r>
      <w:r>
        <w:rPr>
          <w:rStyle w:val="VerbatimChar"/>
        </w:rPr>
        <w:t xml:space="preserve">docs/RESULTS_AND_DISCUSSION.md</w:t>
      </w:r>
      <w:r>
        <w:t xml:space="preserve"> </w:t>
      </w:r>
      <w:r>
        <w:t xml:space="preserve">§8). STA/LTA panels connect classroom Earthquake Early Warning theory to P-time features, but late picks and origin-aligned noise show that trigger parameters cannot be tuned on this dataset alone without pre-event windows and validation. The feature matrix is suitable for pilot baselines (for example, linear models or random forests) only in an exploratory sense; no machine-learning training or hold-out evaluation was performed in the completed pilot, and no predictive performance metrics are reported in repository artefacts. Reference code in</w:t>
      </w:r>
      <w:r>
        <w:t xml:space="preserve"> </w:t>
      </w:r>
      <w:r>
        <w:rPr>
          <w:rStyle w:val="VerbatimChar"/>
        </w:rPr>
        <w:t xml:space="preserve">src/</w:t>
      </w:r>
      <w:r>
        <w:t xml:space="preserve"> </w:t>
      </w:r>
      <w:r>
        <w:t xml:space="preserve">enables future architecture comparison on Western tensors with an explicit deviation log from Japan-centric paper tables, but it does not validate EarthESND on California data in the completed work.</w:t>
      </w:r>
    </w:p>
    <w:p>
      <w:r>
        <w:pict>
          <v:rect style="width:0;height:1.5pt" o:hralign="center" o:hrstd="t" o:hr="t"/>
        </w:pict>
      </w:r>
    </w:p>
    <w:bookmarkEnd w:id="75"/>
    <w:bookmarkStart w:id="78" w:name="limitations-and-threats-to-validity"/>
    <w:p>
      <w:pPr>
        <w:pStyle w:val="Heading2"/>
      </w:pPr>
      <w:r>
        <w:t xml:space="preserve">10. Limitations and threats to validity</w:t>
      </w:r>
    </w:p>
    <w:bookmarkStart w:id="76" w:name="pilot-limitations-california"/>
    <w:p>
      <w:pPr>
        <w:pStyle w:val="Heading3"/>
      </w:pPr>
      <w:r>
        <w:t xml:space="preserve">10.1 Pilot limitations (California)</w:t>
      </w:r>
    </w:p>
    <w:p>
      <w:pPr>
        <w:pStyle w:val="Compact"/>
        <w:numPr>
          <w:ilvl w:val="0"/>
          <w:numId w:val="1006"/>
        </w:numPr>
      </w:pPr>
      <w:r>
        <w:t xml:space="preserve">N = 8 — no reliable generalisation or correlation inference.</w:t>
      </w:r>
    </w:p>
    <w:p>
      <w:pPr>
        <w:pStyle w:val="Compact"/>
        <w:numPr>
          <w:ilvl w:val="0"/>
          <w:numId w:val="1006"/>
        </w:numPr>
      </w:pPr>
      <w:r>
        <w:t xml:space="preserve">Single component (BHZ).</w:t>
      </w:r>
    </w:p>
    <w:p>
      <w:pPr>
        <w:pStyle w:val="Compact"/>
        <w:numPr>
          <w:ilvl w:val="0"/>
          <w:numId w:val="1006"/>
        </w:numPr>
      </w:pPr>
      <w:r>
        <w:t xml:space="preserve">Origin-aligned windows — biased noise and SNR.</w:t>
      </w:r>
    </w:p>
    <w:p>
      <w:pPr>
        <w:pStyle w:val="Compact"/>
        <w:numPr>
          <w:ilvl w:val="0"/>
          <w:numId w:val="1006"/>
        </w:numPr>
      </w:pPr>
      <w:r>
        <w:t xml:space="preserve">No response removal (0/8).</w:t>
      </w:r>
    </w:p>
    <w:p>
      <w:pPr>
        <w:pStyle w:val="Compact"/>
        <w:numPr>
          <w:ilvl w:val="0"/>
          <w:numId w:val="1006"/>
        </w:numPr>
      </w:pPr>
      <w:r>
        <w:t xml:space="preserve">Station selection bias (ADO-heavy; USC n=2).</w:t>
      </w:r>
    </w:p>
    <w:p>
      <w:pPr>
        <w:pStyle w:val="Compact"/>
        <w:numPr>
          <w:ilvl w:val="0"/>
          <w:numId w:val="1006"/>
        </w:numPr>
      </w:pPr>
      <w:r>
        <w:t xml:space="preserve">Mixed magnitude types (</w:t>
      </w:r>
      <w:r>
        <w:rPr>
          <w:rStyle w:val="VerbatimChar"/>
        </w:rPr>
        <w:t xml:space="preserve">mw</w:t>
      </w:r>
      <w:r>
        <w:t xml:space="preserve">,</w:t>
      </w:r>
      <w:r>
        <w:t xml:space="preserve"> </w:t>
      </w:r>
      <w:r>
        <w:rPr>
          <w:rStyle w:val="VerbatimChar"/>
        </w:rPr>
        <w:t xml:space="preserve">ml</w:t>
      </w:r>
      <w:r>
        <w:t xml:space="preserve">).</w:t>
      </w:r>
    </w:p>
    <w:p>
      <w:pPr>
        <w:pStyle w:val="Compact"/>
        <w:numPr>
          <w:ilvl w:val="0"/>
          <w:numId w:val="1006"/>
        </w:numPr>
      </w:pPr>
      <w:r>
        <w:t xml:space="preserve">Four legacy MiniSEED files on disk outside manifest.</w:t>
      </w:r>
    </w:p>
    <w:p>
      <w:pPr>
        <w:pStyle w:val="Compact"/>
        <w:numPr>
          <w:ilvl w:val="0"/>
          <w:numId w:val="1006"/>
        </w:numPr>
      </w:pPr>
      <w:r>
        <w:t xml:space="preserve">Unvalidated P picks.</w:t>
      </w:r>
    </w:p>
    <w:p>
      <w:pPr>
        <w:pStyle w:val="Compact"/>
        <w:numPr>
          <w:ilvl w:val="0"/>
          <w:numId w:val="1006"/>
        </w:numPr>
      </w:pPr>
      <w:r>
        <w:t xml:space="preserve">Not comparable to EarthESND K-NET metrics.</w:t>
      </w:r>
    </w:p>
    <w:p>
      <w:pPr>
        <w:pStyle w:val="FirstParagraph"/>
      </w:pPr>
      <w:r>
        <w:t xml:space="preserve">(Source:</w:t>
      </w:r>
      <w:r>
        <w:t xml:space="preserve"> </w:t>
      </w:r>
      <w:r>
        <w:rPr>
          <w:rStyle w:val="VerbatimChar"/>
        </w:rPr>
        <w:t xml:space="preserve">docs/RESULTS_AND_DISCUSSION.md</w:t>
      </w:r>
      <w:r>
        <w:t xml:space="preserve"> </w:t>
      </w:r>
      <w:r>
        <w:t xml:space="preserve">§6.)</w:t>
      </w:r>
    </w:p>
    <w:bookmarkEnd w:id="76"/>
    <w:bookmarkStart w:id="77" w:name="threats-to-validity"/>
    <w:p>
      <w:pPr>
        <w:pStyle w:val="Heading3"/>
      </w:pPr>
      <w:r>
        <w:t xml:space="preserve">10.2 Threats to validity</w:t>
      </w:r>
    </w:p>
    <w:p>
      <w:pPr>
        <w:pStyle w:val="FirstParagraph"/>
      </w:pPr>
      <w:r>
        <w:t xml:space="preserve">Table 8. Threats to validity and proposed mitigations (from</w:t>
      </w:r>
      <w:r>
        <w:t xml:space="preserve"> </w:t>
      </w:r>
      <w:r>
        <w:rPr>
          <w:rStyle w:val="VerbatimChar"/>
        </w:rPr>
        <w:t xml:space="preserve">docs/RESULTS_AND_DISCUSSION.md</w:t>
      </w:r>
      <w:r>
        <w:t xml:space="preserve"> </w:t>
      </w:r>
      <w:r>
        <w:t xml:space="preserve">§7)</w:t>
      </w:r>
    </w:p>
    <w:tbl>
      <w:tblPr>
        <w:tblStyle w:val="Table"/>
        <w:tblW w:type="pct" w:w="5000"/>
        <w:tblLayout w:type="fixed"/>
        <w:tblLook w:firstRow="1" w:lastRow="0" w:firstColumn="0" w:lastColumn="0" w:noHBand="0" w:noVBand="0" w:val="0020"/>
      </w:tblPr>
      <w:tblGrid>
        <w:gridCol w:w="1408"/>
        <w:gridCol w:w="2288"/>
        <w:gridCol w:w="4224"/>
      </w:tblGrid>
      <w:tr>
        <w:trPr>
          <w:tblHeader w:val="on"/>
        </w:trPr>
        <w:tc>
          <w:tcPr/>
          <w:p>
            <w:pPr>
              <w:pStyle w:val="Compact"/>
            </w:pPr>
            <w:r>
              <w:t xml:space="preserve">Threat</w:t>
            </w:r>
          </w:p>
        </w:tc>
        <w:tc>
          <w:tcPr/>
          <w:p>
            <w:pPr>
              <w:pStyle w:val="Compact"/>
            </w:pPr>
            <w:r>
              <w:t xml:space="preserve">Description</w:t>
            </w:r>
          </w:p>
        </w:tc>
        <w:tc>
          <w:tcPr/>
          <w:p>
            <w:pPr>
              <w:pStyle w:val="Compact"/>
            </w:pPr>
            <w:r>
              <w:t xml:space="preserve">Mitigation (proposed)</w:t>
            </w:r>
          </w:p>
        </w:tc>
      </w:tr>
      <w:tr>
        <w:tc>
          <w:tcPr/>
          <w:p>
            <w:pPr>
              <w:pStyle w:val="Compact"/>
            </w:pPr>
            <w:r>
              <w:t xml:space="preserve">Construct validity</w:t>
            </w:r>
          </w:p>
        </w:tc>
        <w:tc>
          <w:tcPr/>
          <w:p>
            <w:pPr>
              <w:pStyle w:val="Compact"/>
            </w:pPr>
            <w:r>
              <w:t xml:space="preserve">Counts used where physical motion required</w:t>
            </w:r>
          </w:p>
        </w:tc>
        <w:tc>
          <w:tcPr/>
          <w:p>
            <w:pPr>
              <w:pStyle w:val="Compact"/>
            </w:pPr>
            <w:r>
              <w:t xml:space="preserve">StationXML cache; response removal</w:t>
            </w:r>
          </w:p>
        </w:tc>
      </w:tr>
      <w:tr>
        <w:tc>
          <w:tcPr/>
          <w:p>
            <w:pPr>
              <w:pStyle w:val="Compact"/>
            </w:pPr>
            <w:r>
              <w:t xml:space="preserve">Internal validity</w:t>
            </w:r>
          </w:p>
        </w:tc>
        <w:tc>
          <w:tcPr/>
          <w:p>
            <w:pPr>
              <w:pStyle w:val="Compact"/>
            </w:pPr>
            <w:r>
              <w:t xml:space="preserve">SNR inflated after filtering with fixed noise window</w:t>
            </w:r>
          </w:p>
        </w:tc>
        <w:tc>
          <w:tcPr/>
          <w:p>
            <w:pPr>
              <w:pStyle w:val="Compact"/>
            </w:pPr>
            <w:r>
              <w:t xml:space="preserve">Pre-origin download windows</w:t>
            </w:r>
          </w:p>
        </w:tc>
      </w:tr>
      <w:tr>
        <w:tc>
          <w:tcPr/>
          <w:p>
            <w:pPr>
              <w:pStyle w:val="Compact"/>
            </w:pPr>
            <w:r>
              <w:t xml:space="preserve">External validity</w:t>
            </w:r>
          </w:p>
        </w:tc>
        <w:tc>
          <w:tcPr/>
          <w:p>
            <w:pPr>
              <w:pStyle w:val="Compact"/>
            </w:pPr>
            <w:r>
              <w:t xml:space="preserve">California CI ≠ European networks</w:t>
            </w:r>
          </w:p>
        </w:tc>
        <w:tc>
          <w:tcPr/>
          <w:p>
            <w:pPr>
              <w:pStyle w:val="Compact"/>
            </w:pPr>
            <w:r>
              <w:t xml:space="preserve">EIDA/ORFEUS pilot with same scripts</w:t>
            </w:r>
          </w:p>
        </w:tc>
      </w:tr>
      <w:tr>
        <w:tc>
          <w:tcPr/>
          <w:p>
            <w:pPr>
              <w:pStyle w:val="Compact"/>
            </w:pPr>
            <w:r>
              <w:t xml:space="preserve">Statistical conclusion validity</w:t>
            </w:r>
          </w:p>
        </w:tc>
        <w:tc>
          <w:tcPr/>
          <w:p>
            <w:pPr>
              <w:pStyle w:val="Compact"/>
            </w:pPr>
            <w:r>
              <w:t xml:space="preserve">N=8</w:t>
            </w:r>
          </w:p>
        </w:tc>
        <w:tc>
          <w:tcPr/>
          <w:p>
            <w:pPr>
              <w:pStyle w:val="Compact"/>
            </w:pPr>
            <w:r>
              <w:t xml:space="preserve">Larger catalogues; bootstrap CIs</w:t>
            </w:r>
          </w:p>
        </w:tc>
      </w:tr>
      <w:tr>
        <w:tc>
          <w:tcPr/>
          <w:p>
            <w:pPr>
              <w:pStyle w:val="Compact"/>
            </w:pPr>
            <w:r>
              <w:t xml:space="preserve">Selection bias</w:t>
            </w:r>
          </w:p>
        </w:tc>
        <w:tc>
          <w:tcPr/>
          <w:p>
            <w:pPr>
              <w:pStyle w:val="Compact"/>
            </w:pPr>
            <w:r>
              <w:t xml:space="preserve">First-eight successful downloads</w:t>
            </w:r>
          </w:p>
        </w:tc>
        <w:tc>
          <w:tcPr/>
          <w:p>
            <w:pPr>
              <w:pStyle w:val="Compact"/>
            </w:pPr>
            <w:r>
              <w:t xml:space="preserve">Stratified sampling</w:t>
            </w:r>
          </w:p>
        </w:tc>
      </w:tr>
      <w:tr>
        <w:tc>
          <w:tcPr/>
          <w:p>
            <w:pPr>
              <w:pStyle w:val="Compact"/>
            </w:pPr>
            <w:r>
              <w:t xml:space="preserve">Confirmation bias</w:t>
            </w:r>
          </w:p>
        </w:tc>
        <w:tc>
          <w:tcPr/>
          <w:p>
            <w:pPr>
              <w:pStyle w:val="Compact"/>
            </w:pPr>
            <w:r>
              <w:t xml:space="preserve">Fixed STA/LTA threshold</w:t>
            </w:r>
          </w:p>
        </w:tc>
        <w:tc>
          <w:tcPr/>
          <w:p>
            <w:pPr>
              <w:pStyle w:val="Compact"/>
            </w:pPr>
            <w:r>
              <w:t xml:space="preserve">Threshold sweeps; ML picks</w:t>
            </w:r>
          </w:p>
        </w:tc>
      </w:tr>
    </w:tbl>
    <w:p>
      <w:r>
        <w:pict>
          <v:rect style="width:0;height:1.5pt" o:hralign="center" o:hrstd="t" o:hr="t"/>
        </w:pict>
      </w:r>
    </w:p>
    <w:bookmarkEnd w:id="77"/>
    <w:bookmarkEnd w:id="78"/>
    <w:bookmarkStart w:id="79" w:name="european-context-and-transfer"/>
    <w:p>
      <w:pPr>
        <w:pStyle w:val="Heading2"/>
      </w:pPr>
      <w:r>
        <w:t xml:space="preserve">11. European context and transfer</w:t>
      </w:r>
    </w:p>
    <w:p>
      <w:pPr>
        <w:pStyle w:val="FirstParagraph"/>
      </w:pPr>
      <w:r>
        <w:t xml:space="preserve">Europe is the primary programme focus; California validates methods, not deployment geography (</w:t>
      </w:r>
      <w:r>
        <w:rPr>
          <w:rStyle w:val="VerbatimChar"/>
        </w:rPr>
        <w:t xml:space="preserve">docs/PROJECT_CHARTER.md</w:t>
      </w:r>
      <w:r>
        <w:t xml:space="preserve">).</w:t>
      </w:r>
    </w:p>
    <w:p>
      <w:pPr>
        <w:pStyle w:val="BodyText"/>
      </w:pPr>
      <w:r>
        <w:t xml:space="preserve">Why the pilot supports European goals (</w:t>
      </w:r>
      <w:r>
        <w:rPr>
          <w:rStyle w:val="VerbatimChar"/>
        </w:rPr>
        <w:t xml:space="preserve">docs/RESULTS_AND_DISCUSSION.md</w:t>
      </w:r>
      <w:r>
        <w:t xml:space="preserve"> </w:t>
      </w:r>
      <w:r>
        <w:t xml:space="preserve">§9):</w:t>
      </w:r>
    </w:p>
    <w:p>
      <w:pPr>
        <w:pStyle w:val="Compact"/>
        <w:numPr>
          <w:ilvl w:val="0"/>
          <w:numId w:val="1007"/>
        </w:numPr>
      </w:pPr>
      <w:r>
        <w:t xml:space="preserve">Demonstrates ObsPy/FDSN reproducibility.</w:t>
      </w:r>
    </w:p>
    <w:p>
      <w:pPr>
        <w:pStyle w:val="Compact"/>
        <w:numPr>
          <w:ilvl w:val="0"/>
          <w:numId w:val="1007"/>
        </w:numPr>
      </w:pPr>
      <w:r>
        <w:t xml:space="preserve">Surfaces pitfalls (origin-aligned windows, response metadata, station bias) relevant to ORFEUS/EIDA integration.</w:t>
      </w:r>
    </w:p>
    <w:p>
      <w:pPr>
        <w:pStyle w:val="Compact"/>
        <w:numPr>
          <w:ilvl w:val="0"/>
          <w:numId w:val="1007"/>
        </w:numPr>
      </w:pPr>
      <w:r>
        <w:t xml:space="preserve">Delivers figures and tables for methodology chapters while European catalogues are scoped.</w:t>
      </w:r>
    </w:p>
    <w:p>
      <w:pPr>
        <w:pStyle w:val="FirstParagraph"/>
      </w:pPr>
      <w:r>
        <w:t xml:space="preserve">Transfer plan (proposed): Reuse manifest CSV structure, phase report templates, and</w:t>
      </w:r>
      <w:r>
        <w:t xml:space="preserve"> </w:t>
      </w:r>
      <w:r>
        <w:rPr>
          <w:rStyle w:val="VerbatimChar"/>
        </w:rPr>
        <w:t xml:space="preserve">scripts/</w:t>
      </w:r>
      <w:r>
        <w:t xml:space="preserve"> </w:t>
      </w:r>
      <w:r>
        <w:t xml:space="preserve">layout with European endpoint configuration; document licensing, magnitude conventions, and channel choices per network.</w:t>
      </w:r>
    </w:p>
    <w:p>
      <w:pPr>
        <w:pStyle w:val="BodyText"/>
      </w:pPr>
      <w:r>
        <w:t xml:space="preserve">Expected challenges (proposed): Fragmented access policies, lower event rates in some regions, heterogeneous station density, accelerometer vs broadband mix, regulatory metadata (</w:t>
      </w:r>
      <w:r>
        <w:rPr>
          <w:rStyle w:val="VerbatimChar"/>
        </w:rPr>
        <w:t xml:space="preserve">docs/RESULTS_AND_DISCUSSION.md</w:t>
      </w:r>
      <w:r>
        <w:t xml:space="preserve"> </w:t>
      </w:r>
      <w:r>
        <w:t xml:space="preserve">§9.3).</w:t>
      </w:r>
    </w:p>
    <w:p>
      <w:pPr>
        <w:pStyle w:val="BodyText"/>
      </w:pPr>
      <w:r>
        <w:t xml:space="preserve">Expected benefits (proposed): Cross-region feature comparison, open artefact trails, alignment with Swiss/European Earthquake Early Warning research narratives.</w:t>
      </w:r>
    </w:p>
    <w:p>
      <w:r>
        <w:pict>
          <v:rect style="width:0;height:1.5pt" o:hralign="center" o:hrstd="t" o:hr="t"/>
        </w:pict>
      </w:r>
    </w:p>
    <w:bookmarkEnd w:id="79"/>
    <w:bookmarkStart w:id="82" w:name="future-work-and-expected-outcomes"/>
    <w:p>
      <w:pPr>
        <w:pStyle w:val="Heading2"/>
      </w:pPr>
      <w:r>
        <w:t xml:space="preserve">12. Future work and expected outcomes</w:t>
      </w:r>
    </w:p>
    <w:bookmarkStart w:id="80" w:name="already-achieved"/>
    <w:p>
      <w:pPr>
        <w:pStyle w:val="Heading3"/>
      </w:pPr>
      <w:r>
        <w:t xml:space="preserve">12.1 Already achieved</w:t>
      </w:r>
    </w:p>
    <w:p>
      <w:pPr>
        <w:pStyle w:val="Compact"/>
        <w:numPr>
          <w:ilvl w:val="0"/>
          <w:numId w:val="1008"/>
        </w:numPr>
      </w:pPr>
      <w:r>
        <w:t xml:space="preserve">Documented California FDSN acquisition and full analysis chain.</w:t>
      </w:r>
    </w:p>
    <w:p>
      <w:pPr>
        <w:pStyle w:val="Compact"/>
        <w:numPr>
          <w:ilvl w:val="0"/>
          <w:numId w:val="1008"/>
        </w:numPr>
      </w:pPr>
      <w:r>
        <w:t xml:space="preserve">Phase reports,</w:t>
      </w:r>
      <w:r>
        <w:t xml:space="preserve"> </w:t>
      </w:r>
      <w:r>
        <w:rPr>
          <w:rStyle w:val="VerbatimChar"/>
        </w:rPr>
        <w:t xml:space="preserve">reports/</w:t>
      </w:r>
      <w:r>
        <w:t xml:space="preserve"> </w:t>
      </w:r>
      <w:r>
        <w:t xml:space="preserve">artefacts, Research Proposal v1, D-S1/D-S2, and the D-F1 final report.</w:t>
      </w:r>
    </w:p>
    <w:p>
      <w:pPr>
        <w:pStyle w:val="Compact"/>
        <w:numPr>
          <w:ilvl w:val="0"/>
          <w:numId w:val="1008"/>
        </w:numPr>
      </w:pPr>
      <w:r>
        <w:t xml:space="preserve">EarthESND reference codebase for comparative studies (not primary objective).</w:t>
      </w:r>
    </w:p>
    <w:bookmarkEnd w:id="80"/>
    <w:bookmarkStart w:id="81" w:name="proposed-extensions"/>
    <w:p>
      <w:pPr>
        <w:pStyle w:val="Heading3"/>
      </w:pPr>
      <w:r>
        <w:t xml:space="preserve">12.2 Proposed extensions</w:t>
      </w:r>
    </w:p>
    <w:p>
      <w:pPr>
        <w:pStyle w:val="FirstParagraph"/>
      </w:pPr>
      <w:r>
        <w:rPr>
          <w:i/>
          <w:iCs/>
        </w:rPr>
        <w:t xml:space="preserve">All items below denote proposed future work (</w:t>
      </w:r>
      <w:r>
        <w:rPr>
          <w:rStyle w:val="VerbatimChar"/>
          <w:i/>
          <w:iCs/>
        </w:rPr>
        <w:t xml:space="preserve">docs/ROADMAP.md</w:t>
      </w:r>
      <w:r>
        <w:rPr>
          <w:i/>
          <w:iCs/>
        </w:rPr>
        <w:t xml:space="preserve">;</w:t>
      </w:r>
      <w:r>
        <w:rPr>
          <w:i/>
          <w:iCs/>
        </w:rPr>
        <w:t xml:space="preserve"> </w:t>
      </w:r>
      <w:r>
        <w:rPr>
          <w:rStyle w:val="VerbatimChar"/>
          <w:i/>
          <w:iCs/>
        </w:rPr>
        <w:t xml:space="preserve">docs/RESULTS_AND_DISCUSSION.md</w:t>
      </w:r>
      <w:r>
        <w:rPr>
          <w:i/>
          <w:iCs/>
        </w:rPr>
        <w:t xml:space="preserve"> </w:t>
      </w:r>
      <w:r>
        <w:rPr>
          <w:i/>
          <w:iCs/>
        </w:rPr>
        <w:t xml:space="preserve">§10).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Direction</w:t>
            </w:r>
          </w:p>
        </w:tc>
        <w:tc>
          <w:tcPr/>
          <w:p>
            <w:pPr>
              <w:pStyle w:val="Compact"/>
            </w:pPr>
            <w:r>
              <w:t xml:space="preserve">Objective</w:t>
            </w:r>
          </w:p>
        </w:tc>
      </w:tr>
      <w:tr>
        <w:tc>
          <w:tcPr/>
          <w:p>
            <w:pPr>
              <w:pStyle w:val="Compact"/>
            </w:pPr>
            <w:r>
              <w:t xml:space="preserve">Larger catalogues</w:t>
            </w:r>
          </w:p>
        </w:tc>
        <w:tc>
          <w:tcPr/>
          <w:p>
            <w:pPr>
              <w:pStyle w:val="Compact"/>
            </w:pPr>
            <w:r>
              <w:t xml:space="preserve">50–200+ events; stratified splits</w:t>
            </w:r>
          </w:p>
        </w:tc>
      </w:tr>
      <w:tr>
        <w:tc>
          <w:tcPr/>
          <w:p>
            <w:pPr>
              <w:pStyle w:val="Compact"/>
            </w:pPr>
            <w:r>
              <w:t xml:space="preserve">European FDSN pilot</w:t>
            </w:r>
          </w:p>
        </w:tc>
        <w:tc>
          <w:tcPr/>
          <w:p>
            <w:pPr>
              <w:pStyle w:val="Compact"/>
            </w:pPr>
            <w:r>
              <w:t xml:space="preserve">EIDA/ORFEUS manifests and reports</w:t>
            </w:r>
          </w:p>
        </w:tc>
      </w:tr>
      <w:tr>
        <w:tc>
          <w:tcPr/>
          <w:p>
            <w:pPr>
              <w:pStyle w:val="Compact"/>
            </w:pPr>
            <w:r>
              <w:t xml:space="preserve">Instrumentation</w:t>
            </w:r>
          </w:p>
        </w:tc>
        <w:tc>
          <w:tcPr/>
          <w:p>
            <w:pPr>
              <w:pStyle w:val="Compact"/>
            </w:pPr>
            <w:r>
              <w:t xml:space="preserve">Response correction; 3-component data; pre-event noise</w:t>
            </w:r>
          </w:p>
        </w:tc>
      </w:tr>
      <w:tr>
        <w:tc>
          <w:tcPr/>
          <w:p>
            <w:pPr>
              <w:pStyle w:val="Compact"/>
            </w:pPr>
            <w:r>
              <w:t xml:space="preserve">AI models</w:t>
            </w:r>
          </w:p>
        </w:tc>
        <w:tc>
          <w:tcPr/>
          <w:p>
            <w:pPr>
              <w:pStyle w:val="Compact"/>
            </w:pPr>
            <w:r>
              <w:t xml:space="preserve">Tabular and waveform baselines; EarthESND-inspired comparisons with deviation log</w:t>
            </w:r>
          </w:p>
        </w:tc>
      </w:tr>
      <w:tr>
        <w:tc>
          <w:tcPr/>
          <w:p>
            <w:pPr>
              <w:pStyle w:val="Compact"/>
            </w:pPr>
            <w:r>
              <w:t xml:space="preserve">Real-time Earthquake Early Warning</w:t>
            </w:r>
          </w:p>
        </w:tc>
        <w:tc>
          <w:tcPr/>
          <w:p>
            <w:pPr>
              <w:pStyle w:val="Compact"/>
            </w:pPr>
            <w:r>
              <w:t xml:space="preserve">SeedLink simulation; latency budgets</w:t>
            </w:r>
          </w:p>
        </w:tc>
      </w:tr>
      <w:tr>
        <w:tc>
          <w:tcPr/>
          <w:p>
            <w:pPr>
              <w:pStyle w:val="Compact"/>
            </w:pPr>
            <w:r>
              <w:t xml:space="preserve">Formal publication</w:t>
            </w:r>
          </w:p>
        </w:tc>
        <w:tc>
          <w:tcPr/>
          <w:p>
            <w:pPr>
              <w:pStyle w:val="Compact"/>
            </w:pPr>
            <w:r>
              <w:t xml:space="preserve">European transfer with uncertainty quantification</w:t>
            </w:r>
          </w:p>
        </w:tc>
      </w:tr>
    </w:tbl>
    <w:p>
      <w:pPr>
        <w:pStyle w:val="BodyText"/>
      </w:pPr>
      <w:r>
        <w:t xml:space="preserve">(Source:</w:t>
      </w:r>
      <w:r>
        <w:t xml:space="preserve"> </w:t>
      </w:r>
      <w:r>
        <w:rPr>
          <w:rStyle w:val="VerbatimChar"/>
        </w:rPr>
        <w:t xml:space="preserve">docs/RESULTS_AND_DISCUSSION.md</w:t>
      </w:r>
      <w:r>
        <w:t xml:space="preserve"> </w:t>
      </w:r>
      <w:r>
        <w:t xml:space="preserve">§10,</w:t>
      </w:r>
      <w:r>
        <w:t xml:space="preserve"> </w:t>
      </w:r>
      <w:r>
        <w:rPr>
          <w:rStyle w:val="VerbatimChar"/>
        </w:rPr>
        <w:t xml:space="preserve">reports/Research_Proposal_v1.md</w:t>
      </w:r>
      <w:r>
        <w:t xml:space="preserve"> </w:t>
      </w:r>
      <w:r>
        <w:t xml:space="preserve">§11.)</w:t>
      </w:r>
    </w:p>
    <w:p>
      <w:r>
        <w:pict>
          <v:rect style="width:0;height:1.5pt" o:hralign="center" o:hrstd="t" o:hr="t"/>
        </w:pict>
      </w:r>
    </w:p>
    <w:bookmarkEnd w:id="81"/>
    <w:bookmarkEnd w:id="82"/>
    <w:bookmarkStart w:id="83" w:name="conclusion"/>
    <w:p>
      <w:pPr>
        <w:pStyle w:val="Heading2"/>
      </w:pPr>
      <w:r>
        <w:t xml:space="preserve">13. Conclusion</w:t>
      </w:r>
    </w:p>
    <w:p>
      <w:pPr>
        <w:pStyle w:val="Compact"/>
        <w:numPr>
          <w:ilvl w:val="0"/>
          <w:numId w:val="1009"/>
        </w:numPr>
      </w:pPr>
      <w:r>
        <w:t xml:space="preserve">A reproducible chain from FDSN acquisition to an 8×18 feature matrix is established for the California pilot.</w:t>
      </w:r>
    </w:p>
    <w:p>
      <w:pPr>
        <w:pStyle w:val="Compact"/>
        <w:numPr>
          <w:ilvl w:val="0"/>
          <w:numId w:val="1009"/>
        </w:numPr>
      </w:pPr>
      <w:r>
        <w:t xml:space="preserve">Raw waveforms exhibit strong station and path effects and heterogeneous STA/LTA pick times; CI.ADO dominates sampling.</w:t>
      </w:r>
    </w:p>
    <w:p>
      <w:pPr>
        <w:pStyle w:val="Compact"/>
        <w:numPr>
          <w:ilvl w:val="0"/>
          <w:numId w:val="1009"/>
        </w:numPr>
      </w:pPr>
      <w:r>
        <w:t xml:space="preserve">Preprocessing improves interpretability and band-limited SNR proxies, but response removal failed for all eight traces; physical amplitude Earthquake Early Warning is not yet supported.</w:t>
      </w:r>
    </w:p>
    <w:p>
      <w:pPr>
        <w:pStyle w:val="Compact"/>
        <w:numPr>
          <w:ilvl w:val="0"/>
          <w:numId w:val="1009"/>
        </w:numPr>
      </w:pPr>
      <w:r>
        <w:t xml:space="preserve">Features combine time, frequency, and pick-based descriptors; correlations show redundancy among amplitude metrics and value in shape statistics at pilot scale.</w:t>
      </w:r>
    </w:p>
    <w:p>
      <w:pPr>
        <w:pStyle w:val="Compact"/>
        <w:numPr>
          <w:ilvl w:val="0"/>
          <w:numId w:val="1009"/>
        </w:numPr>
      </w:pPr>
      <w:r>
        <w:t xml:space="preserve">Validity threats must be addressed before operational or publication-grade Earthquake Early Warning claims.</w:t>
      </w:r>
    </w:p>
    <w:p>
      <w:pPr>
        <w:pStyle w:val="Compact"/>
        <w:numPr>
          <w:ilvl w:val="0"/>
          <w:numId w:val="1009"/>
        </w:numPr>
      </w:pPr>
      <w:r>
        <w:t xml:space="preserve">California proves the method; Europe is the intended context for scaled deployment with network-specific metadata discipline.</w:t>
      </w:r>
    </w:p>
    <w:p>
      <w:r>
        <w:pict>
          <v:rect style="width:0;height:1.5pt" o:hralign="center" o:hrstd="t" o:hr="t"/>
        </w:pict>
      </w:r>
    </w:p>
    <w:bookmarkEnd w:id="83"/>
    <w:bookmarkStart w:id="84" w:name="references"/>
    <w:p>
      <w:pPr>
        <w:pStyle w:val="Heading2"/>
      </w:pPr>
      <w:r>
        <w:t xml:space="preserve">14. References</w:t>
      </w:r>
    </w:p>
    <w:p>
      <w:pPr>
        <w:pStyle w:val="FirstParagraph"/>
      </w:pPr>
      <w:r>
        <w:t xml:space="preserve">Allen, R. M., and Kanamori, H. (2003). The potential for earthquake early warning in southern California.</w:t>
      </w:r>
      <w:r>
        <w:t xml:space="preserve"> </w:t>
      </w:r>
      <w:r>
        <w:rPr>
          <w:i/>
          <w:iCs/>
        </w:rPr>
        <w:t xml:space="preserve">Science</w:t>
      </w:r>
      <w:r>
        <w:t xml:space="preserve">, 300(5620), 786–788. https://doi.org/10.1126/science.1080532</w:t>
      </w:r>
    </w:p>
    <w:p>
      <w:pPr>
        <w:pStyle w:val="BodyText"/>
      </w:pPr>
      <w:r>
        <w:t xml:space="preserve">Hoshiba, M., Iwakiri, K., Hayashimoto, N., Shimoyama, T., Hirano, K., Yamada, Y., Ishigaki, Y., and Kikuta, H. (2008). Outline of the 2007–2008 earthquake early warning experiments in Japan.</w:t>
      </w:r>
      <w:r>
        <w:t xml:space="preserve"> </w:t>
      </w:r>
      <w:r>
        <w:rPr>
          <w:i/>
          <w:iCs/>
        </w:rPr>
        <w:t xml:space="preserve">Earth, Planets and Space</w:t>
      </w:r>
      <w:r>
        <w:t xml:space="preserve">, 60, 123–129. https://doi.org/10.1186/BF03352879</w:t>
      </w:r>
    </w:p>
    <w:p>
      <w:pPr>
        <w:pStyle w:val="BodyText"/>
      </w:pPr>
      <w:r>
        <w:t xml:space="preserve">Joshi, A., Singh, A. P., and Raman, B. (2026). EarthESND: Lightweight multiscale echo state network with dendritic neural network readout for earthquake early warning.</w:t>
      </w:r>
      <w:r>
        <w:t xml:space="preserve"> </w:t>
      </w:r>
      <w:r>
        <w:rPr>
          <w:i/>
          <w:iCs/>
        </w:rPr>
        <w:t xml:space="preserve">Computers and Electrical Engineering</w:t>
      </w:r>
      <w:r>
        <w:t xml:space="preserve">. (Reference implementation documented in</w:t>
      </w:r>
      <w:r>
        <w:t xml:space="preserve"> </w:t>
      </w:r>
      <w:r>
        <w:rPr>
          <w:rStyle w:val="VerbatimChar"/>
        </w:rPr>
        <w:t xml:space="preserve">docs/PAPER_REPRODUCTION.md</w:t>
      </w:r>
      <w:r>
        <w:t xml:space="preserve">; not the primary geographic objective of this programme.)</w:t>
      </w:r>
    </w:p>
    <w:p>
      <w:pPr>
        <w:pStyle w:val="BodyText"/>
      </w:pPr>
      <w:r>
        <w:t xml:space="preserve">Krischer, L., Megies, T., Barsch, R., Beyreuther, M., Lecocq, T., Caudron, C., and Wassermann, J. (2015). ObsPy: A bridge for earthquake science.</w:t>
      </w:r>
      <w:r>
        <w:t xml:space="preserve"> </w:t>
      </w:r>
      <w:r>
        <w:rPr>
          <w:i/>
          <w:iCs/>
        </w:rPr>
        <w:t xml:space="preserve">Seismological Research Letters</w:t>
      </w:r>
      <w:r>
        <w:t xml:space="preserve">, 86(3), 765–771. https://doi.org/10.1785/0220150032</w:t>
      </w:r>
    </w:p>
    <w:p>
      <w:pPr>
        <w:pStyle w:val="BodyText"/>
      </w:pPr>
      <w:r>
        <w:t xml:space="preserve">International Federation of Digital Seismograph Networks (FDSN). (n.d.). FDSN web services specification. https://www.fdsn.org/webservices/ (accessed 29 July 2026).</w:t>
      </w:r>
    </w:p>
    <w:p>
      <w:pPr>
        <w:pStyle w:val="BodyText"/>
      </w:pPr>
      <w:r>
        <w:t xml:space="preserve">EarthScope Consortium. (n.d.). Data services. https://www.earthscope.org/ (accessed 29 July 2026).</w:t>
      </w:r>
    </w:p>
    <w:p>
      <w:pPr>
        <w:pStyle w:val="BodyText"/>
      </w:pPr>
      <w:r>
        <w:t xml:space="preserve">U.S. Geological Survey. (n.d.). Earthquake Hazards Program — FDSN event web service. https://earthquake.usgs.gov (accessed 29 July 2026).</w:t>
      </w:r>
    </w:p>
    <w:p>
      <w:pPr>
        <w:pStyle w:val="BodyText"/>
      </w:pPr>
      <w:r>
        <w:t xml:space="preserve">ORFEUS Data Center / EIDA. (n.d.). European integrated waveform archives. https://www.orfeus-eu.org/ (accessed 29 July 2026).</w:t>
      </w:r>
    </w:p>
    <w:p>
      <w:pPr>
        <w:pStyle w:val="BodyText"/>
      </w:pPr>
      <w:r>
        <w:t xml:space="preserve">Project documentation:</w:t>
      </w:r>
      <w:r>
        <w:t xml:space="preserve"> </w:t>
      </w:r>
      <w:r>
        <w:rPr>
          <w:rStyle w:val="VerbatimChar"/>
        </w:rPr>
        <w:t xml:space="preserve">docs/PROJECT_CHARTER.md</w:t>
      </w:r>
      <w:r>
        <w:t xml:space="preserve">;</w:t>
      </w:r>
      <w:r>
        <w:t xml:space="preserve"> </w:t>
      </w:r>
      <w:r>
        <w:rPr>
          <w:rStyle w:val="VerbatimChar"/>
        </w:rPr>
        <w:t xml:space="preserve">docs/RESEARCH_DIRECTION.md</w:t>
      </w:r>
      <w:r>
        <w:t xml:space="preserve">;</w:t>
      </w:r>
      <w:r>
        <w:t xml:space="preserve"> </w:t>
      </w:r>
      <w:r>
        <w:rPr>
          <w:rStyle w:val="VerbatimChar"/>
        </w:rPr>
        <w:t xml:space="preserve">docs/IRIS_DATASET_REPORT.md</w:t>
      </w:r>
      <w:r>
        <w:t xml:space="preserve">;</w:t>
      </w:r>
      <w:r>
        <w:t xml:space="preserve"> </w:t>
      </w:r>
      <w:r>
        <w:rPr>
          <w:rStyle w:val="VerbatimChar"/>
        </w:rPr>
        <w:t xml:space="preserve">docs/EDA_REPORT.md</w:t>
      </w:r>
      <w:r>
        <w:t xml:space="preserve">;</w:t>
      </w:r>
      <w:r>
        <w:t xml:space="preserve"> </w:t>
      </w:r>
      <w:r>
        <w:rPr>
          <w:rStyle w:val="VerbatimChar"/>
        </w:rPr>
        <w:t xml:space="preserve">docs/SIGNAL_ANALYSIS_REPORT.md</w:t>
      </w:r>
      <w:r>
        <w:t xml:space="preserve">;</w:t>
      </w:r>
      <w:r>
        <w:t xml:space="preserve"> </w:t>
      </w:r>
      <w:r>
        <w:rPr>
          <w:rStyle w:val="VerbatimChar"/>
        </w:rPr>
        <w:t xml:space="preserve">docs/PREPROCESSING_REPORT.md</w:t>
      </w:r>
      <w:r>
        <w:t xml:space="preserve">;</w:t>
      </w:r>
      <w:r>
        <w:t xml:space="preserve"> </w:t>
      </w:r>
      <w:r>
        <w:rPr>
          <w:rStyle w:val="VerbatimChar"/>
        </w:rPr>
        <w:t xml:space="preserve">docs/FEATURE_ENGINEERING_REPORT.md</w:t>
      </w:r>
      <w:r>
        <w:t xml:space="preserve">;</w:t>
      </w:r>
      <w:r>
        <w:t xml:space="preserve"> </w:t>
      </w:r>
      <w:r>
        <w:rPr>
          <w:rStyle w:val="VerbatimChar"/>
        </w:rPr>
        <w:t xml:space="preserve">docs/RESULTS_AND_DISCUSSION.md</w:t>
      </w:r>
      <w:r>
        <w:t xml:space="preserve">;</w:t>
      </w:r>
      <w:r>
        <w:t xml:space="preserve"> </w:t>
      </w:r>
      <w:r>
        <w:rPr>
          <w:rStyle w:val="VerbatimChar"/>
        </w:rPr>
        <w:t xml:space="preserve">docs/REPRODUCIBILITY_STATEMENT.md</w:t>
      </w:r>
      <w:r>
        <w:t xml:space="preserve">;</w:t>
      </w:r>
      <w:r>
        <w:t xml:space="preserve"> </w:t>
      </w:r>
      <w:r>
        <w:rPr>
          <w:rStyle w:val="VerbatimChar"/>
        </w:rPr>
        <w:t xml:space="preserve">docs/DATA_AVAILABILITY_STATEMENT.md</w:t>
      </w:r>
      <w:r>
        <w:t xml:space="preserve">;</w:t>
      </w:r>
      <w:r>
        <w:t xml:space="preserve"> </w:t>
      </w:r>
      <w:r>
        <w:rPr>
          <w:rStyle w:val="VerbatimChar"/>
        </w:rPr>
        <w:t xml:space="preserve">docs/FINAL_DELIVERABLE_AUDIT.md</w:t>
      </w:r>
      <w:r>
        <w:t xml:space="preserve">.</w:t>
      </w:r>
    </w:p>
    <w:p>
      <w:r>
        <w:pict>
          <v:rect style="width:0;height:1.5pt" o:hralign="center" o:hrstd="t" o:hr="t"/>
        </w:pict>
      </w:r>
    </w:p>
    <w:bookmarkEnd w:id="84"/>
    <w:bookmarkStart w:id="85" w:name="statement-of-evidence-support"/>
    <w:p>
      <w:pPr>
        <w:pStyle w:val="Heading2"/>
      </w:pPr>
      <w:r>
        <w:t xml:space="preserve">15. Statement of evidence support</w:t>
      </w:r>
    </w:p>
    <w:tbl>
      <w:tblPr>
        <w:tblStyle w:val="Table"/>
        <w:tblW w:type="pct" w:w="5000"/>
        <w:tblLayout w:type="fixed"/>
        <w:tblLook w:firstRow="1" w:lastRow="0" w:firstColumn="0" w:lastColumn="0" w:noHBand="0" w:noVBand="0" w:val="0020"/>
      </w:tblPr>
      <w:tblGrid>
        <w:gridCol w:w="5385"/>
        <w:gridCol w:w="2534"/>
      </w:tblGrid>
      <w:tr>
        <w:trPr>
          <w:tblHeader w:val="on"/>
        </w:trPr>
        <w:tc>
          <w:tcPr/>
          <w:p>
            <w:pPr>
              <w:pStyle w:val="Compact"/>
            </w:pPr>
            <w:r>
              <w:t xml:space="preserve">Statement class</w:t>
            </w:r>
          </w:p>
        </w:tc>
        <w:tc>
          <w:tcPr/>
          <w:p>
            <w:pPr>
              <w:pStyle w:val="Compact"/>
            </w:pPr>
            <w:r>
              <w:t xml:space="preserve">Support</w:t>
            </w:r>
          </w:p>
        </w:tc>
      </w:tr>
      <w:tr>
        <w:tc>
          <w:tcPr/>
          <w:p>
            <w:pPr>
              <w:pStyle w:val="Compact"/>
            </w:pPr>
            <w:r>
              <w:t xml:space="preserve">Numeric results (SNR, picks, magnitudes, feature means)</w:t>
            </w:r>
          </w:p>
        </w:tc>
        <w:tc>
          <w:tcPr/>
          <w:p>
            <w:pPr>
              <w:pStyle w:val="Compact"/>
            </w:pPr>
            <w:r>
              <w:t xml:space="preserve">Supported — JSON/CSV cited in phase reports and summarised in §8</w:t>
            </w:r>
          </w:p>
        </w:tc>
      </w:tr>
      <w:tr>
        <w:tc>
          <w:tcPr/>
          <w:p>
            <w:pPr>
              <w:pStyle w:val="Compact"/>
            </w:pPr>
            <w:r>
              <w:t xml:space="preserve">Figure content</w:t>
            </w:r>
          </w:p>
        </w:tc>
        <w:tc>
          <w:tcPr/>
          <w:p>
            <w:pPr>
              <w:pStyle w:val="Compact"/>
            </w:pPr>
            <w:r>
              <w:t xml:space="preserve">Supported — PNG paths verified in</w:t>
            </w:r>
            <w:r>
              <w:t xml:space="preserve"> </w:t>
            </w:r>
            <w:r>
              <w:rPr>
                <w:rStyle w:val="VerbatimChar"/>
              </w:rPr>
              <w:t xml:space="preserve">docs/FINAL_DELIVERABLE_AUDIT.md</w:t>
            </w:r>
            <w:r>
              <w:t xml:space="preserve"> </w:t>
            </w:r>
            <w:r>
              <w:t xml:space="preserve">(24/24 local)</w:t>
            </w:r>
          </w:p>
        </w:tc>
      </w:tr>
      <w:tr>
        <w:tc>
          <w:tcPr/>
          <w:p>
            <w:pPr>
              <w:pStyle w:val="Compact"/>
            </w:pPr>
            <w:r>
              <w:t xml:space="preserve">ML model performance</w:t>
            </w:r>
          </w:p>
        </w:tc>
        <w:tc>
          <w:tcPr/>
          <w:p>
            <w:pPr>
              <w:pStyle w:val="Compact"/>
            </w:pPr>
            <w:r>
              <w:t xml:space="preserve">Not claimed — no training artefacts in repository</w:t>
            </w:r>
          </w:p>
        </w:tc>
      </w:tr>
      <w:tr>
        <w:tc>
          <w:tcPr/>
          <w:p>
            <w:pPr>
              <w:pStyle w:val="Compact"/>
            </w:pPr>
            <w:r>
              <w:t xml:space="preserve">Operational EEW deployment</w:t>
            </w:r>
          </w:p>
        </w:tc>
        <w:tc>
          <w:tcPr/>
          <w:p>
            <w:pPr>
              <w:pStyle w:val="Compact"/>
            </w:pPr>
            <w:r>
              <w:t xml:space="preserve">Not claimed — explicitly out of scope</w:t>
            </w:r>
          </w:p>
        </w:tc>
      </w:tr>
      <w:tr>
        <w:tc>
          <w:tcPr/>
          <w:p>
            <w:pPr>
              <w:pStyle w:val="Compact"/>
            </w:pPr>
            <w:r>
              <w:t xml:space="preserve">European dataset results</w:t>
            </w:r>
          </w:p>
        </w:tc>
        <w:tc>
          <w:tcPr/>
          <w:p>
            <w:pPr>
              <w:pStyle w:val="Compact"/>
            </w:pPr>
            <w:r>
              <w:t xml:space="preserve">Not claimed — proposed only</w:t>
            </w:r>
          </w:p>
        </w:tc>
      </w:tr>
      <w:tr>
        <w:tc>
          <w:tcPr/>
          <w:p>
            <w:pPr>
              <w:pStyle w:val="Compact"/>
            </w:pPr>
            <w:r>
              <w:t xml:space="preserve">Author name / CERG edition</w:t>
            </w:r>
          </w:p>
        </w:tc>
        <w:tc>
          <w:tcPr/>
          <w:p>
            <w:pPr>
              <w:pStyle w:val="Compact"/>
            </w:pPr>
            <w:r>
              <w:t xml:space="preserve">Not in repository — placeholder avoided; programme name from charter only</w:t>
            </w:r>
          </w:p>
        </w:tc>
      </w:tr>
      <w:tr>
        <w:tc>
          <w:tcPr/>
          <w:p>
            <w:pPr>
              <w:pStyle w:val="Compact"/>
            </w:pPr>
            <w:r>
              <w:t xml:space="preserve">EarthESND 88 tests</w:t>
            </w:r>
          </w:p>
        </w:tc>
        <w:tc>
          <w:tcPr/>
          <w:p>
            <w:pPr>
              <w:pStyle w:val="Compact"/>
            </w:pPr>
            <w:r>
              <w:t xml:space="preserve">Supported —</w:t>
            </w:r>
            <w:r>
              <w:t xml:space="preserve"> </w:t>
            </w:r>
            <w:r>
              <w:rPr>
                <w:rStyle w:val="VerbatimChar"/>
              </w:rPr>
              <w:t xml:space="preserve">docs/PROJECT_CHARTER.md</w:t>
            </w:r>
            <w:r>
              <w:t xml:space="preserve">,</w:t>
            </w:r>
            <w:r>
              <w:t xml:space="preserve"> </w:t>
            </w:r>
            <w:r>
              <w:rPr>
                <w:rStyle w:val="VerbatimChar"/>
              </w:rPr>
              <w:t xml:space="preserve">README.md</w:t>
            </w:r>
          </w:p>
        </w:tc>
      </w:tr>
      <w:tr>
        <w:tc>
          <w:tcPr/>
          <w:p>
            <w:pPr>
              <w:pStyle w:val="Compact"/>
            </w:pPr>
            <w:r>
              <w:t xml:space="preserve">Git clone contains all PNG/MiniSEED</w:t>
            </w:r>
          </w:p>
        </w:tc>
        <w:tc>
          <w:tcPr/>
          <w:p>
            <w:pPr>
              <w:pStyle w:val="Compact"/>
            </w:pPr>
            <w:r>
              <w:t xml:space="preserve">Qualified — audit WARNING; see Appendix C</w:t>
            </w:r>
          </w:p>
        </w:tc>
      </w:tr>
    </w:tbl>
    <w:p>
      <w:r>
        <w:pict>
          <v:rect style="width:0;height:1.5pt" o:hralign="center" o:hrstd="t" o:hr="t"/>
        </w:pict>
      </w:r>
    </w:p>
    <w:bookmarkEnd w:id="85"/>
    <w:bookmarkStart w:id="86" w:name="X4c67c692a9b316e8bef391ce5a43d2fc1fc3fd4"/>
    <w:p>
      <w:pPr>
        <w:pStyle w:val="Heading2"/>
      </w:pPr>
      <w:r>
        <w:t xml:space="preserve">Appendix A — Pilot event and station tables</w:t>
      </w:r>
    </w:p>
    <w:p>
      <w:pPr>
        <w:pStyle w:val="FirstParagraph"/>
      </w:pPr>
      <w:r>
        <w:t xml:space="preserve">Table A1. Event summary (full CSV:</w:t>
      </w:r>
      <w:r>
        <w:t xml:space="preserve"> </w:t>
      </w:r>
      <w:r>
        <w:rPr>
          <w:rStyle w:val="VerbatimChar"/>
        </w:rPr>
        <w:t xml:space="preserve">reports/tables/event_summary.csv</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short_id</w:t>
            </w:r>
          </w:p>
        </w:tc>
        <w:tc>
          <w:tcPr/>
          <w:p>
            <w:pPr>
              <w:pStyle w:val="Compact"/>
            </w:pPr>
            <w:r>
              <w:t xml:space="preserve">Magnitude</w:t>
            </w:r>
          </w:p>
        </w:tc>
        <w:tc>
          <w:tcPr/>
          <w:p>
            <w:pPr>
              <w:pStyle w:val="Compact"/>
            </w:pPr>
            <w:r>
              <w:t xml:space="preserve">Type</w:t>
            </w:r>
          </w:p>
        </w:tc>
        <w:tc>
          <w:tcPr/>
          <w:p>
            <w:pPr>
              <w:pStyle w:val="Compact"/>
            </w:pPr>
            <w:r>
              <w:t xml:space="preserve">Station</w:t>
            </w:r>
          </w:p>
        </w:tc>
        <w:tc>
          <w:tcPr/>
          <w:p>
            <w:pPr>
              <w:pStyle w:val="Compact"/>
            </w:pPr>
            <w:r>
              <w:t xml:space="preserve">Origin (UTC)</w:t>
            </w:r>
          </w:p>
        </w:tc>
      </w:tr>
      <w:tr>
        <w:tc>
          <w:tcPr/>
          <w:p>
            <w:pPr>
              <w:pStyle w:val="Compact"/>
            </w:pPr>
            <w:r>
              <w:t xml:space="preserve">ci40964384</w:t>
            </w:r>
          </w:p>
        </w:tc>
        <w:tc>
          <w:tcPr/>
          <w:p>
            <w:pPr>
              <w:pStyle w:val="Compact"/>
            </w:pPr>
            <w:r>
              <w:t xml:space="preserve">4.54</w:t>
            </w:r>
          </w:p>
        </w:tc>
        <w:tc>
          <w:tcPr/>
          <w:p>
            <w:pPr>
              <w:pStyle w:val="Compact"/>
            </w:pPr>
            <w:r>
              <w:t xml:space="preserve">ml</w:t>
            </w:r>
          </w:p>
        </w:tc>
        <w:tc>
          <w:tcPr/>
          <w:p>
            <w:pPr>
              <w:pStyle w:val="Compact"/>
            </w:pPr>
            <w:r>
              <w:t xml:space="preserve">CI.ADO</w:t>
            </w:r>
          </w:p>
        </w:tc>
        <w:tc>
          <w:tcPr/>
          <w:p>
            <w:pPr>
              <w:pStyle w:val="Compact"/>
            </w:pPr>
            <w:r>
              <w:t xml:space="preserve">2024-10-25 15:04:23</w:t>
            </w:r>
          </w:p>
        </w:tc>
      </w:tr>
      <w:tr>
        <w:tc>
          <w:tcPr/>
          <w:p>
            <w:pPr>
              <w:pStyle w:val="Compact"/>
            </w:pPr>
            <w:r>
              <w:t xml:space="preserve">ci40964128</w:t>
            </w:r>
          </w:p>
        </w:tc>
        <w:tc>
          <w:tcPr/>
          <w:p>
            <w:pPr>
              <w:pStyle w:val="Compact"/>
            </w:pPr>
            <w:r>
              <w:t xml:space="preserve">4.72</w:t>
            </w:r>
          </w:p>
        </w:tc>
        <w:tc>
          <w:tcPr/>
          <w:p>
            <w:pPr>
              <w:pStyle w:val="Compact"/>
            </w:pPr>
            <w:r>
              <w:t xml:space="preserve">mw</w:t>
            </w:r>
          </w:p>
        </w:tc>
        <w:tc>
          <w:tcPr/>
          <w:p>
            <w:pPr>
              <w:pStyle w:val="Compact"/>
            </w:pPr>
            <w:r>
              <w:t xml:space="preserve">CI.ADO</w:t>
            </w:r>
          </w:p>
        </w:tc>
        <w:tc>
          <w:tcPr/>
          <w:p>
            <w:pPr>
              <w:pStyle w:val="Compact"/>
            </w:pPr>
            <w:r>
              <w:t xml:space="preserve">2024-10-25 08:05:08</w:t>
            </w:r>
          </w:p>
        </w:tc>
      </w:tr>
      <w:tr>
        <w:tc>
          <w:tcPr/>
          <w:p>
            <w:pPr>
              <w:pStyle w:val="Compact"/>
            </w:pPr>
            <w:r>
              <w:t xml:space="preserve">ci40964048</w:t>
            </w:r>
          </w:p>
        </w:tc>
        <w:tc>
          <w:tcPr/>
          <w:p>
            <w:pPr>
              <w:pStyle w:val="Compact"/>
            </w:pPr>
            <w:r>
              <w:t xml:space="preserve">4.16</w:t>
            </w:r>
          </w:p>
        </w:tc>
        <w:tc>
          <w:tcPr/>
          <w:p>
            <w:pPr>
              <w:pStyle w:val="Compact"/>
            </w:pPr>
            <w:r>
              <w:t xml:space="preserve">mw</w:t>
            </w:r>
          </w:p>
        </w:tc>
        <w:tc>
          <w:tcPr/>
          <w:p>
            <w:pPr>
              <w:pStyle w:val="Compact"/>
            </w:pPr>
            <w:r>
              <w:t xml:space="preserve">CI.ADO</w:t>
            </w:r>
          </w:p>
        </w:tc>
        <w:tc>
          <w:tcPr/>
          <w:p>
            <w:pPr>
              <w:pStyle w:val="Compact"/>
            </w:pPr>
            <w:r>
              <w:t xml:space="preserve">2024-10-25 06:52:08</w:t>
            </w:r>
          </w:p>
        </w:tc>
      </w:tr>
      <w:tr>
        <w:tc>
          <w:tcPr/>
          <w:p>
            <w:pPr>
              <w:pStyle w:val="Compact"/>
            </w:pPr>
            <w:r>
              <w:t xml:space="preserve">nn00882322</w:t>
            </w:r>
          </w:p>
        </w:tc>
        <w:tc>
          <w:tcPr/>
          <w:p>
            <w:pPr>
              <w:pStyle w:val="Compact"/>
            </w:pPr>
            <w:r>
              <w:t xml:space="preserve">4.39</w:t>
            </w:r>
          </w:p>
        </w:tc>
        <w:tc>
          <w:tcPr/>
          <w:p>
            <w:pPr>
              <w:pStyle w:val="Compact"/>
            </w:pPr>
            <w:r>
              <w:t xml:space="preserve">ml</w:t>
            </w:r>
          </w:p>
        </w:tc>
        <w:tc>
          <w:tcPr/>
          <w:p>
            <w:pPr>
              <w:pStyle w:val="Compact"/>
            </w:pPr>
            <w:r>
              <w:t xml:space="preserve">CI.ADO</w:t>
            </w:r>
          </w:p>
        </w:tc>
        <w:tc>
          <w:tcPr/>
          <w:p>
            <w:pPr>
              <w:pStyle w:val="Compact"/>
            </w:pPr>
            <w:r>
              <w:t xml:space="preserve">2024-08-14 03:06:35</w:t>
            </w:r>
          </w:p>
        </w:tc>
      </w:tr>
      <w:tr>
        <w:tc>
          <w:tcPr/>
          <w:p>
            <w:pPr>
              <w:pStyle w:val="Compact"/>
            </w:pPr>
            <w:r>
              <w:t xml:space="preserve">ci40699207</w:t>
            </w:r>
          </w:p>
        </w:tc>
        <w:tc>
          <w:tcPr/>
          <w:p>
            <w:pPr>
              <w:pStyle w:val="Compact"/>
            </w:pPr>
            <w:r>
              <w:t xml:space="preserve">4.39</w:t>
            </w:r>
          </w:p>
        </w:tc>
        <w:tc>
          <w:tcPr/>
          <w:p>
            <w:pPr>
              <w:pStyle w:val="Compact"/>
            </w:pPr>
            <w:r>
              <w:t xml:space="preserve">mw</w:t>
            </w:r>
          </w:p>
        </w:tc>
        <w:tc>
          <w:tcPr/>
          <w:p>
            <w:pPr>
              <w:pStyle w:val="Compact"/>
            </w:pPr>
            <w:r>
              <w:t xml:space="preserve">CI.USC</w:t>
            </w:r>
          </w:p>
        </w:tc>
        <w:tc>
          <w:tcPr/>
          <w:p>
            <w:pPr>
              <w:pStyle w:val="Compact"/>
            </w:pPr>
            <w:r>
              <w:t xml:space="preserve">2024-08-12 19:20:24</w:t>
            </w:r>
          </w:p>
        </w:tc>
      </w:tr>
      <w:tr>
        <w:tc>
          <w:tcPr/>
          <w:p>
            <w:pPr>
              <w:pStyle w:val="Compact"/>
            </w:pPr>
            <w:r>
              <w:t xml:space="preserve">ci40675215</w:t>
            </w:r>
          </w:p>
        </w:tc>
        <w:tc>
          <w:tcPr/>
          <w:p>
            <w:pPr>
              <w:pStyle w:val="Compact"/>
            </w:pPr>
            <w:r>
              <w:t xml:space="preserve">4.87</w:t>
            </w:r>
          </w:p>
        </w:tc>
        <w:tc>
          <w:tcPr/>
          <w:p>
            <w:pPr>
              <w:pStyle w:val="Compact"/>
            </w:pPr>
            <w:r>
              <w:t xml:space="preserve">mw</w:t>
            </w:r>
          </w:p>
        </w:tc>
        <w:tc>
          <w:tcPr/>
          <w:p>
            <w:pPr>
              <w:pStyle w:val="Compact"/>
            </w:pPr>
            <w:r>
              <w:t xml:space="preserve">CI.ADO</w:t>
            </w:r>
          </w:p>
        </w:tc>
        <w:tc>
          <w:tcPr/>
          <w:p>
            <w:pPr>
              <w:pStyle w:val="Compact"/>
            </w:pPr>
            <w:r>
              <w:t xml:space="preserve">2024-07-29 20:00:52</w:t>
            </w:r>
          </w:p>
        </w:tc>
      </w:tr>
      <w:tr>
        <w:tc>
          <w:tcPr/>
          <w:p>
            <w:pPr>
              <w:pStyle w:val="Compact"/>
            </w:pPr>
            <w:r>
              <w:t xml:space="preserve">ci40593503</w:t>
            </w:r>
          </w:p>
        </w:tc>
        <w:tc>
          <w:tcPr/>
          <w:p>
            <w:pPr>
              <w:pStyle w:val="Compact"/>
            </w:pPr>
            <w:r>
              <w:t xml:space="preserve">4.05</w:t>
            </w:r>
          </w:p>
        </w:tc>
        <w:tc>
          <w:tcPr/>
          <w:p>
            <w:pPr>
              <w:pStyle w:val="Compact"/>
            </w:pPr>
            <w:r>
              <w:t xml:space="preserve">mw</w:t>
            </w:r>
          </w:p>
        </w:tc>
        <w:tc>
          <w:tcPr/>
          <w:p>
            <w:pPr>
              <w:pStyle w:val="Compact"/>
            </w:pPr>
            <w:r>
              <w:t xml:space="preserve">CI.ADO</w:t>
            </w:r>
          </w:p>
        </w:tc>
        <w:tc>
          <w:tcPr/>
          <w:p>
            <w:pPr>
              <w:pStyle w:val="Compact"/>
            </w:pPr>
            <w:r>
              <w:t xml:space="preserve">2024-05-20 12:17:36</w:t>
            </w:r>
          </w:p>
        </w:tc>
      </w:tr>
      <w:tr>
        <w:tc>
          <w:tcPr/>
          <w:p>
            <w:pPr>
              <w:pStyle w:val="Compact"/>
            </w:pPr>
            <w:r>
              <w:t xml:space="preserve">ci40735352</w:t>
            </w:r>
          </w:p>
        </w:tc>
        <w:tc>
          <w:tcPr/>
          <w:p>
            <w:pPr>
              <w:pStyle w:val="Compact"/>
            </w:pPr>
            <w:r>
              <w:t xml:space="preserve">4.11</w:t>
            </w:r>
          </w:p>
        </w:tc>
        <w:tc>
          <w:tcPr/>
          <w:p>
            <w:pPr>
              <w:pStyle w:val="Compact"/>
            </w:pPr>
            <w:r>
              <w:t xml:space="preserve">mw</w:t>
            </w:r>
          </w:p>
        </w:tc>
        <w:tc>
          <w:tcPr/>
          <w:p>
            <w:pPr>
              <w:pStyle w:val="Compact"/>
            </w:pPr>
            <w:r>
              <w:t xml:space="preserve">CI.USC</w:t>
            </w:r>
          </w:p>
        </w:tc>
        <w:tc>
          <w:tcPr/>
          <w:p>
            <w:pPr>
              <w:pStyle w:val="Compact"/>
            </w:pPr>
            <w:r>
              <w:t xml:space="preserve">2024-05-01 20:49:00</w:t>
            </w:r>
          </w:p>
        </w:tc>
      </w:tr>
    </w:tbl>
    <w:p>
      <w:pPr>
        <w:pStyle w:val="BodyText"/>
      </w:pPr>
      <w:r>
        <w:t xml:space="preserve">Table A2. Station summary (</w:t>
      </w:r>
      <w:r>
        <w:rPr>
          <w:rStyle w:val="VerbatimChar"/>
        </w:rPr>
        <w:t xml:space="preserve">reports/tables/station_summary.csv</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Events</w:t>
            </w:r>
          </w:p>
        </w:tc>
        <w:tc>
          <w:tcPr/>
          <w:p>
            <w:pPr>
              <w:pStyle w:val="Compact"/>
            </w:pPr>
            <w:r>
              <w:t xml:space="preserve">Mean fs (Hz)</w:t>
            </w:r>
          </w:p>
        </w:tc>
        <w:tc>
          <w:tcPr/>
          <w:p>
            <w:pPr>
              <w:pStyle w:val="Compact"/>
            </w:pPr>
            <w:r>
              <w:t xml:space="preserve">Duration (s)</w:t>
            </w:r>
          </w:p>
        </w:tc>
      </w:tr>
      <w:tr>
        <w:tc>
          <w:tcPr/>
          <w:p>
            <w:pPr>
              <w:pStyle w:val="Compact"/>
            </w:pPr>
            <w:r>
              <w:t xml:space="preserve">CI.ADO.–.BHZ</w:t>
            </w:r>
          </w:p>
        </w:tc>
        <w:tc>
          <w:tcPr/>
          <w:p>
            <w:pPr>
              <w:pStyle w:val="Compact"/>
            </w:pPr>
            <w:r>
              <w:t xml:space="preserve">6</w:t>
            </w:r>
          </w:p>
        </w:tc>
        <w:tc>
          <w:tcPr/>
          <w:p>
            <w:pPr>
              <w:pStyle w:val="Compact"/>
            </w:pPr>
            <w:r>
              <w:t xml:space="preserve">40.0</w:t>
            </w:r>
          </w:p>
        </w:tc>
        <w:tc>
          <w:tcPr/>
          <w:p>
            <w:pPr>
              <w:pStyle w:val="Compact"/>
            </w:pPr>
            <w:r>
              <w:t xml:space="preserve">300.0</w:t>
            </w:r>
          </w:p>
        </w:tc>
      </w:tr>
      <w:tr>
        <w:tc>
          <w:tcPr/>
          <w:p>
            <w:pPr>
              <w:pStyle w:val="Compact"/>
            </w:pPr>
            <w:r>
              <w:t xml:space="preserve">CI.USC.–.BHZ</w:t>
            </w:r>
          </w:p>
        </w:tc>
        <w:tc>
          <w:tcPr/>
          <w:p>
            <w:pPr>
              <w:pStyle w:val="Compact"/>
            </w:pPr>
            <w:r>
              <w:t xml:space="preserve">2</w:t>
            </w:r>
          </w:p>
        </w:tc>
        <w:tc>
          <w:tcPr/>
          <w:p>
            <w:pPr>
              <w:pStyle w:val="Compact"/>
            </w:pPr>
            <w:r>
              <w:t xml:space="preserve">40.0</w:t>
            </w:r>
          </w:p>
        </w:tc>
        <w:tc>
          <w:tcPr/>
          <w:p>
            <w:pPr>
              <w:pStyle w:val="Compact"/>
            </w:pPr>
            <w:r>
              <w:t xml:space="preserve">300.0</w:t>
            </w:r>
          </w:p>
        </w:tc>
      </w:tr>
    </w:tbl>
    <w:p>
      <w:r>
        <w:pict>
          <v:rect style="width:0;height:1.5pt" o:hralign="center" o:hrstd="t" o:hr="t"/>
        </w:pict>
      </w:r>
    </w:p>
    <w:bookmarkEnd w:id="86"/>
    <w:bookmarkStart w:id="93" w:name="X29e5571a05c716ce912e90284fda6ccbc6860c8"/>
    <w:p>
      <w:pPr>
        <w:pStyle w:val="Heading2"/>
      </w:pPr>
      <w:r>
        <w:t xml:space="preserve">Appendix B — Reproducibility statement (D-S1)</w:t>
      </w:r>
    </w:p>
    <w:p>
      <w:pPr>
        <w:pStyle w:val="FirstParagraph"/>
      </w:pPr>
      <w:r>
        <w:rPr>
          <w:i/>
          <w:iCs/>
        </w:rPr>
        <w:t xml:space="preserve">The following text is the repository reproducibility statement (</w:t>
      </w:r>
      <w:r>
        <w:rPr>
          <w:rStyle w:val="VerbatimChar"/>
          <w:i/>
          <w:iCs/>
        </w:rPr>
        <w:t xml:space="preserve">docs/REPRODUCIBILITY_STATEMENT.md</w:t>
      </w:r>
      <w:r>
        <w:rPr>
          <w:i/>
          <w:iCs/>
        </w:rPr>
        <w:t xml:space="preserve">), included for submission. Figure paths in that file use repository-root notation; PNG outputs appear under</w:t>
      </w:r>
      <w:r>
        <w:rPr>
          <w:i/>
          <w:iCs/>
        </w:rPr>
        <w:t xml:space="preserve"> </w:t>
      </w:r>
      <w:r>
        <w:rPr>
          <w:rStyle w:val="VerbatimChar"/>
          <w:i/>
          <w:iCs/>
        </w:rPr>
        <w:t xml:space="preserve">reports/figures/</w:t>
      </w:r>
      <w:r>
        <w:rPr>
          <w:i/>
          <w:iCs/>
        </w:rPr>
        <w:t xml:space="preserve"> </w:t>
      </w:r>
      <w:r>
        <w:rPr>
          <w:i/>
          <w:iCs/>
        </w:rPr>
        <w:t xml:space="preserve">relative to the proposed work.</w:t>
      </w:r>
    </w:p>
    <w:bookmarkStart w:id="87" w:name="b.1-what-this-workflow-reproduces"/>
    <w:p>
      <w:pPr>
        <w:pStyle w:val="Heading3"/>
      </w:pPr>
      <w:r>
        <w:t xml:space="preserve">B.1 What this workflow reproduces</w:t>
      </w:r>
    </w:p>
    <w:p>
      <w:pPr>
        <w:pStyle w:val="FirstParagraph"/>
      </w:pPr>
      <w:r>
        <w:t xml:space="preserve">The pilot chain in</w:t>
      </w:r>
      <w:r>
        <w:t xml:space="preserve"> </w:t>
      </w:r>
      <w:r>
        <w:rPr>
          <w:rStyle w:val="VerbatimChar"/>
        </w:rPr>
        <w:t xml:space="preserve">scripts/download/</w:t>
      </w:r>
      <w:r>
        <w:t xml:space="preserve"> </w:t>
      </w:r>
      <w:r>
        <w:t xml:space="preserve">and</w:t>
      </w:r>
      <w:r>
        <w:t xml:space="preserve"> </w:t>
      </w:r>
      <w:r>
        <w:rPr>
          <w:rStyle w:val="VerbatimChar"/>
        </w:rPr>
        <w:t xml:space="preserve">scripts/analysis/</w:t>
      </w:r>
      <w:r>
        <w:t xml:space="preserve"> </w:t>
      </w:r>
      <w:r>
        <w:t xml:space="preserve">produces: manifest and MiniSEED (when downloaded); EDA summaries and four figures; signal metrics, eight figures, and CSV; preprocessing NPZ, eight figures, QC table; 8×18 feature matrix and four feature figures. Interpretation is in phase docs and prior proposals. California results did not use EarthESND</w:t>
      </w:r>
      <w:r>
        <w:t xml:space="preserve"> </w:t>
      </w:r>
      <w:r>
        <w:rPr>
          <w:rStyle w:val="VerbatimChar"/>
        </w:rPr>
        <w:t xml:space="preserve">src/</w:t>
      </w:r>
      <w:r>
        <w:t xml:space="preserve"> </w:t>
      </w:r>
      <w:r>
        <w:t xml:space="preserve">modules.</w:t>
      </w:r>
    </w:p>
    <w:bookmarkEnd w:id="87"/>
    <w:bookmarkStart w:id="88" w:name="b.2-software-environment"/>
    <w:p>
      <w:pPr>
        <w:pStyle w:val="Heading3"/>
      </w:pPr>
      <w:r>
        <w:t xml:space="preserve">B.2 Software environment</w:t>
      </w:r>
    </w:p>
    <w:p>
      <w:pPr>
        <w:pStyle w:val="FirstParagraph"/>
      </w:pPr>
      <w:r>
        <w:t xml:space="preserve">Python ≥ 3.11; ObsPy, NumPy, Pandas, Matplotlib, SciPy, PyYAML per</w:t>
      </w:r>
      <w:r>
        <w:t xml:space="preserve"> </w:t>
      </w:r>
      <w:r>
        <w:rPr>
          <w:rStyle w:val="VerbatimChar"/>
        </w:rPr>
        <w:t xml:space="preserve">pyproject.toml</w:t>
      </w:r>
      <w:r>
        <w:t xml:space="preserve">. Suggested install:</w:t>
      </w:r>
      <w:r>
        <w:t xml:space="preserve"> </w:t>
      </w:r>
      <w:r>
        <w:rPr>
          <w:rStyle w:val="VerbatimChar"/>
        </w:rPr>
        <w:t xml:space="preserve">pip install -e ".[dev]"</w:t>
      </w:r>
      <w:r>
        <w:t xml:space="preserve"> </w:t>
      </w:r>
      <w:r>
        <w:t xml:space="preserve">from repository root. No separate</w:t>
      </w:r>
      <w:r>
        <w:t xml:space="preserve"> </w:t>
      </w:r>
      <w:r>
        <w:rPr>
          <w:rStyle w:val="VerbatimChar"/>
        </w:rPr>
        <w:t xml:space="preserve">requirements.txt</w:t>
      </w:r>
      <w:r>
        <w:t xml:space="preserve">.</w:t>
      </w:r>
    </w:p>
    <w:bookmarkEnd w:id="88"/>
    <w:bookmarkStart w:id="89" w:name="b.3-execution-order"/>
    <w:p>
      <w:pPr>
        <w:pStyle w:val="Heading3"/>
      </w:pPr>
      <w:r>
        <w:t xml:space="preserve">B.3 Execution order</w:t>
      </w:r>
    </w:p>
    <w:p>
      <w:pPr>
        <w:pStyle w:val="SourceCode"/>
      </w:pPr>
      <w:r>
        <w:rPr>
          <w:rStyle w:val="NormalTok"/>
        </w:rPr>
        <w:t xml:space="preserve">python scripts</w:t>
      </w:r>
      <w:r>
        <w:rPr>
          <w:rStyle w:val="OperatorTok"/>
        </w:rPr>
        <w:t xml:space="preserve">/</w:t>
      </w:r>
      <w:r>
        <w:rPr>
          <w:rStyle w:val="NormalTok"/>
        </w:rPr>
        <w:t xml:space="preserve">download</w:t>
      </w:r>
      <w:r>
        <w:rPr>
          <w:rStyle w:val="OperatorTok"/>
        </w:rPr>
        <w:t xml:space="preserve">/</w:t>
      </w:r>
      <w:r>
        <w:rPr>
          <w:rStyle w:val="NormalTok"/>
        </w:rPr>
        <w:t xml:space="preserve">download_iris_california_pilot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event-count </w:t>
      </w:r>
      <w:r>
        <w:rPr>
          <w:rStyle w:val="DecValTok"/>
        </w:rPr>
        <w:t xml:space="preserve">8</w:t>
      </w:r>
      <w:r>
        <w:rPr>
          <w:rStyle w:val="NormalTok"/>
        </w:rPr>
        <w:t xml:space="preserve"> </w:t>
      </w:r>
      <w:r>
        <w:rPr>
          <w:rStyle w:val="OperatorTok"/>
        </w:rPr>
        <w:t xml:space="preserve">--</w:t>
      </w:r>
      <w:r>
        <w:rPr>
          <w:rStyle w:val="NormalTok"/>
        </w:rPr>
        <w:t xml:space="preserve">min-events </w:t>
      </w:r>
      <w:r>
        <w:rPr>
          <w:rStyle w:val="DecValTok"/>
        </w:rPr>
        <w:t xml:space="preserve">5</w:t>
      </w:r>
      <w:r>
        <w:br/>
      </w:r>
      <w:r>
        <w:rPr>
          <w:rStyle w:val="DataTypeTok"/>
        </w:rPr>
        <w:t xml:space="preserve">python</w:t>
      </w:r>
      <w:r>
        <w:rPr>
          <w:rStyle w:val="NormalTok"/>
        </w:rPr>
        <w:t xml:space="preserve"> scripts</w:t>
      </w:r>
      <w:r>
        <w:rPr>
          <w:rStyle w:val="OperatorTok"/>
        </w:rPr>
        <w:t xml:space="preserve">/</w:t>
      </w:r>
      <w:r>
        <w:rPr>
          <w:rStyle w:val="NormalTok"/>
        </w:rPr>
        <w:t xml:space="preserve">analysis</w:t>
      </w:r>
      <w:r>
        <w:rPr>
          <w:rStyle w:val="OperatorTok"/>
        </w:rPr>
        <w:t xml:space="preserve">/</w:t>
      </w:r>
      <w:r>
        <w:rPr>
          <w:rStyle w:val="NormalTok"/>
        </w:rPr>
        <w:t xml:space="preserve">run_california_pilot_eda</w:t>
      </w:r>
      <w:r>
        <w:rPr>
          <w:rStyle w:val="OperatorTok"/>
        </w:rPr>
        <w:t xml:space="preserve">.</w:t>
      </w:r>
      <w:r>
        <w:rPr>
          <w:rStyle w:val="FunctionTok"/>
        </w:rPr>
        <w:t xml:space="preserve">py</w:t>
      </w:r>
      <w:r>
        <w:br/>
      </w:r>
      <w:r>
        <w:rPr>
          <w:rStyle w:val="NormalTok"/>
        </w:rPr>
        <w:t xml:space="preserve">python scripts</w:t>
      </w:r>
      <w:r>
        <w:rPr>
          <w:rStyle w:val="OperatorTok"/>
        </w:rPr>
        <w:t xml:space="preserve">/</w:t>
      </w:r>
      <w:r>
        <w:rPr>
          <w:rStyle w:val="NormalTok"/>
        </w:rPr>
        <w:t xml:space="preserve">analysis</w:t>
      </w:r>
      <w:r>
        <w:rPr>
          <w:rStyle w:val="OperatorTok"/>
        </w:rPr>
        <w:t xml:space="preserve">/</w:t>
      </w:r>
      <w:r>
        <w:rPr>
          <w:rStyle w:val="NormalTok"/>
        </w:rPr>
        <w:t xml:space="preserve">run_california_signal_analysis</w:t>
      </w:r>
      <w:r>
        <w:rPr>
          <w:rStyle w:val="OperatorTok"/>
        </w:rPr>
        <w:t xml:space="preserve">.</w:t>
      </w:r>
      <w:r>
        <w:rPr>
          <w:rStyle w:val="FunctionTok"/>
        </w:rPr>
        <w:t xml:space="preserve">py</w:t>
      </w:r>
      <w:r>
        <w:br/>
      </w:r>
      <w:r>
        <w:rPr>
          <w:rStyle w:val="NormalTok"/>
        </w:rPr>
        <w:t xml:space="preserve">python scripts</w:t>
      </w:r>
      <w:r>
        <w:rPr>
          <w:rStyle w:val="OperatorTok"/>
        </w:rPr>
        <w:t xml:space="preserve">/</w:t>
      </w:r>
      <w:r>
        <w:rPr>
          <w:rStyle w:val="NormalTok"/>
        </w:rPr>
        <w:t xml:space="preserve">analysis</w:t>
      </w:r>
      <w:r>
        <w:rPr>
          <w:rStyle w:val="OperatorTok"/>
        </w:rPr>
        <w:t xml:space="preserve">/</w:t>
      </w:r>
      <w:r>
        <w:rPr>
          <w:rStyle w:val="NormalTok"/>
        </w:rPr>
        <w:t xml:space="preserve">run_california_preprocessing</w:t>
      </w:r>
      <w:r>
        <w:rPr>
          <w:rStyle w:val="OperatorTok"/>
        </w:rPr>
        <w:t xml:space="preserve">.</w:t>
      </w:r>
      <w:r>
        <w:rPr>
          <w:rStyle w:val="FunctionTok"/>
        </w:rPr>
        <w:t xml:space="preserve">py</w:t>
      </w:r>
      <w:r>
        <w:br/>
      </w:r>
      <w:r>
        <w:rPr>
          <w:rStyle w:val="NormalTok"/>
        </w:rPr>
        <w:t xml:space="preserve">python scripts</w:t>
      </w:r>
      <w:r>
        <w:rPr>
          <w:rStyle w:val="OperatorTok"/>
        </w:rPr>
        <w:t xml:space="preserve">/</w:t>
      </w:r>
      <w:r>
        <w:rPr>
          <w:rStyle w:val="NormalTok"/>
        </w:rPr>
        <w:t xml:space="preserve">analysis</w:t>
      </w:r>
      <w:r>
        <w:rPr>
          <w:rStyle w:val="OperatorTok"/>
        </w:rPr>
        <w:t xml:space="preserve">/</w:t>
      </w:r>
      <w:r>
        <w:rPr>
          <w:rStyle w:val="NormalTok"/>
        </w:rPr>
        <w:t xml:space="preserve">run_california_feature_engineering</w:t>
      </w:r>
      <w:r>
        <w:rPr>
          <w:rStyle w:val="OperatorTok"/>
        </w:rPr>
        <w:t xml:space="preserve">.</w:t>
      </w:r>
      <w:r>
        <w:rPr>
          <w:rStyle w:val="FunctionTok"/>
        </w:rPr>
        <w:t xml:space="preserve">py</w:t>
      </w:r>
    </w:p>
    <w:p>
      <w:pPr>
        <w:pStyle w:val="FirstParagraph"/>
      </w:pPr>
      <w:r>
        <w:t xml:space="preserve">Defaults:</w:t>
      </w:r>
      <w:r>
        <w:t xml:space="preserve"> </w:t>
      </w:r>
      <w:r>
        <w:rPr>
          <w:rStyle w:val="VerbatimChar"/>
        </w:rPr>
        <w:t xml:space="preserve">data/raw/iris/</w:t>
      </w:r>
      <w:r>
        <w:t xml:space="preserve">,</w:t>
      </w:r>
      <w:r>
        <w:t xml:space="preserve"> </w:t>
      </w:r>
      <w:r>
        <w:rPr>
          <w:rStyle w:val="VerbatimChar"/>
        </w:rPr>
        <w:t xml:space="preserve">data/manifests/iris_california_pilot_events.csv</w:t>
      </w:r>
      <w:r>
        <w:t xml:space="preserve">,</w:t>
      </w:r>
      <w:r>
        <w:t xml:space="preserve"> </w:t>
      </w:r>
      <w:r>
        <w:rPr>
          <w:rStyle w:val="VerbatimChar"/>
        </w:rPr>
        <w:t xml:space="preserve">logs/iris_california_pilot_summary.json</w:t>
      </w:r>
      <w:r>
        <w:t xml:space="preserve">. Preprocessing config:</w:t>
      </w:r>
      <w:r>
        <w:t xml:space="preserve"> </w:t>
      </w:r>
      <w:r>
        <w:rPr>
          <w:rStyle w:val="VerbatimChar"/>
        </w:rPr>
        <w:t xml:space="preserve">reports/preprocessing/preprocessing_config.json</w:t>
      </w:r>
      <w:r>
        <w:t xml:space="preserve">.</w:t>
      </w:r>
    </w:p>
    <w:bookmarkEnd w:id="89"/>
    <w:bookmarkStart w:id="90" w:name="b.4-included-vs-excluded-artefacts"/>
    <w:p>
      <w:pPr>
        <w:pStyle w:val="Heading3"/>
      </w:pPr>
      <w:r>
        <w:t xml:space="preserve">B.4 Included vs excluded artefacts</w:t>
      </w:r>
    </w:p>
    <w:p>
      <w:pPr>
        <w:pStyle w:val="FirstParagraph"/>
      </w:pPr>
      <w:r>
        <w:t xml:space="preserve">Typically in Git: scripts, manifest, phase docs,</w:t>
      </w:r>
      <w:r>
        <w:t xml:space="preserve"> </w:t>
      </w:r>
      <w:r>
        <w:rPr>
          <w:rStyle w:val="VerbatimChar"/>
        </w:rPr>
        <w:t xml:space="preserve">reports/tables/</w:t>
      </w:r>
      <w:r>
        <w:t xml:space="preserve">, JSON summaries, NPZ, feature matrix (see audit).</w:t>
      </w:r>
    </w:p>
    <w:p>
      <w:pPr>
        <w:pStyle w:val="BodyText"/>
      </w:pPr>
      <w:r>
        <w:t xml:space="preserve">Gitignored:</w:t>
      </w:r>
      <w:r>
        <w:t xml:space="preserve"> </w:t>
      </w:r>
      <w:r>
        <w:rPr>
          <w:rStyle w:val="VerbatimChar"/>
        </w:rPr>
        <w:t xml:space="preserve">data/raw/</w:t>
      </w:r>
      <w:r>
        <w:t xml:space="preserve">,</w:t>
      </w:r>
      <w:r>
        <w:t xml:space="preserve"> </w:t>
      </w:r>
      <w:r>
        <w:rPr>
          <w:rStyle w:val="VerbatimChar"/>
        </w:rPr>
        <w:t xml:space="preserve">logs/</w:t>
      </w:r>
      <w:r>
        <w:t xml:space="preserve">,</w:t>
      </w:r>
      <w:r>
        <w:t xml:space="preserve"> </w:t>
      </w:r>
      <w:r>
        <w:rPr>
          <w:rStyle w:val="VerbatimChar"/>
        </w:rPr>
        <w:t xml:space="preserve">figures/</w:t>
      </w:r>
      <w:r>
        <w:t xml:space="preserve"> </w:t>
      </w:r>
      <w:r>
        <w:t xml:space="preserve">(includes</w:t>
      </w:r>
      <w:r>
        <w:t xml:space="preserve"> </w:t>
      </w:r>
      <w:r>
        <w:rPr>
          <w:rStyle w:val="VerbatimChar"/>
        </w:rPr>
        <w:t xml:space="preserve">reports/figures/</w:t>
      </w:r>
      <w:r>
        <w:t xml:space="preserve">). Fresh clones must regenerate or use a separate archive (</w:t>
      </w:r>
      <w:r>
        <w:rPr>
          <w:rStyle w:val="VerbatimChar"/>
        </w:rPr>
        <w:t xml:space="preserve">docs/FINAL_DELIVERABLE_AUDIT.md</w:t>
      </w:r>
      <w:r>
        <w:t xml:space="preserve">).</w:t>
      </w:r>
    </w:p>
    <w:bookmarkEnd w:id="90"/>
    <w:bookmarkStart w:id="91" w:name="b.5-reproducibility-limitations"/>
    <w:p>
      <w:pPr>
        <w:pStyle w:val="Heading3"/>
      </w:pPr>
      <w:r>
        <w:t xml:space="preserve">B.5 Reproducibility limitations</w:t>
      </w:r>
    </w:p>
    <w:p>
      <w:pPr>
        <w:pStyle w:val="FirstParagraph"/>
      </w:pPr>
      <w:r>
        <w:t xml:space="preserve">FDSN rerun variability; fixed station list; origin-aligned windows; 0/8 response removal; N=8; EarthESND not on pilot path; PNGs may differ slightly by library version.</w:t>
      </w:r>
    </w:p>
    <w:bookmarkEnd w:id="91"/>
    <w:bookmarkStart w:id="92" w:name="b.6-verification"/>
    <w:p>
      <w:pPr>
        <w:pStyle w:val="Heading3"/>
      </w:pPr>
      <w:r>
        <w:t xml:space="preserve">B.6 Verification</w:t>
      </w:r>
    </w:p>
    <w:p>
      <w:pPr>
        <w:pStyle w:val="FirstParagraph"/>
      </w:pPr>
      <w:r>
        <w:t xml:space="preserve">Compare to</w:t>
      </w:r>
      <w:r>
        <w:t xml:space="preserve"> </w:t>
      </w:r>
      <w:r>
        <w:rPr>
          <w:rStyle w:val="VerbatimChar"/>
        </w:rPr>
        <w:t xml:space="preserve">reports/eda/dataset_summary.json</w:t>
      </w:r>
      <w:r>
        <w:t xml:space="preserve">,</w:t>
      </w:r>
      <w:r>
        <w:t xml:space="preserve"> </w:t>
      </w:r>
      <w:r>
        <w:rPr>
          <w:rStyle w:val="VerbatimChar"/>
        </w:rPr>
        <w:t xml:space="preserve">reports/signal_analysis/signal_analysis_summary.json</w:t>
      </w:r>
      <w:r>
        <w:t xml:space="preserve">,</w:t>
      </w:r>
      <w:r>
        <w:t xml:space="preserve"> </w:t>
      </w:r>
      <w:r>
        <w:rPr>
          <w:rStyle w:val="VerbatimChar"/>
        </w:rPr>
        <w:t xml:space="preserve">reports/preprocessing/preprocessing_summary.json</w:t>
      </w:r>
      <w:r>
        <w:t xml:space="preserve">,</w:t>
      </w:r>
      <w:r>
        <w:t xml:space="preserve"> </w:t>
      </w:r>
      <w:r>
        <w:rPr>
          <w:rStyle w:val="VerbatimChar"/>
        </w:rPr>
        <w:t xml:space="preserve">reports/features/feature_summary.json</w:t>
      </w:r>
      <w:r>
        <w:t xml:space="preserve">.</w:t>
      </w:r>
    </w:p>
    <w:p>
      <w:r>
        <w:pict>
          <v:rect style="width:0;height:1.5pt" o:hralign="center" o:hrstd="t" o:hr="t"/>
        </w:pict>
      </w:r>
    </w:p>
    <w:bookmarkEnd w:id="92"/>
    <w:bookmarkEnd w:id="93"/>
    <w:bookmarkStart w:id="98" w:name="X8b241b43cd3bfff07cde06e2959b88f16d64ca9"/>
    <w:p>
      <w:pPr>
        <w:pStyle w:val="Heading2"/>
      </w:pPr>
      <w:r>
        <w:t xml:space="preserve">Appendix C — Data availability and ethics statement (D-S2)</w:t>
      </w:r>
    </w:p>
    <w:p>
      <w:pPr>
        <w:pStyle w:val="FirstParagraph"/>
      </w:pPr>
      <w:r>
        <w:rPr>
          <w:i/>
          <w:iCs/>
        </w:rPr>
        <w:t xml:space="preserve">Condensed from</w:t>
      </w:r>
      <w:r>
        <w:rPr>
          <w:i/>
          <w:iCs/>
        </w:rPr>
        <w:t xml:space="preserve"> </w:t>
      </w:r>
      <w:r>
        <w:rPr>
          <w:rStyle w:val="VerbatimChar"/>
          <w:i/>
          <w:iCs/>
        </w:rPr>
        <w:t xml:space="preserve">docs/DATA_AVAILABILITY_STATEMENT.md</w:t>
      </w:r>
      <w:r>
        <w:rPr>
          <w:i/>
          <w:iCs/>
        </w:rPr>
        <w:t xml:space="preserve"> </w:t>
      </w:r>
      <w:r>
        <w:rPr>
          <w:i/>
          <w:iCs/>
        </w:rPr>
        <w:t xml:space="preserve">for this submission package.</w:t>
      </w:r>
    </w:p>
    <w:bookmarkStart w:id="94" w:name="c.1-data-sources"/>
    <w:p>
      <w:pPr>
        <w:pStyle w:val="Heading3"/>
      </w:pPr>
      <w:r>
        <w:t xml:space="preserve">C.1 Data sources</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Role</w:t>
            </w:r>
          </w:p>
        </w:tc>
        <w:tc>
          <w:tcPr/>
          <w:p>
            <w:pPr>
              <w:pStyle w:val="Compact"/>
            </w:pPr>
            <w:r>
              <w:t xml:space="preserve">Provider</w:t>
            </w:r>
          </w:p>
        </w:tc>
        <w:tc>
          <w:tcPr/>
          <w:p>
            <w:pPr>
              <w:pStyle w:val="Compact"/>
            </w:pPr>
            <w:r>
              <w:t xml:space="preserve">Access</w:t>
            </w:r>
          </w:p>
        </w:tc>
      </w:tr>
      <w:tr>
        <w:tc>
          <w:tcPr/>
          <w:p>
            <w:pPr>
              <w:pStyle w:val="Compact"/>
            </w:pPr>
            <w:r>
              <w:t xml:space="preserve">Catalog</w:t>
            </w:r>
          </w:p>
        </w:tc>
        <w:tc>
          <w:tcPr/>
          <w:p>
            <w:pPr>
              <w:pStyle w:val="Compact"/>
            </w:pPr>
            <w:r>
              <w:t xml:space="preserve">USGS FDSN Event</w:t>
            </w:r>
          </w:p>
        </w:tc>
        <w:tc>
          <w:tcPr/>
          <w:p>
            <w:pPr>
              <w:pStyle w:val="Compact"/>
            </w:pPr>
            <w:r>
              <w:t xml:space="preserve">Public — https://earthquake.usgs.gov</w:t>
            </w:r>
          </w:p>
        </w:tc>
      </w:tr>
      <w:tr>
        <w:tc>
          <w:tcPr/>
          <w:p>
            <w:pPr>
              <w:pStyle w:val="Compact"/>
            </w:pPr>
            <w:r>
              <w:t xml:space="preserve">Waveforms</w:t>
            </w:r>
          </w:p>
        </w:tc>
        <w:tc>
          <w:tcPr/>
          <w:p>
            <w:pPr>
              <w:pStyle w:val="Compact"/>
            </w:pPr>
            <w:r>
              <w:t xml:space="preserve">EarthScope</w:t>
            </w:r>
          </w:p>
        </w:tc>
        <w:tc>
          <w:tcPr/>
          <w:p>
            <w:pPr>
              <w:pStyle w:val="Compact"/>
            </w:pPr>
            <w:r>
              <w:t xml:space="preserve">Public FDSN — https://service.earthscope.org</w:t>
            </w:r>
          </w:p>
        </w:tc>
      </w:tr>
    </w:tbl>
    <w:p>
      <w:pPr>
        <w:pStyle w:val="BodyText"/>
      </w:pPr>
      <w:r>
        <w:t xml:space="preserve">Query details:</w:t>
      </w:r>
      <w:r>
        <w:t xml:space="preserve"> </w:t>
      </w:r>
      <w:r>
        <w:rPr>
          <w:rStyle w:val="VerbatimChar"/>
        </w:rPr>
        <w:t xml:space="preserve">docs/IRIS_DATASET_REPORT.md</w:t>
      </w:r>
      <w:r>
        <w:t xml:space="preserve">. Eight events, magnitudes 4.05–4.87, CI.ADO (6) / CI.USC (2). No credentials required.</w:t>
      </w:r>
    </w:p>
    <w:bookmarkEnd w:id="94"/>
    <w:bookmarkStart w:id="95" w:name="c.2-repository-availability"/>
    <w:p>
      <w:pPr>
        <w:pStyle w:val="Heading3"/>
      </w:pPr>
      <w:r>
        <w:t xml:space="preserve">C.2 Repository availability</w:t>
      </w:r>
    </w:p>
    <w:p>
      <w:pPr>
        <w:pStyle w:val="FirstParagraph"/>
      </w:pPr>
      <w:r>
        <w:t xml:space="preserve">In Git (typical): manifest, derived</w:t>
      </w:r>
      <w:r>
        <w:t xml:space="preserve"> </w:t>
      </w:r>
      <w:r>
        <w:rPr>
          <w:rStyle w:val="VerbatimChar"/>
        </w:rPr>
        <w:t xml:space="preserve">reports/</w:t>
      </w:r>
      <w:r>
        <w:t xml:space="preserve"> </w:t>
      </w:r>
      <w:r>
        <w:t xml:space="preserve">products, scripts, documentation.</w:t>
      </w:r>
    </w:p>
    <w:p>
      <w:pPr>
        <w:pStyle w:val="BodyText"/>
      </w:pPr>
      <w:r>
        <w:t xml:space="preserve">Not in Git: raw MiniSEED (</w:t>
      </w:r>
      <w:r>
        <w:rPr>
          <w:rStyle w:val="VerbatimChar"/>
        </w:rPr>
        <w:t xml:space="preserve">data/raw/</w:t>
      </w:r>
      <w:r>
        <w:t xml:space="preserve">), logs (</w:t>
      </w:r>
      <w:r>
        <w:rPr>
          <w:rStyle w:val="VerbatimChar"/>
        </w:rPr>
        <w:t xml:space="preserve">logs/</w:t>
      </w:r>
      <w:r>
        <w:t xml:space="preserve">), figures (</w:t>
      </w:r>
      <w:r>
        <w:rPr>
          <w:rStyle w:val="VerbatimChar"/>
        </w:rPr>
        <w:t xml:space="preserve">reports/figures/</w:t>
      </w:r>
      <w:r>
        <w:t xml:space="preserve"> </w:t>
      </w:r>
      <w:r>
        <w:t xml:space="preserve">per</w:t>
      </w:r>
      <w:r>
        <w:t xml:space="preserve"> </w:t>
      </w:r>
      <w:r>
        <w:rPr>
          <w:rStyle w:val="VerbatimChar"/>
        </w:rPr>
        <w:t xml:space="preserve">.gitignore</w:t>
      </w:r>
      <w:r>
        <w:t xml:space="preserve"> </w:t>
      </w:r>
      <w:r>
        <w:t xml:space="preserve">rule</w:t>
      </w:r>
      <w:r>
        <w:t xml:space="preserve"> </w:t>
      </w:r>
      <w:r>
        <w:rPr>
          <w:rStyle w:val="VerbatimChar"/>
        </w:rPr>
        <w:t xml:space="preserve">figures/</w:t>
      </w:r>
      <w:r>
        <w:t xml:space="preserve">).</w:t>
      </w:r>
    </w:p>
    <w:p>
      <w:pPr>
        <w:pStyle w:val="BodyText"/>
      </w:pPr>
      <w:r>
        <w:t xml:space="preserve">Regeneration: download script + analysis pipeline (Appendix B).</w:t>
      </w:r>
    </w:p>
    <w:bookmarkEnd w:id="95"/>
    <w:bookmarkStart w:id="96" w:name="c.3-ethics"/>
    <w:p>
      <w:pPr>
        <w:pStyle w:val="Heading3"/>
      </w:pPr>
      <w:r>
        <w:t xml:space="preserve">C.3 Ethics</w:t>
      </w:r>
    </w:p>
    <w:p>
      <w:pPr>
        <w:pStyle w:val="FirstParagraph"/>
      </w:pPr>
      <w:r>
        <w:t xml:space="preserve">Public seismic data only; no human subjects; cite USGS, EarthScope, and FDSN terms. GDPR note applies to future European integrations, not the completed California pilot.</w:t>
      </w:r>
    </w:p>
    <w:bookmarkEnd w:id="96"/>
    <w:bookmarkStart w:id="97" w:name="c.4-data-use-limitations"/>
    <w:p>
      <w:pPr>
        <w:pStyle w:val="Heading3"/>
      </w:pPr>
      <w:r>
        <w:t xml:space="preserve">C.4 Data-use limitations</w:t>
      </w:r>
    </w:p>
    <w:p>
      <w:pPr>
        <w:pStyle w:val="FirstParagraph"/>
      </w:pPr>
      <w:r>
        <w:t xml:space="preserve">BHZ only; N=8; ADO bias; legacy files outside manifest; counts not physical motion; not EarthESND geography.</w:t>
      </w:r>
    </w:p>
    <w:p>
      <w:pPr>
        <w:pStyle w:val="BodyText"/>
      </w:pPr>
      <w:r>
        <w:t xml:space="preserve">Full citations: see</w:t>
      </w:r>
      <w:r>
        <w:t xml:space="preserve"> </w:t>
      </w:r>
      <w:r>
        <w:rPr>
          <w:rStyle w:val="VerbatimChar"/>
        </w:rPr>
        <w:t xml:space="preserve">docs/DATA_AVAILABILITY_STATEMENT.md</w:t>
      </w:r>
      <w:r>
        <w:t xml:space="preserve"> </w:t>
      </w:r>
      <w:r>
        <w:t xml:space="preserve">§7 and Section 14 of this document.</w:t>
      </w:r>
    </w:p>
    <w:p>
      <w:r>
        <w:pict>
          <v:rect style="width:0;height:1.5pt" o:hralign="center" o:hrstd="t" o:hr="t"/>
        </w:pict>
      </w:r>
    </w:p>
    <w:bookmarkEnd w:id="97"/>
    <w:bookmarkEnd w:id="98"/>
    <w:bookmarkStart w:id="135" w:name="X9a969e3d46243c06ed167c24275432adf659247"/>
    <w:p>
      <w:pPr>
        <w:pStyle w:val="Heading2"/>
      </w:pPr>
      <w:r>
        <w:t xml:space="preserve">Appendix D — Supplementary per-event figures</w:t>
      </w:r>
    </w:p>
    <w:p>
      <w:pPr>
        <w:pStyle w:val="FirstParagraph"/>
      </w:pPr>
      <w:r>
        <w:t xml:space="preserve">Remaining signal analysis panels (four-panel: raw, normalised, STA/LTA, P marker):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w:t>
            </w:r>
          </w:p>
        </w:tc>
        <w:tc>
          <w:tcPr/>
          <w:p>
            <w:pPr>
              <w:pStyle w:val="Compact"/>
            </w:pPr>
            <w:r>
              <w:t xml:space="preserve">File</w:t>
            </w:r>
          </w:p>
        </w:tc>
      </w:tr>
      <w:tr>
        <w:tc>
          <w:tcPr/>
          <w:p>
            <w:pPr>
              <w:pStyle w:val="Compact"/>
            </w:pPr>
            <w:r>
              <w:t xml:space="preserve">D1</w:t>
            </w:r>
          </w:p>
        </w:tc>
        <w:tc>
          <w:tcPr/>
          <w:p>
            <w:pPr>
              <w:pStyle w:val="Compact"/>
            </w:pPr>
            <w:r>
              <w:rPr>
                <w:rStyle w:val="VerbatimChar"/>
              </w:rPr>
              <w:t xml:space="preserve">figures/signal_analysis_ci40593503.png</w:t>
            </w:r>
          </w:p>
        </w:tc>
      </w:tr>
      <w:tr>
        <w:tc>
          <w:tcPr/>
          <w:p>
            <w:pPr>
              <w:pStyle w:val="Compact"/>
            </w:pPr>
            <w:r>
              <w:t xml:space="preserve">D2</w:t>
            </w:r>
          </w:p>
        </w:tc>
        <w:tc>
          <w:tcPr/>
          <w:p>
            <w:pPr>
              <w:pStyle w:val="Compact"/>
            </w:pPr>
            <w:r>
              <w:rPr>
                <w:rStyle w:val="VerbatimChar"/>
              </w:rPr>
              <w:t xml:space="preserve">figures/signal_analysis_ci40735352.png</w:t>
            </w:r>
          </w:p>
        </w:tc>
      </w:tr>
      <w:tr>
        <w:tc>
          <w:tcPr/>
          <w:p>
            <w:pPr>
              <w:pStyle w:val="Compact"/>
            </w:pPr>
            <w:r>
              <w:t xml:space="preserve">D3</w:t>
            </w:r>
          </w:p>
        </w:tc>
        <w:tc>
          <w:tcPr/>
          <w:p>
            <w:pPr>
              <w:pStyle w:val="Compact"/>
            </w:pPr>
            <w:r>
              <w:rPr>
                <w:rStyle w:val="VerbatimChar"/>
              </w:rPr>
              <w:t xml:space="preserve">figures/signal_analysis_ci40964048.png</w:t>
            </w:r>
          </w:p>
        </w:tc>
      </w:tr>
      <w:tr>
        <w:tc>
          <w:tcPr/>
          <w:p>
            <w:pPr>
              <w:pStyle w:val="Compact"/>
            </w:pPr>
            <w:r>
              <w:t xml:space="preserve">D4</w:t>
            </w:r>
          </w:p>
        </w:tc>
        <w:tc>
          <w:tcPr/>
          <w:p>
            <w:pPr>
              <w:pStyle w:val="Compact"/>
            </w:pPr>
            <w:r>
              <w:rPr>
                <w:rStyle w:val="VerbatimChar"/>
              </w:rPr>
              <w:t xml:space="preserve">figures/signal_analysis_ci40964128.png</w:t>
            </w:r>
          </w:p>
        </w:tc>
      </w:tr>
      <w:tr>
        <w:tc>
          <w:tcPr/>
          <w:p>
            <w:pPr>
              <w:pStyle w:val="Compact"/>
            </w:pPr>
            <w:r>
              <w:t xml:space="preserve">D5</w:t>
            </w:r>
          </w:p>
        </w:tc>
        <w:tc>
          <w:tcPr/>
          <w:p>
            <w:pPr>
              <w:pStyle w:val="Compact"/>
            </w:pPr>
            <w:r>
              <w:rPr>
                <w:rStyle w:val="VerbatimChar"/>
              </w:rPr>
              <w:t xml:space="preserve">figures/signal_analysis_ci40964384.png</w:t>
            </w:r>
          </w:p>
        </w:tc>
      </w:tr>
      <w:tr>
        <w:tc>
          <w:tcPr/>
          <w:p>
            <w:pPr>
              <w:pStyle w:val="Compact"/>
            </w:pPr>
            <w:r>
              <w:t xml:space="preserve">D6</w:t>
            </w:r>
          </w:p>
        </w:tc>
        <w:tc>
          <w:tcPr/>
          <w:p>
            <w:pPr>
              <w:pStyle w:val="Compact"/>
            </w:pPr>
            <w:r>
              <w:rPr>
                <w:rStyle w:val="VerbatimChar"/>
              </w:rPr>
              <w:t xml:space="preserve">figures/signal_analysis_nn00882322.png</w:t>
            </w:r>
          </w:p>
        </w:tc>
      </w:tr>
    </w:tbl>
    <w:p>
      <w:pPr>
        <w:pStyle w:val="BodyText"/>
      </w:pPr>
      <w:r>
        <w:t xml:space="preserve">Remaining preprocessing panels (raw → detrended → filtered → normalised):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w:t>
            </w:r>
          </w:p>
        </w:tc>
        <w:tc>
          <w:tcPr/>
          <w:p>
            <w:pPr>
              <w:pStyle w:val="Compact"/>
            </w:pPr>
            <w:r>
              <w:t xml:space="preserve">File</w:t>
            </w:r>
          </w:p>
        </w:tc>
      </w:tr>
      <w:tr>
        <w:tc>
          <w:tcPr/>
          <w:p>
            <w:pPr>
              <w:pStyle w:val="Compact"/>
            </w:pPr>
            <w:r>
              <w:t xml:space="preserve">D7</w:t>
            </w:r>
          </w:p>
        </w:tc>
        <w:tc>
          <w:tcPr/>
          <w:p>
            <w:pPr>
              <w:pStyle w:val="Compact"/>
            </w:pPr>
            <w:r>
              <w:rPr>
                <w:rStyle w:val="VerbatimChar"/>
              </w:rPr>
              <w:t xml:space="preserve">figures/preprocessing_ci40593503.png</w:t>
            </w:r>
          </w:p>
        </w:tc>
      </w:tr>
      <w:tr>
        <w:tc>
          <w:tcPr/>
          <w:p>
            <w:pPr>
              <w:pStyle w:val="Compact"/>
            </w:pPr>
            <w:r>
              <w:t xml:space="preserve">D8</w:t>
            </w:r>
          </w:p>
        </w:tc>
        <w:tc>
          <w:tcPr/>
          <w:p>
            <w:pPr>
              <w:pStyle w:val="Compact"/>
            </w:pPr>
            <w:r>
              <w:rPr>
                <w:rStyle w:val="VerbatimChar"/>
              </w:rPr>
              <w:t xml:space="preserve">figures/preprocessing_ci40735352.png</w:t>
            </w:r>
          </w:p>
        </w:tc>
      </w:tr>
      <w:tr>
        <w:tc>
          <w:tcPr/>
          <w:p>
            <w:pPr>
              <w:pStyle w:val="Compact"/>
            </w:pPr>
            <w:r>
              <w:t xml:space="preserve">D9</w:t>
            </w:r>
          </w:p>
        </w:tc>
        <w:tc>
          <w:tcPr/>
          <w:p>
            <w:pPr>
              <w:pStyle w:val="Compact"/>
            </w:pPr>
            <w:r>
              <w:rPr>
                <w:rStyle w:val="VerbatimChar"/>
              </w:rPr>
              <w:t xml:space="preserve">figures/preprocessing_ci40964048.png</w:t>
            </w:r>
          </w:p>
        </w:tc>
      </w:tr>
      <w:tr>
        <w:tc>
          <w:tcPr/>
          <w:p>
            <w:pPr>
              <w:pStyle w:val="Compact"/>
            </w:pPr>
            <w:r>
              <w:t xml:space="preserve">D10</w:t>
            </w:r>
          </w:p>
        </w:tc>
        <w:tc>
          <w:tcPr/>
          <w:p>
            <w:pPr>
              <w:pStyle w:val="Compact"/>
            </w:pPr>
            <w:r>
              <w:rPr>
                <w:rStyle w:val="VerbatimChar"/>
              </w:rPr>
              <w:t xml:space="preserve">figures/preprocessing_ci40964128.png</w:t>
            </w:r>
          </w:p>
        </w:tc>
      </w:tr>
      <w:tr>
        <w:tc>
          <w:tcPr/>
          <w:p>
            <w:pPr>
              <w:pStyle w:val="Compact"/>
            </w:pPr>
            <w:r>
              <w:t xml:space="preserve">D11</w:t>
            </w:r>
          </w:p>
        </w:tc>
        <w:tc>
          <w:tcPr/>
          <w:p>
            <w:pPr>
              <w:pStyle w:val="Compact"/>
            </w:pPr>
            <w:r>
              <w:rPr>
                <w:rStyle w:val="VerbatimChar"/>
              </w:rPr>
              <w:t xml:space="preserve">figures/preprocessing_ci40964384.png</w:t>
            </w:r>
          </w:p>
        </w:tc>
      </w:tr>
      <w:tr>
        <w:tc>
          <w:tcPr/>
          <w:p>
            <w:pPr>
              <w:pStyle w:val="Compact"/>
            </w:pPr>
            <w:r>
              <w:t xml:space="preserve">D12</w:t>
            </w:r>
          </w:p>
        </w:tc>
        <w:tc>
          <w:tcPr/>
          <w:p>
            <w:pPr>
              <w:pStyle w:val="Compact"/>
            </w:pPr>
            <w:r>
              <w:rPr>
                <w:rStyle w:val="VerbatimChar"/>
              </w:rPr>
              <w:t xml:space="preserve">figures/preprocessing_nn00882322.png</w:t>
            </w:r>
          </w:p>
        </w:tc>
      </w:tr>
    </w:tbl>
    <w:p>
      <w:pPr>
        <w:pStyle w:val="CaptionedFigure"/>
      </w:pPr>
      <w:r>
        <w:drawing>
          <wp:inline>
            <wp:extent cx="5334000" cy="5402000"/>
            <wp:effectExtent b="0" l="0" r="0" t="0"/>
            <wp:docPr descr="Figure D1: Signal analysis — ci40593503." title="" id="100" name="Picture"/>
            <a:graphic>
              <a:graphicData uri="http://schemas.openxmlformats.org/drawingml/2006/picture">
                <pic:pic>
                  <pic:nvPicPr>
                    <pic:cNvPr descr="figures/signal_analysis_ci40593503.png" id="101" name="Picture"/>
                    <pic:cNvPicPr>
                      <a:picLocks noChangeArrowheads="1" noChangeAspect="1"/>
                    </pic:cNvPicPr>
                  </pic:nvPicPr>
                  <pic:blipFill>
                    <a:blip r:embed="rId99"/>
                    <a:stretch>
                      <a:fillRect/>
                    </a:stretch>
                  </pic:blipFill>
                  <pic:spPr bwMode="auto">
                    <a:xfrm>
                      <a:off x="0" y="0"/>
                      <a:ext cx="5334000" cy="5402000"/>
                    </a:xfrm>
                    <a:prstGeom prst="rect">
                      <a:avLst/>
                    </a:prstGeom>
                    <a:noFill/>
                    <a:ln w="9525">
                      <a:noFill/>
                      <a:headEnd/>
                      <a:tailEnd/>
                    </a:ln>
                  </pic:spPr>
                </pic:pic>
              </a:graphicData>
            </a:graphic>
          </wp:inline>
        </w:drawing>
      </w:r>
    </w:p>
    <w:p>
      <w:pPr>
        <w:pStyle w:val="ImageCaption"/>
      </w:pPr>
      <w:r>
        <w:t xml:space="preserve">Figure D1: Signal analysis — ci40593503.</w:t>
      </w:r>
    </w:p>
    <w:p>
      <w:pPr>
        <w:pStyle w:val="CaptionedFigure"/>
      </w:pPr>
      <w:r>
        <w:drawing>
          <wp:inline>
            <wp:extent cx="5334000" cy="5402000"/>
            <wp:effectExtent b="0" l="0" r="0" t="0"/>
            <wp:docPr descr="Figure D2: Signal analysis — ci40735352." title="" id="103" name="Picture"/>
            <a:graphic>
              <a:graphicData uri="http://schemas.openxmlformats.org/drawingml/2006/picture">
                <pic:pic>
                  <pic:nvPicPr>
                    <pic:cNvPr descr="figures/signal_analysis_ci40735352.png" id="104" name="Picture"/>
                    <pic:cNvPicPr>
                      <a:picLocks noChangeArrowheads="1" noChangeAspect="1"/>
                    </pic:cNvPicPr>
                  </pic:nvPicPr>
                  <pic:blipFill>
                    <a:blip r:embed="rId102"/>
                    <a:stretch>
                      <a:fillRect/>
                    </a:stretch>
                  </pic:blipFill>
                  <pic:spPr bwMode="auto">
                    <a:xfrm>
                      <a:off x="0" y="0"/>
                      <a:ext cx="5334000" cy="5402000"/>
                    </a:xfrm>
                    <a:prstGeom prst="rect">
                      <a:avLst/>
                    </a:prstGeom>
                    <a:noFill/>
                    <a:ln w="9525">
                      <a:noFill/>
                      <a:headEnd/>
                      <a:tailEnd/>
                    </a:ln>
                  </pic:spPr>
                </pic:pic>
              </a:graphicData>
            </a:graphic>
          </wp:inline>
        </w:drawing>
      </w:r>
    </w:p>
    <w:p>
      <w:pPr>
        <w:pStyle w:val="ImageCaption"/>
      </w:pPr>
      <w:r>
        <w:t xml:space="preserve">Figure D2: Signal analysis — ci40735352.</w:t>
      </w:r>
    </w:p>
    <w:p>
      <w:pPr>
        <w:pStyle w:val="CaptionedFigure"/>
      </w:pPr>
      <w:r>
        <w:drawing>
          <wp:inline>
            <wp:extent cx="5334000" cy="5402000"/>
            <wp:effectExtent b="0" l="0" r="0" t="0"/>
            <wp:docPr descr="Figure D3: Signal analysis — ci40964048." title="" id="106" name="Picture"/>
            <a:graphic>
              <a:graphicData uri="http://schemas.openxmlformats.org/drawingml/2006/picture">
                <pic:pic>
                  <pic:nvPicPr>
                    <pic:cNvPr descr="figures/signal_analysis_ci40964048.png" id="107" name="Picture"/>
                    <pic:cNvPicPr>
                      <a:picLocks noChangeArrowheads="1" noChangeAspect="1"/>
                    </pic:cNvPicPr>
                  </pic:nvPicPr>
                  <pic:blipFill>
                    <a:blip r:embed="rId105"/>
                    <a:stretch>
                      <a:fillRect/>
                    </a:stretch>
                  </pic:blipFill>
                  <pic:spPr bwMode="auto">
                    <a:xfrm>
                      <a:off x="0" y="0"/>
                      <a:ext cx="5334000" cy="5402000"/>
                    </a:xfrm>
                    <a:prstGeom prst="rect">
                      <a:avLst/>
                    </a:prstGeom>
                    <a:noFill/>
                    <a:ln w="9525">
                      <a:noFill/>
                      <a:headEnd/>
                      <a:tailEnd/>
                    </a:ln>
                  </pic:spPr>
                </pic:pic>
              </a:graphicData>
            </a:graphic>
          </wp:inline>
        </w:drawing>
      </w:r>
    </w:p>
    <w:p>
      <w:pPr>
        <w:pStyle w:val="ImageCaption"/>
      </w:pPr>
      <w:r>
        <w:t xml:space="preserve">Figure D3: Signal analysis — ci40964048.</w:t>
      </w:r>
    </w:p>
    <w:p>
      <w:pPr>
        <w:pStyle w:val="CaptionedFigure"/>
      </w:pPr>
      <w:r>
        <w:drawing>
          <wp:inline>
            <wp:extent cx="5334000" cy="5402000"/>
            <wp:effectExtent b="0" l="0" r="0" t="0"/>
            <wp:docPr descr="Figure D4: Signal analysis — ci40964128." title="" id="109" name="Picture"/>
            <a:graphic>
              <a:graphicData uri="http://schemas.openxmlformats.org/drawingml/2006/picture">
                <pic:pic>
                  <pic:nvPicPr>
                    <pic:cNvPr descr="figures/signal_analysis_ci40964128.png" id="110" name="Picture"/>
                    <pic:cNvPicPr>
                      <a:picLocks noChangeArrowheads="1" noChangeAspect="1"/>
                    </pic:cNvPicPr>
                  </pic:nvPicPr>
                  <pic:blipFill>
                    <a:blip r:embed="rId108"/>
                    <a:stretch>
                      <a:fillRect/>
                    </a:stretch>
                  </pic:blipFill>
                  <pic:spPr bwMode="auto">
                    <a:xfrm>
                      <a:off x="0" y="0"/>
                      <a:ext cx="5334000" cy="5402000"/>
                    </a:xfrm>
                    <a:prstGeom prst="rect">
                      <a:avLst/>
                    </a:prstGeom>
                    <a:noFill/>
                    <a:ln w="9525">
                      <a:noFill/>
                      <a:headEnd/>
                      <a:tailEnd/>
                    </a:ln>
                  </pic:spPr>
                </pic:pic>
              </a:graphicData>
            </a:graphic>
          </wp:inline>
        </w:drawing>
      </w:r>
    </w:p>
    <w:p>
      <w:pPr>
        <w:pStyle w:val="ImageCaption"/>
      </w:pPr>
      <w:r>
        <w:t xml:space="preserve">Figure D4: Signal analysis — ci40964128.</w:t>
      </w:r>
    </w:p>
    <w:p>
      <w:pPr>
        <w:pStyle w:val="CaptionedFigure"/>
      </w:pPr>
      <w:r>
        <w:drawing>
          <wp:inline>
            <wp:extent cx="5334000" cy="5402000"/>
            <wp:effectExtent b="0" l="0" r="0" t="0"/>
            <wp:docPr descr="Figure D5: Signal analysis — ci40964384." title="" id="112" name="Picture"/>
            <a:graphic>
              <a:graphicData uri="http://schemas.openxmlformats.org/drawingml/2006/picture">
                <pic:pic>
                  <pic:nvPicPr>
                    <pic:cNvPr descr="figures/signal_analysis_ci40964384.png" id="113" name="Picture"/>
                    <pic:cNvPicPr>
                      <a:picLocks noChangeArrowheads="1" noChangeAspect="1"/>
                    </pic:cNvPicPr>
                  </pic:nvPicPr>
                  <pic:blipFill>
                    <a:blip r:embed="rId111"/>
                    <a:stretch>
                      <a:fillRect/>
                    </a:stretch>
                  </pic:blipFill>
                  <pic:spPr bwMode="auto">
                    <a:xfrm>
                      <a:off x="0" y="0"/>
                      <a:ext cx="5334000" cy="5402000"/>
                    </a:xfrm>
                    <a:prstGeom prst="rect">
                      <a:avLst/>
                    </a:prstGeom>
                    <a:noFill/>
                    <a:ln w="9525">
                      <a:noFill/>
                      <a:headEnd/>
                      <a:tailEnd/>
                    </a:ln>
                  </pic:spPr>
                </pic:pic>
              </a:graphicData>
            </a:graphic>
          </wp:inline>
        </w:drawing>
      </w:r>
    </w:p>
    <w:p>
      <w:pPr>
        <w:pStyle w:val="ImageCaption"/>
      </w:pPr>
      <w:r>
        <w:t xml:space="preserve">Figure D5: Signal analysis — ci40964384.</w:t>
      </w:r>
    </w:p>
    <w:p>
      <w:pPr>
        <w:pStyle w:val="CaptionedFigure"/>
      </w:pPr>
      <w:r>
        <w:drawing>
          <wp:inline>
            <wp:extent cx="5334000" cy="5402000"/>
            <wp:effectExtent b="0" l="0" r="0" t="0"/>
            <wp:docPr descr="Figure D6: Signal analysis — nn00882322." title="" id="115" name="Picture"/>
            <a:graphic>
              <a:graphicData uri="http://schemas.openxmlformats.org/drawingml/2006/picture">
                <pic:pic>
                  <pic:nvPicPr>
                    <pic:cNvPr descr="figures/signal_analysis_nn00882322.png" id="116" name="Picture"/>
                    <pic:cNvPicPr>
                      <a:picLocks noChangeArrowheads="1" noChangeAspect="1"/>
                    </pic:cNvPicPr>
                  </pic:nvPicPr>
                  <pic:blipFill>
                    <a:blip r:embed="rId114"/>
                    <a:stretch>
                      <a:fillRect/>
                    </a:stretch>
                  </pic:blipFill>
                  <pic:spPr bwMode="auto">
                    <a:xfrm>
                      <a:off x="0" y="0"/>
                      <a:ext cx="5334000" cy="5402000"/>
                    </a:xfrm>
                    <a:prstGeom prst="rect">
                      <a:avLst/>
                    </a:prstGeom>
                    <a:noFill/>
                    <a:ln w="9525">
                      <a:noFill/>
                      <a:headEnd/>
                      <a:tailEnd/>
                    </a:ln>
                  </pic:spPr>
                </pic:pic>
              </a:graphicData>
            </a:graphic>
          </wp:inline>
        </w:drawing>
      </w:r>
    </w:p>
    <w:p>
      <w:pPr>
        <w:pStyle w:val="ImageCaption"/>
      </w:pPr>
      <w:r>
        <w:t xml:space="preserve">Figure D6: Signal analysis — nn00882322.</w:t>
      </w:r>
    </w:p>
    <w:p>
      <w:pPr>
        <w:pStyle w:val="CaptionedFigure"/>
      </w:pPr>
      <w:r>
        <w:drawing>
          <wp:inline>
            <wp:extent cx="5334000" cy="5322000"/>
            <wp:effectExtent b="0" l="0" r="0" t="0"/>
            <wp:docPr descr="Figure D7: Preprocessing — ci40593503." title="" id="118" name="Picture"/>
            <a:graphic>
              <a:graphicData uri="http://schemas.openxmlformats.org/drawingml/2006/picture">
                <pic:pic>
                  <pic:nvPicPr>
                    <pic:cNvPr descr="figures/preprocessing_ci40593503.png" id="119" name="Picture"/>
                    <pic:cNvPicPr>
                      <a:picLocks noChangeArrowheads="1" noChangeAspect="1"/>
                    </pic:cNvPicPr>
                  </pic:nvPicPr>
                  <pic:blipFill>
                    <a:blip r:embed="rId117"/>
                    <a:stretch>
                      <a:fillRect/>
                    </a:stretch>
                  </pic:blipFill>
                  <pic:spPr bwMode="auto">
                    <a:xfrm>
                      <a:off x="0" y="0"/>
                      <a:ext cx="5334000" cy="5322000"/>
                    </a:xfrm>
                    <a:prstGeom prst="rect">
                      <a:avLst/>
                    </a:prstGeom>
                    <a:noFill/>
                    <a:ln w="9525">
                      <a:noFill/>
                      <a:headEnd/>
                      <a:tailEnd/>
                    </a:ln>
                  </pic:spPr>
                </pic:pic>
              </a:graphicData>
            </a:graphic>
          </wp:inline>
        </w:drawing>
      </w:r>
    </w:p>
    <w:p>
      <w:pPr>
        <w:pStyle w:val="ImageCaption"/>
      </w:pPr>
      <w:r>
        <w:t xml:space="preserve">Figure D7: Preprocessing — ci40593503.</w:t>
      </w:r>
    </w:p>
    <w:p>
      <w:pPr>
        <w:pStyle w:val="CaptionedFigure"/>
      </w:pPr>
      <w:r>
        <w:drawing>
          <wp:inline>
            <wp:extent cx="5334000" cy="5322000"/>
            <wp:effectExtent b="0" l="0" r="0" t="0"/>
            <wp:docPr descr="Figure D8: Preprocessing — ci40735352." title="" id="121" name="Picture"/>
            <a:graphic>
              <a:graphicData uri="http://schemas.openxmlformats.org/drawingml/2006/picture">
                <pic:pic>
                  <pic:nvPicPr>
                    <pic:cNvPr descr="figures/preprocessing_ci40735352.png" id="122" name="Picture"/>
                    <pic:cNvPicPr>
                      <a:picLocks noChangeArrowheads="1" noChangeAspect="1"/>
                    </pic:cNvPicPr>
                  </pic:nvPicPr>
                  <pic:blipFill>
                    <a:blip r:embed="rId120"/>
                    <a:stretch>
                      <a:fillRect/>
                    </a:stretch>
                  </pic:blipFill>
                  <pic:spPr bwMode="auto">
                    <a:xfrm>
                      <a:off x="0" y="0"/>
                      <a:ext cx="5334000" cy="5322000"/>
                    </a:xfrm>
                    <a:prstGeom prst="rect">
                      <a:avLst/>
                    </a:prstGeom>
                    <a:noFill/>
                    <a:ln w="9525">
                      <a:noFill/>
                      <a:headEnd/>
                      <a:tailEnd/>
                    </a:ln>
                  </pic:spPr>
                </pic:pic>
              </a:graphicData>
            </a:graphic>
          </wp:inline>
        </w:drawing>
      </w:r>
    </w:p>
    <w:p>
      <w:pPr>
        <w:pStyle w:val="ImageCaption"/>
      </w:pPr>
      <w:r>
        <w:t xml:space="preserve">Figure D8: Preprocessing — ci40735352.</w:t>
      </w:r>
    </w:p>
    <w:p>
      <w:pPr>
        <w:pStyle w:val="CaptionedFigure"/>
      </w:pPr>
      <w:r>
        <w:drawing>
          <wp:inline>
            <wp:extent cx="5334000" cy="5322000"/>
            <wp:effectExtent b="0" l="0" r="0" t="0"/>
            <wp:docPr descr="Figure D9: Preprocessing — ci40964048." title="" id="124" name="Picture"/>
            <a:graphic>
              <a:graphicData uri="http://schemas.openxmlformats.org/drawingml/2006/picture">
                <pic:pic>
                  <pic:nvPicPr>
                    <pic:cNvPr descr="figures/preprocessing_ci40964048.png" id="125" name="Picture"/>
                    <pic:cNvPicPr>
                      <a:picLocks noChangeArrowheads="1" noChangeAspect="1"/>
                    </pic:cNvPicPr>
                  </pic:nvPicPr>
                  <pic:blipFill>
                    <a:blip r:embed="rId123"/>
                    <a:stretch>
                      <a:fillRect/>
                    </a:stretch>
                  </pic:blipFill>
                  <pic:spPr bwMode="auto">
                    <a:xfrm>
                      <a:off x="0" y="0"/>
                      <a:ext cx="5334000" cy="5322000"/>
                    </a:xfrm>
                    <a:prstGeom prst="rect">
                      <a:avLst/>
                    </a:prstGeom>
                    <a:noFill/>
                    <a:ln w="9525">
                      <a:noFill/>
                      <a:headEnd/>
                      <a:tailEnd/>
                    </a:ln>
                  </pic:spPr>
                </pic:pic>
              </a:graphicData>
            </a:graphic>
          </wp:inline>
        </w:drawing>
      </w:r>
    </w:p>
    <w:p>
      <w:pPr>
        <w:pStyle w:val="ImageCaption"/>
      </w:pPr>
      <w:r>
        <w:t xml:space="preserve">Figure D9: Preprocessing — ci40964048.</w:t>
      </w:r>
    </w:p>
    <w:p>
      <w:pPr>
        <w:pStyle w:val="CaptionedFigure"/>
      </w:pPr>
      <w:r>
        <w:drawing>
          <wp:inline>
            <wp:extent cx="5334000" cy="5322000"/>
            <wp:effectExtent b="0" l="0" r="0" t="0"/>
            <wp:docPr descr="Figure D10: Preprocessing — ci40964128." title="" id="127" name="Picture"/>
            <a:graphic>
              <a:graphicData uri="http://schemas.openxmlformats.org/drawingml/2006/picture">
                <pic:pic>
                  <pic:nvPicPr>
                    <pic:cNvPr descr="figures/preprocessing_ci40964128.png" id="128" name="Picture"/>
                    <pic:cNvPicPr>
                      <a:picLocks noChangeArrowheads="1" noChangeAspect="1"/>
                    </pic:cNvPicPr>
                  </pic:nvPicPr>
                  <pic:blipFill>
                    <a:blip r:embed="rId126"/>
                    <a:stretch>
                      <a:fillRect/>
                    </a:stretch>
                  </pic:blipFill>
                  <pic:spPr bwMode="auto">
                    <a:xfrm>
                      <a:off x="0" y="0"/>
                      <a:ext cx="5334000" cy="5322000"/>
                    </a:xfrm>
                    <a:prstGeom prst="rect">
                      <a:avLst/>
                    </a:prstGeom>
                    <a:noFill/>
                    <a:ln w="9525">
                      <a:noFill/>
                      <a:headEnd/>
                      <a:tailEnd/>
                    </a:ln>
                  </pic:spPr>
                </pic:pic>
              </a:graphicData>
            </a:graphic>
          </wp:inline>
        </w:drawing>
      </w:r>
    </w:p>
    <w:p>
      <w:pPr>
        <w:pStyle w:val="ImageCaption"/>
      </w:pPr>
      <w:r>
        <w:t xml:space="preserve">Figure D10: Preprocessing — ci40964128.</w:t>
      </w:r>
    </w:p>
    <w:p>
      <w:pPr>
        <w:pStyle w:val="CaptionedFigure"/>
      </w:pPr>
      <w:r>
        <w:drawing>
          <wp:inline>
            <wp:extent cx="5334000" cy="5322000"/>
            <wp:effectExtent b="0" l="0" r="0" t="0"/>
            <wp:docPr descr="Figure D11: Preprocessing — ci40964384." title="" id="130" name="Picture"/>
            <a:graphic>
              <a:graphicData uri="http://schemas.openxmlformats.org/drawingml/2006/picture">
                <pic:pic>
                  <pic:nvPicPr>
                    <pic:cNvPr descr="figures/preprocessing_ci40964384.png" id="131" name="Picture"/>
                    <pic:cNvPicPr>
                      <a:picLocks noChangeArrowheads="1" noChangeAspect="1"/>
                    </pic:cNvPicPr>
                  </pic:nvPicPr>
                  <pic:blipFill>
                    <a:blip r:embed="rId129"/>
                    <a:stretch>
                      <a:fillRect/>
                    </a:stretch>
                  </pic:blipFill>
                  <pic:spPr bwMode="auto">
                    <a:xfrm>
                      <a:off x="0" y="0"/>
                      <a:ext cx="5334000" cy="5322000"/>
                    </a:xfrm>
                    <a:prstGeom prst="rect">
                      <a:avLst/>
                    </a:prstGeom>
                    <a:noFill/>
                    <a:ln w="9525">
                      <a:noFill/>
                      <a:headEnd/>
                      <a:tailEnd/>
                    </a:ln>
                  </pic:spPr>
                </pic:pic>
              </a:graphicData>
            </a:graphic>
          </wp:inline>
        </w:drawing>
      </w:r>
    </w:p>
    <w:p>
      <w:pPr>
        <w:pStyle w:val="ImageCaption"/>
      </w:pPr>
      <w:r>
        <w:t xml:space="preserve">Figure D11: Preprocessing — ci40964384.</w:t>
      </w:r>
    </w:p>
    <w:p>
      <w:pPr>
        <w:pStyle w:val="CaptionedFigure"/>
      </w:pPr>
      <w:r>
        <w:drawing>
          <wp:inline>
            <wp:extent cx="5334000" cy="5322000"/>
            <wp:effectExtent b="0" l="0" r="0" t="0"/>
            <wp:docPr descr="Figure D12: Preprocessing — nn00882322." title="" id="133" name="Picture"/>
            <a:graphic>
              <a:graphicData uri="http://schemas.openxmlformats.org/drawingml/2006/picture">
                <pic:pic>
                  <pic:nvPicPr>
                    <pic:cNvPr descr="figures/preprocessing_nn00882322.png" id="134" name="Picture"/>
                    <pic:cNvPicPr>
                      <a:picLocks noChangeArrowheads="1" noChangeAspect="1"/>
                    </pic:cNvPicPr>
                  </pic:nvPicPr>
                  <pic:blipFill>
                    <a:blip r:embed="rId132"/>
                    <a:stretch>
                      <a:fillRect/>
                    </a:stretch>
                  </pic:blipFill>
                  <pic:spPr bwMode="auto">
                    <a:xfrm>
                      <a:off x="0" y="0"/>
                      <a:ext cx="5334000" cy="5322000"/>
                    </a:xfrm>
                    <a:prstGeom prst="rect">
                      <a:avLst/>
                    </a:prstGeom>
                    <a:noFill/>
                    <a:ln w="9525">
                      <a:noFill/>
                      <a:headEnd/>
                      <a:tailEnd/>
                    </a:ln>
                  </pic:spPr>
                </pic:pic>
              </a:graphicData>
            </a:graphic>
          </wp:inline>
        </w:drawing>
      </w:r>
    </w:p>
    <w:p>
      <w:pPr>
        <w:pStyle w:val="ImageCaption"/>
      </w:pPr>
      <w:r>
        <w:t xml:space="preserve">Figure D12: Preprocessing — nn00882322.</w:t>
      </w:r>
    </w:p>
    <w:p>
      <w:r>
        <w:pict>
          <v:rect style="width:0;height:1.5pt" o:hralign="center" o:hrstd="t" o:hr="t"/>
        </w:pict>
      </w:r>
    </w:p>
    <w:bookmarkEnd w:id="135"/>
    <w:bookmarkStart w:id="136" w:name="Xa5114307460dba81294a0fbd41730a7976d868d"/>
    <w:p>
      <w:pPr>
        <w:pStyle w:val="Heading2"/>
      </w:pPr>
      <w:r>
        <w:t xml:space="preserve">Appendix E — Machine-readable summary index</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Content</w:t>
            </w:r>
          </w:p>
        </w:tc>
      </w:tr>
      <w:tr>
        <w:tc>
          <w:tcPr/>
          <w:p>
            <w:pPr>
              <w:pStyle w:val="Compact"/>
            </w:pPr>
            <w:r>
              <w:rPr>
                <w:rStyle w:val="VerbatimChar"/>
              </w:rPr>
              <w:t xml:space="preserve">reports/eda/dataset_summary.json</w:t>
            </w:r>
          </w:p>
        </w:tc>
        <w:tc>
          <w:tcPr/>
          <w:p>
            <w:pPr>
              <w:pStyle w:val="Compact"/>
            </w:pPr>
            <w:r>
              <w:t xml:space="preserve">EDA cohort statistics</w:t>
            </w:r>
          </w:p>
        </w:tc>
      </w:tr>
      <w:tr>
        <w:tc>
          <w:tcPr/>
          <w:p>
            <w:pPr>
              <w:pStyle w:val="Compact"/>
            </w:pPr>
            <w:r>
              <w:rPr>
                <w:rStyle w:val="VerbatimChar"/>
              </w:rPr>
              <w:t xml:space="preserve">reports/signal_analysis/signal_analysis_summary.json</w:t>
            </w:r>
          </w:p>
        </w:tc>
        <w:tc>
          <w:tcPr/>
          <w:p>
            <w:pPr>
              <w:pStyle w:val="Compact"/>
            </w:pPr>
            <w:r>
              <w:t xml:space="preserve">Signal aggregates</w:t>
            </w:r>
          </w:p>
        </w:tc>
      </w:tr>
      <w:tr>
        <w:tc>
          <w:tcPr/>
          <w:p>
            <w:pPr>
              <w:pStyle w:val="Compact"/>
            </w:pPr>
            <w:r>
              <w:rPr>
                <w:rStyle w:val="VerbatimChar"/>
              </w:rPr>
              <w:t xml:space="preserve">reports/preprocessing/preprocessing_summary.json</w:t>
            </w:r>
          </w:p>
        </w:tc>
        <w:tc>
          <w:tcPr/>
          <w:p>
            <w:pPr>
              <w:pStyle w:val="Compact"/>
            </w:pPr>
            <w:r>
              <w:t xml:space="preserve">Preprocessing aggregates</w:t>
            </w:r>
          </w:p>
        </w:tc>
      </w:tr>
      <w:tr>
        <w:tc>
          <w:tcPr/>
          <w:p>
            <w:pPr>
              <w:pStyle w:val="Compact"/>
            </w:pPr>
            <w:r>
              <w:rPr>
                <w:rStyle w:val="VerbatimChar"/>
              </w:rPr>
              <w:t xml:space="preserve">reports/features/feature_summary.json</w:t>
            </w:r>
          </w:p>
        </w:tc>
        <w:tc>
          <w:tcPr/>
          <w:p>
            <w:pPr>
              <w:pStyle w:val="Compact"/>
            </w:pPr>
            <w:r>
              <w:t xml:space="preserve">Feature cohort statistics</w:t>
            </w:r>
          </w:p>
        </w:tc>
      </w:tr>
      <w:tr>
        <w:tc>
          <w:tcPr/>
          <w:p>
            <w:pPr>
              <w:pStyle w:val="Compact"/>
            </w:pPr>
            <w:r>
              <w:rPr>
                <w:rStyle w:val="VerbatimChar"/>
              </w:rPr>
              <w:t xml:space="preserve">reports/preprocessing/preprocessing_config.json</w:t>
            </w:r>
          </w:p>
        </w:tc>
        <w:tc>
          <w:tcPr/>
          <w:p>
            <w:pPr>
              <w:pStyle w:val="Compact"/>
            </w:pPr>
            <w:r>
              <w:t xml:space="preserve">Frozen B.1 parameters</w:t>
            </w:r>
          </w:p>
        </w:tc>
      </w:tr>
    </w:tbl>
    <w:p>
      <w:r>
        <w:pict>
          <v:rect style="width:0;height:1.5pt" o:hralign="center" o:hrstd="t" o:hr="t"/>
        </w:pict>
      </w:r>
    </w:p>
    <w:bookmarkEnd w:id="136"/>
    <w:bookmarkStart w:id="140" w:name="X32945796f6cdaefeebfd888525e60a41257252b"/>
    <w:p>
      <w:pPr>
        <w:pStyle w:val="Heading2"/>
      </w:pPr>
      <w:r>
        <w:t xml:space="preserve">Appendix F — Programme positioning and document scope (supplementary)</w:t>
      </w:r>
    </w:p>
    <w:p>
      <w:pPr>
        <w:pStyle w:val="FirstParagraph"/>
      </w:pPr>
      <w:r>
        <w:rPr>
          <w:i/>
          <w:iCs/>
        </w:rPr>
        <w:t xml:space="preserve">The following material supports Sections 1–6 but is placed in supplementary appendix per review guidance.</w:t>
      </w:r>
    </w:p>
    <w:bookmarkStart w:id="137" w:name="f.1-programme-positioning"/>
    <w:p>
      <w:pPr>
        <w:pStyle w:val="Heading3"/>
      </w:pPr>
      <w:r>
        <w:t xml:space="preserve">F.1 Programme positioning</w:t>
      </w:r>
    </w:p>
    <w:p>
      <w:pPr>
        <w:pStyle w:val="FirstParagraph"/>
      </w:pPr>
      <w:r>
        <w:t xml:space="preserve">The project was initiated within a Swiss certificate programme in geophysical risk assessment, aligned with European expectations for traceable analysis (open data, documented processing, explicit limitations). Initial effort targeted reproduction of the EarthESND architecture (Joshi, Singh, and Raman, 2026), producing a test-backed reference codebase preserved for methodological comparison only. Programme guidance subsequently reframed the work toward a logical European Earthquake Early Warning research project with real waveforms, theory, visualisation, tables, and formal reporting, using California FDSN data as a completed pilot laboratory (</w:t>
      </w:r>
      <w:r>
        <w:rPr>
          <w:rStyle w:val="VerbatimChar"/>
        </w:rPr>
        <w:t xml:space="preserve">docs/PROJECT_CHARTER.md</w:t>
      </w:r>
      <w:r>
        <w:t xml:space="preserve">,</w:t>
      </w:r>
      <w:r>
        <w:t xml:space="preserve"> </w:t>
      </w:r>
      <w:r>
        <w:rPr>
          <w:rStyle w:val="VerbatimChar"/>
        </w:rPr>
        <w:t xml:space="preserve">docs/RESEARCH_DIRECTION.md</w:t>
      </w:r>
      <w:r>
        <w:t xml:space="preserve">).</w:t>
      </w:r>
    </w:p>
    <w:bookmarkEnd w:id="137"/>
    <w:bookmarkStart w:id="138" w:name="f.2-scope-of-the-proposed-work"/>
    <w:p>
      <w:pPr>
        <w:pStyle w:val="Heading3"/>
      </w:pPr>
      <w:r>
        <w:t xml:space="preserve">F.2 Scope of the proposed work</w:t>
      </w:r>
    </w:p>
    <w:p>
      <w:pPr>
        <w:pStyle w:val="FirstParagraph"/>
      </w:pPr>
      <w:r>
        <w:t xml:space="preserve">The final deliverable (D-F1) supersedes</w:t>
      </w:r>
      <w:r>
        <w:t xml:space="preserve"> </w:t>
      </w:r>
      <w:r>
        <w:rPr>
          <w:rStyle w:val="VerbatimChar"/>
        </w:rPr>
        <w:t xml:space="preserve">reports/Research_Proposal_v1.md</w:t>
      </w:r>
      <w:r>
        <w:t xml:space="preserve"> </w:t>
      </w:r>
      <w:r>
        <w:t xml:space="preserve">as the submission-oriented consolidation. It synthesises completed pilot work (acquisition through interpretation) and proposed extensions (European data, scale, artificial intelligence evaluation, real-time paths). Sources: phase reports under</w:t>
      </w:r>
      <w:r>
        <w:t xml:space="preserve"> </w:t>
      </w:r>
      <w:r>
        <w:rPr>
          <w:rStyle w:val="VerbatimChar"/>
        </w:rPr>
        <w:t xml:space="preserve">docs/</w:t>
      </w:r>
      <w:r>
        <w:t xml:space="preserve">, artefacts under</w:t>
      </w:r>
      <w:r>
        <w:t xml:space="preserve"> </w:t>
      </w:r>
      <w:r>
        <w:rPr>
          <w:rStyle w:val="VerbatimChar"/>
        </w:rPr>
        <w:t xml:space="preserve">reports/</w:t>
      </w:r>
      <w:r>
        <w:t xml:space="preserve">,</w:t>
      </w:r>
      <w:r>
        <w:t xml:space="preserve"> </w:t>
      </w:r>
      <w:r>
        <w:rPr>
          <w:rStyle w:val="VerbatimChar"/>
        </w:rPr>
        <w:t xml:space="preserve">docs/REPRODUCIBILITY_STATEMENT.md</w:t>
      </w:r>
      <w:r>
        <w:t xml:space="preserve">,</w:t>
      </w:r>
      <w:r>
        <w:t xml:space="preserve"> </w:t>
      </w:r>
      <w:r>
        <w:rPr>
          <w:rStyle w:val="VerbatimChar"/>
        </w:rPr>
        <w:t xml:space="preserve">docs/DATA_AVAILABILITY_STATEMENT.md</w:t>
      </w:r>
      <w:r>
        <w:t xml:space="preserve">, and</w:t>
      </w:r>
      <w:r>
        <w:t xml:space="preserve"> </w:t>
      </w:r>
      <w:r>
        <w:rPr>
          <w:rStyle w:val="VerbatimChar"/>
        </w:rPr>
        <w:t xml:space="preserve">docs/FINAL_DELIVERABLE_AUDIT.md</w:t>
      </w:r>
      <w:r>
        <w:t xml:space="preserve">.</w:t>
      </w:r>
    </w:p>
    <w:bookmarkEnd w:id="138"/>
    <w:bookmarkStart w:id="139" w:name="f.3-document-control"/>
    <w:p>
      <w:pPr>
        <w:pStyle w:val="Heading3"/>
      </w:pPr>
      <w:r>
        <w:t xml:space="preserve">F.3 Document control</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Deliverable</w:t>
            </w:r>
          </w:p>
        </w:tc>
        <w:tc>
          <w:tcPr/>
          <w:p>
            <w:pPr>
              <w:pStyle w:val="Compact"/>
            </w:pPr>
            <w:r>
              <w:t xml:space="preserve">D-F1 Final Research Proposal / Technical Report</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29 July 2026</w:t>
            </w:r>
          </w:p>
        </w:tc>
      </w:tr>
      <w:tr>
        <w:tc>
          <w:tcPr/>
          <w:p>
            <w:pPr>
              <w:pStyle w:val="Compact"/>
            </w:pPr>
            <w:r>
              <w:t xml:space="preserve">Prior version</w:t>
            </w:r>
          </w:p>
        </w:tc>
        <w:tc>
          <w:tcPr/>
          <w:p>
            <w:pPr>
              <w:pStyle w:val="Compact"/>
            </w:pPr>
            <w:r>
              <w:t xml:space="preserve">Research Proposal v1.0 (</w:t>
            </w:r>
            <w:r>
              <w:rPr>
                <w:rStyle w:val="VerbatimChar"/>
              </w:rPr>
              <w:t xml:space="preserve">reports/Research_Proposal_v1.md</w:t>
            </w:r>
            <w:r>
              <w:t xml:space="preserve">)</w:t>
            </w:r>
          </w:p>
        </w:tc>
      </w:tr>
      <w:tr>
        <w:tc>
          <w:tcPr/>
          <w:p>
            <w:pPr>
              <w:pStyle w:val="Compact"/>
            </w:pPr>
            <w:r>
              <w:t xml:space="preserve">Pilot freeze date</w:t>
            </w:r>
          </w:p>
        </w:tc>
        <w:tc>
          <w:tcPr/>
          <w:p>
            <w:pPr>
              <w:pStyle w:val="Compact"/>
            </w:pPr>
            <w:r>
              <w:t xml:space="preserve">2026-07-29 (phase reports)</w:t>
            </w:r>
          </w:p>
        </w:tc>
      </w:tr>
    </w:tbl>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34" Target="media/rId34.png" /><Relationship Type="http://schemas.openxmlformats.org/officeDocument/2006/relationships/image" Id="rId70" Target="media/rId70.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61" Target="media/rId61.png" /><Relationship Type="http://schemas.openxmlformats.org/officeDocument/2006/relationships/image" Id="rId37" Target="media/rId37.png" /><Relationship Type="http://schemas.openxmlformats.org/officeDocument/2006/relationships/image" Id="rId117" Target="media/rId117.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99" Target="media/rId99.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AI-Assisted Earthquake Early Warning Research for Western Seismic Regions</dc:title>
  <dc:creator/>
  <cp:keywords/>
  <dcterms:created xsi:type="dcterms:W3CDTF">2026-08-02T08:56:19Z</dcterms:created>
  <dcterms:modified xsi:type="dcterms:W3CDTF">2026-08-02T08:56:19Z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July 2026</vt:lpwstr>
  </property>
  <property fmtid="{D5CDD505-2E9C-101B-9397-08002B2CF9AE}" pid="3" name="document">
    <vt:lpwstr>Final Research Proposal and Technical Report (D-F1)</vt:lpwstr>
  </property>
  <property fmtid="{D5CDD505-2E9C-101B-9397-08002B2CF9AE}" pid="4" name="programme">
    <vt:lpwstr>Assessment and Management of Geological and Climate Related Risk (AMGCR) — Swiss certificate research</vt:lpwstr>
  </property>
  <property fmtid="{D5CDD505-2E9C-101B-9397-08002B2CF9AE}" pid="5" name="project">
    <vt:lpwstr>AMGCR Earthquake Research</vt:lpwstr>
  </property>
  <property fmtid="{D5CDD505-2E9C-101B-9397-08002B2CF9AE}" pid="6" name="status">
    <vt:lpwstr>Consolidates completed pilot science; no new computations in this document; final review polish</vt:lpwstr>
  </property>
  <property fmtid="{D5CDD505-2E9C-101B-9397-08002B2CF9AE}" pid="7" name="subtitle">
    <vt:lpwstr>Method Development on a California FDSN Pilot with Transfer Path to European Networks</vt:lpwstr>
  </property>
  <property fmtid="{D5CDD505-2E9C-101B-9397-08002B2CF9AE}" pid="8" name="version">
    <vt:lpwstr>1.0</vt:lpwstr>
  </property>
</Properties>
</file>