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64727">
      <w:pPr>
        <w:pStyle w:val="NormalWeb"/>
        <w:spacing w:before="0" w:beforeAutospacing="0" w:after="0" w:afterAutospacing="0"/>
        <w:rPr>
          <w:rFonts w:ascii="Calibri" w:hAnsi="Calibri" w:cs="Calibri"/>
          <w:sz w:val="34"/>
          <w:szCs w:val="34"/>
        </w:rPr>
      </w:pPr>
      <w:bookmarkStart w:id="0" w:name="_GoBack"/>
      <w:bookmarkEnd w:id="0"/>
      <w:r>
        <w:rPr>
          <w:rFonts w:ascii="Calibri" w:hAnsi="Calibri" w:cs="Calibri"/>
          <w:sz w:val="34"/>
          <w:szCs w:val="34"/>
        </w:rPr>
        <w:t>ANT Tasks for VSE Batch Manager</w:t>
      </w:r>
    </w:p>
    <w:p w:rsidR="00000000" w:rsidRDefault="00064727">
      <w:pPr>
        <w:pStyle w:val="NormalWeb"/>
        <w:spacing w:before="0" w:beforeAutospacing="0" w:after="0" w:afterAutospacing="0"/>
      </w:pPr>
      <w:r>
        <w:t> </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Common configuration for the ant tasks is contained within vse-ant.properties.</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All path/directories can use the unix separator of a forward slash (/), even on a Windows install.</w:t>
      </w:r>
    </w:p>
    <w:p w:rsidR="00000000" w:rsidRDefault="00064727">
      <w:pPr>
        <w:numPr>
          <w:ilvl w:val="0"/>
          <w:numId w:val="1"/>
        </w:numPr>
        <w:ind w:left="540"/>
        <w:textAlignment w:val="center"/>
        <w:rPr>
          <w:rFonts w:eastAsia="Times New Roman"/>
        </w:rPr>
      </w:pPr>
      <w:r>
        <w:rPr>
          <w:rFonts w:ascii="Calibri" w:eastAsia="Times New Roman" w:hAnsi="Calibri" w:cs="Calibri"/>
          <w:sz w:val="22"/>
          <w:szCs w:val="22"/>
        </w:rPr>
        <w:t>Not tested on a MAC environment</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67"/>
      </w:tblGrid>
      <w:tr w:rsidR="00000000">
        <w:trPr>
          <w:divId w:val="1489247464"/>
        </w:trPr>
        <w:tc>
          <w:tcPr>
            <w:tcW w:w="8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vse-ant.properties</w:t>
            </w:r>
          </w:p>
        </w:tc>
      </w:tr>
      <w:tr w:rsidR="00000000">
        <w:trPr>
          <w:divId w:val="1489247464"/>
        </w:trPr>
        <w:tc>
          <w:tcPr>
            <w:tcW w:w="8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LISA Installation directory</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LISA_HOME=/Lisa</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Registry to run against</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lisa.registry=tcp\://localhost\:2010/Registry</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The name of the VSE to use for deployment and start/stop commands</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vse.server=VSE</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The base root of </w:t>
            </w:r>
            <w:r>
              <w:rPr>
                <w:rFonts w:ascii="Calibri" w:hAnsi="Calibri" w:cs="Calibri"/>
                <w:sz w:val="22"/>
                <w:szCs w:val="22"/>
              </w:rPr>
              <w:t>your project containing all the Service Models</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lisa.proj.root=/Lisa/examples</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which configuration from your project to use</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config=project.config</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This file contains the username and password for Registry connection if ACL is in use</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acl.file=/credentials.</w:t>
            </w:r>
            <w:r>
              <w:rPr>
                <w:rFonts w:ascii="Calibri" w:hAnsi="Calibri" w:cs="Calibri"/>
                <w:sz w:val="22"/>
                <w:szCs w:val="22"/>
              </w:rPr>
              <w:t>txt</w:t>
            </w:r>
          </w:p>
        </w:tc>
      </w:tr>
    </w:tbl>
    <w:p w:rsidR="00000000" w:rsidRDefault="0006472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87"/>
      </w:tblGrid>
      <w:tr w:rsidR="00000000">
        <w:trPr>
          <w:divId w:val="93020081"/>
        </w:trPr>
        <w:tc>
          <w:tcPr>
            <w:tcW w:w="8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credentials.txt</w:t>
            </w:r>
          </w:p>
        </w:tc>
      </w:tr>
      <w:tr w:rsidR="00000000">
        <w:trPr>
          <w:divId w:val="93020081"/>
        </w:trPr>
        <w:tc>
          <w:tcPr>
            <w:tcW w:w="8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 acl contents:</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User name of account allowed for management</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acl.username=name</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Password for allowed account</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acl.password=password</w:t>
            </w:r>
          </w:p>
        </w:tc>
      </w:tr>
    </w:tbl>
    <w:p w:rsidR="00000000" w:rsidRDefault="00064727">
      <w:pPr>
        <w:pStyle w:val="NormalWeb"/>
        <w:spacing w:before="0" w:beforeAutospacing="0" w:after="0" w:afterAutospacing="0"/>
      </w:pPr>
      <w:r>
        <w:t> </w:t>
      </w:r>
    </w:p>
    <w:p w:rsidR="00000000" w:rsidRDefault="00064727">
      <w:pPr>
        <w:pStyle w:val="NormalWeb"/>
        <w:spacing w:before="0" w:beforeAutospacing="0" w:after="0" w:afterAutospacing="0"/>
        <w:rPr>
          <w:rFonts w:ascii="Calibri" w:hAnsi="Calibri" w:cs="Calibri"/>
          <w:sz w:val="34"/>
          <w:szCs w:val="34"/>
        </w:rPr>
      </w:pPr>
      <w:r>
        <w:rPr>
          <w:rFonts w:ascii="Calibri" w:hAnsi="Calibri" w:cs="Calibri"/>
          <w:sz w:val="34"/>
          <w:szCs w:val="34"/>
        </w:rPr>
        <w:t>ANT Commands</w:t>
      </w:r>
    </w:p>
    <w:p w:rsidR="00000000" w:rsidRDefault="00064727">
      <w:pPr>
        <w:pStyle w:val="NormalWeb"/>
        <w:spacing w:before="0" w:beforeAutospacing="0" w:after="0" w:afterAutospacing="0"/>
      </w:pPr>
      <w: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20"/>
      </w:tblGrid>
      <w:tr w:rsidR="00000000">
        <w:trPr>
          <w:divId w:val="1597247256"/>
        </w:trPr>
        <w:tc>
          <w:tcPr>
            <w:tcW w:w="17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Batch Service Model Level Commands</w:t>
            </w:r>
          </w:p>
        </w:tc>
      </w:tr>
      <w:tr w:rsidR="00000000">
        <w:trPr>
          <w:divId w:val="1597247256"/>
        </w:trPr>
        <w:tc>
          <w:tcPr>
            <w:tcW w:w="17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668"/>
              <w:gridCol w:w="5672"/>
            </w:tblGrid>
            <w:tr w:rsidR="00000000">
              <w:trPr>
                <w:divId w:val="369036048"/>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b/>
                      <w:bCs/>
                      <w:sz w:val="22"/>
                      <w:szCs w:val="22"/>
                    </w:rPr>
                    <w:t>Command</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000000">
              <w:trPr>
                <w:divId w:val="369036048"/>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status-all</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Displays the status of services currently deployed to the specified VSE</w:t>
                  </w:r>
                </w:p>
              </w:tc>
            </w:tr>
            <w:tr w:rsidR="00000000">
              <w:trPr>
                <w:divId w:val="369036048"/>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start-all</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Starts all services on the specified VSE if they are not already running.  This will only start services that are in </w:t>
                  </w:r>
                  <w:r>
                    <w:rPr>
                      <w:rFonts w:ascii="Calibri" w:hAnsi="Calibri" w:cs="Calibri"/>
                      <w:sz w:val="22"/>
                      <w:szCs w:val="22"/>
                    </w:rPr>
                    <w:t>the currently specified project; all other services will  be ignored.</w:t>
                  </w:r>
                </w:p>
              </w:tc>
            </w:tr>
            <w:tr w:rsidR="00000000">
              <w:trPr>
                <w:divId w:val="369036048"/>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stop-all</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Stops all services on the specified VSE.  This will only stop services that are in the currently specified project; all other services will be ignored.</w:t>
                  </w:r>
                </w:p>
              </w:tc>
            </w:tr>
            <w:tr w:rsidR="00000000">
              <w:trPr>
                <w:divId w:val="369036048"/>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deploy-all</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Depl</w:t>
                  </w:r>
                  <w:r>
                    <w:rPr>
                      <w:rFonts w:ascii="Calibri" w:hAnsi="Calibri" w:cs="Calibri"/>
                      <w:sz w:val="22"/>
                      <w:szCs w:val="22"/>
                    </w:rPr>
                    <w:t xml:space="preserve">oys all service models in the currently specified project to the specified VSE.  If the service model has already been deployed, it will be skipped and not deployed again.  All models are deployed with default values: </w:t>
                  </w:r>
                </w:p>
                <w:p w:rsidR="00000000" w:rsidRDefault="00064727">
                  <w:pPr>
                    <w:numPr>
                      <w:ilvl w:val="0"/>
                      <w:numId w:val="2"/>
                    </w:numPr>
                    <w:ind w:left="540"/>
                    <w:textAlignment w:val="center"/>
                    <w:rPr>
                      <w:rFonts w:eastAsia="Times New Roman"/>
                    </w:rPr>
                  </w:pPr>
                  <w:r>
                    <w:rPr>
                      <w:rFonts w:ascii="Calibri" w:eastAsia="Times New Roman" w:hAnsi="Calibri" w:cs="Calibri"/>
                      <w:sz w:val="22"/>
                      <w:szCs w:val="22"/>
                    </w:rPr>
                    <w:t>Capacity: 1</w:t>
                  </w:r>
                </w:p>
                <w:p w:rsidR="00000000" w:rsidRDefault="00064727">
                  <w:pPr>
                    <w:numPr>
                      <w:ilvl w:val="0"/>
                      <w:numId w:val="2"/>
                    </w:numPr>
                    <w:ind w:left="540"/>
                    <w:textAlignment w:val="center"/>
                    <w:rPr>
                      <w:rFonts w:eastAsia="Times New Roman"/>
                    </w:rPr>
                  </w:pPr>
                  <w:r>
                    <w:rPr>
                      <w:rFonts w:ascii="Calibri" w:eastAsia="Times New Roman" w:hAnsi="Calibri" w:cs="Calibri"/>
                      <w:sz w:val="22"/>
                      <w:szCs w:val="22"/>
                    </w:rPr>
                    <w:t>Think Scale: 100</w:t>
                  </w:r>
                </w:p>
                <w:p w:rsidR="00000000" w:rsidRDefault="00064727">
                  <w:pPr>
                    <w:numPr>
                      <w:ilvl w:val="0"/>
                      <w:numId w:val="3"/>
                    </w:numPr>
                    <w:ind w:left="540"/>
                    <w:textAlignment w:val="center"/>
                    <w:rPr>
                      <w:rFonts w:eastAsia="Times New Roman"/>
                    </w:rPr>
                  </w:pPr>
                  <w:r>
                    <w:rPr>
                      <w:rFonts w:ascii="Calibri" w:eastAsia="Times New Roman" w:hAnsi="Calibri" w:cs="Calibri"/>
                      <w:sz w:val="22"/>
                      <w:szCs w:val="22"/>
                    </w:rPr>
                    <w:t>Auto-res</w:t>
                  </w:r>
                  <w:r>
                    <w:rPr>
                      <w:rFonts w:ascii="Calibri" w:eastAsia="Times New Roman" w:hAnsi="Calibri" w:cs="Calibri"/>
                      <w:sz w:val="22"/>
                      <w:szCs w:val="22"/>
                    </w:rPr>
                    <w:t>tart: On</w:t>
                  </w:r>
                </w:p>
              </w:tc>
            </w:tr>
            <w:tr w:rsidR="00000000">
              <w:trPr>
                <w:divId w:val="369036048"/>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deploy-all-mari</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Deploys all MARIs from the currently specified project to the specified VSE.  The MARIs must be a Virtual Service Models (not Tests/Suites), and must exist in the  ${PROJECT}/MARInfos directory.  </w:t>
                  </w:r>
                </w:p>
              </w:tc>
            </w:tr>
            <w:tr w:rsidR="00000000">
              <w:trPr>
                <w:divId w:val="369036048"/>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smart-deploy-all</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Deploys all service models in the currently specified project to the specified VSE.  If a service model has already been deployed, it will be redeployed.   All models are deployed with default values: </w:t>
                  </w:r>
                </w:p>
                <w:p w:rsidR="00000000" w:rsidRDefault="00064727">
                  <w:pPr>
                    <w:numPr>
                      <w:ilvl w:val="0"/>
                      <w:numId w:val="4"/>
                    </w:numPr>
                    <w:ind w:left="540"/>
                    <w:textAlignment w:val="center"/>
                    <w:rPr>
                      <w:rFonts w:eastAsia="Times New Roman"/>
                    </w:rPr>
                  </w:pPr>
                  <w:r>
                    <w:rPr>
                      <w:rFonts w:ascii="Calibri" w:eastAsia="Times New Roman" w:hAnsi="Calibri" w:cs="Calibri"/>
                      <w:sz w:val="22"/>
                      <w:szCs w:val="22"/>
                    </w:rPr>
                    <w:t>Capacity: 1</w:t>
                  </w:r>
                </w:p>
                <w:p w:rsidR="00000000" w:rsidRDefault="00064727">
                  <w:pPr>
                    <w:numPr>
                      <w:ilvl w:val="0"/>
                      <w:numId w:val="5"/>
                    </w:numPr>
                    <w:ind w:left="540"/>
                    <w:textAlignment w:val="center"/>
                    <w:rPr>
                      <w:rFonts w:eastAsia="Times New Roman"/>
                    </w:rPr>
                  </w:pPr>
                  <w:r>
                    <w:rPr>
                      <w:rFonts w:ascii="Calibri" w:eastAsia="Times New Roman" w:hAnsi="Calibri" w:cs="Calibri"/>
                      <w:sz w:val="22"/>
                      <w:szCs w:val="22"/>
                    </w:rPr>
                    <w:t>Think Scale: 100</w:t>
                  </w:r>
                </w:p>
                <w:p w:rsidR="00000000" w:rsidRDefault="00064727">
                  <w:pPr>
                    <w:numPr>
                      <w:ilvl w:val="0"/>
                      <w:numId w:val="6"/>
                    </w:numPr>
                    <w:ind w:left="540"/>
                    <w:textAlignment w:val="center"/>
                    <w:rPr>
                      <w:rFonts w:eastAsia="Times New Roman"/>
                    </w:rPr>
                  </w:pPr>
                  <w:r>
                    <w:rPr>
                      <w:rFonts w:ascii="Calibri" w:eastAsia="Times New Roman" w:hAnsi="Calibri" w:cs="Calibri"/>
                      <w:sz w:val="22"/>
                      <w:szCs w:val="22"/>
                    </w:rPr>
                    <w:t>Auto-restart: On</w:t>
                  </w:r>
                </w:p>
              </w:tc>
            </w:tr>
            <w:tr w:rsidR="00000000">
              <w:trPr>
                <w:divId w:val="369036048"/>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remove-all</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Removes all deployed service models in the currently specified project from the specified VSE.</w:t>
                  </w:r>
                </w:p>
              </w:tc>
            </w:tr>
          </w:tbl>
          <w:p w:rsidR="00000000" w:rsidRDefault="00064727">
            <w:pPr>
              <w:rPr>
                <w:rFonts w:eastAsia="Times New Roman"/>
              </w:rPr>
            </w:pPr>
          </w:p>
        </w:tc>
      </w:tr>
    </w:tbl>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20"/>
      </w:tblGrid>
      <w:tr w:rsidR="00000000">
        <w:trPr>
          <w:divId w:val="1675036127"/>
        </w:trPr>
        <w:tc>
          <w:tcPr>
            <w:tcW w:w="17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Individual Service Model Level Commands</w:t>
            </w:r>
          </w:p>
        </w:tc>
      </w:tr>
      <w:tr w:rsidR="00000000">
        <w:trPr>
          <w:divId w:val="1675036127"/>
        </w:trPr>
        <w:tc>
          <w:tcPr>
            <w:tcW w:w="17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numPr>
                <w:ilvl w:val="1"/>
                <w:numId w:val="7"/>
              </w:numPr>
              <w:ind w:left="295"/>
              <w:textAlignment w:val="center"/>
              <w:rPr>
                <w:rFonts w:eastAsia="Times New Roman"/>
              </w:rPr>
            </w:pPr>
            <w:r>
              <w:rPr>
                <w:rFonts w:ascii="Calibri" w:eastAsia="Times New Roman" w:hAnsi="Calibri" w:cs="Calibri"/>
                <w:sz w:val="22"/>
                <w:szCs w:val="22"/>
              </w:rPr>
              <w:t>All of these commands can be run in either</w:t>
            </w:r>
          </w:p>
          <w:p w:rsidR="00000000" w:rsidRDefault="00064727">
            <w:pPr>
              <w:numPr>
                <w:ilvl w:val="2"/>
                <w:numId w:val="7"/>
              </w:numPr>
              <w:ind w:left="835"/>
              <w:textAlignment w:val="center"/>
              <w:rPr>
                <w:rFonts w:eastAsia="Times New Roman"/>
              </w:rPr>
            </w:pPr>
            <w:r>
              <w:rPr>
                <w:rFonts w:ascii="Calibri" w:eastAsia="Times New Roman" w:hAnsi="Calibri" w:cs="Calibri"/>
                <w:sz w:val="22"/>
                <w:szCs w:val="22"/>
              </w:rPr>
              <w:t xml:space="preserve"> interactive mode:  which will prompt for the specific </w:t>
            </w:r>
            <w:r>
              <w:rPr>
                <w:rFonts w:ascii="Calibri" w:eastAsia="Times New Roman" w:hAnsi="Calibri" w:cs="Calibri"/>
                <w:sz w:val="22"/>
                <w:szCs w:val="22"/>
              </w:rPr>
              <w:t>service model name</w:t>
            </w:r>
          </w:p>
          <w:p w:rsidR="00000000" w:rsidRDefault="00064727">
            <w:pPr>
              <w:numPr>
                <w:ilvl w:val="2"/>
                <w:numId w:val="7"/>
              </w:numPr>
              <w:ind w:left="835"/>
              <w:textAlignment w:val="center"/>
              <w:rPr>
                <w:rFonts w:eastAsia="Times New Roman"/>
              </w:rPr>
            </w:pPr>
            <w:r>
              <w:rPr>
                <w:rFonts w:ascii="Calibri" w:eastAsia="Times New Roman" w:hAnsi="Calibri" w:cs="Calibri"/>
                <w:sz w:val="22"/>
                <w:szCs w:val="22"/>
              </w:rPr>
              <w:t xml:space="preserve">command line: specify the service model, in this case "serviceName",  using :     -Dvsi=serviceName             </w:t>
            </w:r>
          </w:p>
          <w:p w:rsidR="00000000" w:rsidRDefault="00064727">
            <w:pPr>
              <w:numPr>
                <w:ilvl w:val="3"/>
                <w:numId w:val="7"/>
              </w:numPr>
              <w:ind w:left="1375"/>
              <w:textAlignment w:val="center"/>
              <w:rPr>
                <w:rFonts w:eastAsia="Times New Roman"/>
              </w:rPr>
            </w:pPr>
            <w:r>
              <w:rPr>
                <w:rFonts w:ascii="Calibri" w:eastAsia="Times New Roman" w:hAnsi="Calibri" w:cs="Calibri"/>
                <w:sz w:val="22"/>
                <w:szCs w:val="22"/>
              </w:rPr>
              <w:t>Example:    status  -Dvsi=DatabaseModel</w:t>
            </w:r>
          </w:p>
        </w:tc>
      </w:tr>
      <w:tr w:rsidR="00000000">
        <w:trPr>
          <w:divId w:val="1675036127"/>
        </w:trPr>
        <w:tc>
          <w:tcPr>
            <w:tcW w:w="17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668"/>
              <w:gridCol w:w="5672"/>
            </w:tblGrid>
            <w:tr w:rsidR="00000000">
              <w:trPr>
                <w:divId w:val="1013529417"/>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b/>
                      <w:bCs/>
                      <w:sz w:val="22"/>
                      <w:szCs w:val="22"/>
                    </w:rPr>
                    <w:t>Command</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000000">
              <w:trPr>
                <w:divId w:val="1013529417"/>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status</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Displays the </w:t>
                  </w:r>
                  <w:r>
                    <w:rPr>
                      <w:rFonts w:ascii="Calibri" w:hAnsi="Calibri" w:cs="Calibri"/>
                      <w:sz w:val="22"/>
                      <w:szCs w:val="22"/>
                    </w:rPr>
                    <w:t>status of a service currently deployed to the specified VSE</w:t>
                  </w:r>
                </w:p>
              </w:tc>
            </w:tr>
            <w:tr w:rsidR="00000000">
              <w:trPr>
                <w:divId w:val="1013529417"/>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start</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Starts a service on the specified VSE if it is not already running.  This will only start services that are in the currently specified project; all other services will  be ignored.</w:t>
                  </w:r>
                </w:p>
              </w:tc>
            </w:tr>
            <w:tr w:rsidR="00000000">
              <w:trPr>
                <w:divId w:val="1013529417"/>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stop</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Stops a service on the specified VSE.  This will only stop services that are in the currently specified project; all other services will be ignored.</w:t>
                  </w:r>
                </w:p>
              </w:tc>
            </w:tr>
            <w:tr w:rsidR="00000000">
              <w:trPr>
                <w:divId w:val="1013529417"/>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deploy</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Deploys a service model from the currently specified project to the specified VSE.  </w:t>
                  </w:r>
                  <w:r>
                    <w:rPr>
                      <w:rFonts w:ascii="Calibri" w:hAnsi="Calibri" w:cs="Calibri"/>
                      <w:sz w:val="22"/>
                      <w:szCs w:val="22"/>
                    </w:rPr>
                    <w:t>The service model must exist as a MAR and in the ${PROJECT}/MARInfos directory</w:t>
                  </w:r>
                </w:p>
              </w:tc>
            </w:tr>
            <w:tr w:rsidR="00000000">
              <w:trPr>
                <w:divId w:val="1013529417"/>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deploy-mari</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Deploys a MARI from the currently specified project to the specified VSE.  The MARI must be a Virtual Service Models (not Tests/Suites), and must exist in the  </w:t>
                  </w:r>
                  <w:r>
                    <w:rPr>
                      <w:rFonts w:ascii="Calibri" w:hAnsi="Calibri" w:cs="Calibri"/>
                      <w:sz w:val="22"/>
                      <w:szCs w:val="22"/>
                    </w:rPr>
                    <w:t>${PROJECT}/MARInfos directory</w:t>
                  </w:r>
                </w:p>
              </w:tc>
            </w:tr>
            <w:tr w:rsidR="00000000">
              <w:trPr>
                <w:divId w:val="1013529417"/>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remove</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Removes a deployed service model from the specified VSE.</w:t>
                  </w:r>
                </w:p>
              </w:tc>
            </w:tr>
          </w:tbl>
          <w:p w:rsidR="00000000" w:rsidRDefault="00064727">
            <w:pPr>
              <w:rPr>
                <w:rFonts w:eastAsia="Times New Roman"/>
              </w:rPr>
            </w:pPr>
          </w:p>
        </w:tc>
      </w:tr>
    </w:tbl>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20"/>
      </w:tblGrid>
      <w:tr w:rsidR="00000000">
        <w:trPr>
          <w:divId w:val="1948809982"/>
        </w:trPr>
        <w:tc>
          <w:tcPr>
            <w:tcW w:w="17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Model Management Commands</w:t>
            </w:r>
          </w:p>
        </w:tc>
      </w:tr>
      <w:tr w:rsidR="00000000">
        <w:trPr>
          <w:divId w:val="1948809982"/>
        </w:trPr>
        <w:tc>
          <w:tcPr>
            <w:tcW w:w="17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numPr>
                <w:ilvl w:val="1"/>
                <w:numId w:val="8"/>
              </w:numPr>
              <w:ind w:left="295"/>
              <w:textAlignment w:val="center"/>
              <w:rPr>
                <w:rFonts w:eastAsia="Times New Roman"/>
              </w:rPr>
            </w:pPr>
            <w:r>
              <w:rPr>
                <w:rFonts w:ascii="Calibri" w:eastAsia="Times New Roman" w:hAnsi="Calibri" w:cs="Calibri"/>
                <w:sz w:val="22"/>
                <w:szCs w:val="22"/>
              </w:rPr>
              <w:t xml:space="preserve">All of these commands can be run with either default values, or changed on the command line.  </w:t>
            </w:r>
            <w:r>
              <w:rPr>
                <w:rFonts w:ascii="Calibri" w:eastAsia="Times New Roman" w:hAnsi="Calibri" w:cs="Calibri"/>
                <w:sz w:val="22"/>
                <w:szCs w:val="22"/>
              </w:rPr>
              <w:t>Only the values to be changed need to be specified on the command line.</w:t>
            </w:r>
          </w:p>
          <w:p w:rsidR="00000000" w:rsidRDefault="00064727">
            <w:pPr>
              <w:numPr>
                <w:ilvl w:val="2"/>
                <w:numId w:val="8"/>
              </w:numPr>
              <w:ind w:left="835"/>
              <w:textAlignment w:val="center"/>
              <w:rPr>
                <w:rFonts w:eastAsia="Times New Roman"/>
              </w:rPr>
            </w:pPr>
            <w:r>
              <w:rPr>
                <w:rFonts w:ascii="Calibri" w:eastAsia="Times New Roman" w:hAnsi="Calibri" w:cs="Calibri"/>
                <w:sz w:val="22"/>
                <w:szCs w:val="22"/>
              </w:rPr>
              <w:t>Capacity:      -Dvsi.capacity=n</w:t>
            </w:r>
          </w:p>
          <w:p w:rsidR="00000000" w:rsidRDefault="00064727">
            <w:pPr>
              <w:numPr>
                <w:ilvl w:val="3"/>
                <w:numId w:val="8"/>
              </w:numPr>
              <w:ind w:left="1375"/>
              <w:textAlignment w:val="center"/>
              <w:rPr>
                <w:rFonts w:eastAsia="Times New Roman"/>
              </w:rPr>
            </w:pPr>
            <w:r>
              <w:rPr>
                <w:rFonts w:ascii="Calibri" w:eastAsia="Times New Roman" w:hAnsi="Calibri" w:cs="Calibri"/>
                <w:sz w:val="22"/>
                <w:szCs w:val="22"/>
              </w:rPr>
              <w:t>Default is 1</w:t>
            </w:r>
          </w:p>
          <w:p w:rsidR="00000000" w:rsidRDefault="00064727">
            <w:pPr>
              <w:numPr>
                <w:ilvl w:val="2"/>
                <w:numId w:val="8"/>
              </w:numPr>
              <w:ind w:left="835"/>
              <w:textAlignment w:val="center"/>
              <w:rPr>
                <w:rFonts w:eastAsia="Times New Roman"/>
              </w:rPr>
            </w:pPr>
            <w:r>
              <w:rPr>
                <w:rFonts w:ascii="Calibri" w:eastAsia="Times New Roman" w:hAnsi="Calibri" w:cs="Calibri"/>
                <w:sz w:val="22"/>
                <w:szCs w:val="22"/>
              </w:rPr>
              <w:t>Think Scale: -Dvsi.thinkscale=n</w:t>
            </w:r>
          </w:p>
          <w:p w:rsidR="00000000" w:rsidRDefault="00064727">
            <w:pPr>
              <w:numPr>
                <w:ilvl w:val="3"/>
                <w:numId w:val="8"/>
              </w:numPr>
              <w:ind w:left="1375"/>
              <w:textAlignment w:val="center"/>
              <w:rPr>
                <w:rFonts w:eastAsia="Times New Roman"/>
              </w:rPr>
            </w:pPr>
            <w:r>
              <w:rPr>
                <w:rFonts w:ascii="Calibri" w:eastAsia="Times New Roman" w:hAnsi="Calibri" w:cs="Calibri"/>
                <w:sz w:val="22"/>
                <w:szCs w:val="22"/>
              </w:rPr>
              <w:t>Default is 100</w:t>
            </w:r>
          </w:p>
          <w:p w:rsidR="00000000" w:rsidRDefault="00064727">
            <w:pPr>
              <w:numPr>
                <w:ilvl w:val="2"/>
                <w:numId w:val="8"/>
              </w:numPr>
              <w:ind w:left="835"/>
              <w:textAlignment w:val="center"/>
              <w:rPr>
                <w:rFonts w:eastAsia="Times New Roman"/>
              </w:rPr>
            </w:pPr>
            <w:r>
              <w:rPr>
                <w:rFonts w:ascii="Calibri" w:eastAsia="Times New Roman" w:hAnsi="Calibri" w:cs="Calibri"/>
                <w:sz w:val="22"/>
                <w:szCs w:val="22"/>
              </w:rPr>
              <w:t>Auto-Restart:  -Dvsi.restart=on|off</w:t>
            </w:r>
          </w:p>
          <w:p w:rsidR="00000000" w:rsidRDefault="00064727">
            <w:pPr>
              <w:numPr>
                <w:ilvl w:val="3"/>
                <w:numId w:val="8"/>
              </w:numPr>
              <w:ind w:left="1375"/>
              <w:textAlignment w:val="center"/>
              <w:rPr>
                <w:rFonts w:eastAsia="Times New Roman"/>
              </w:rPr>
            </w:pPr>
            <w:r>
              <w:rPr>
                <w:rFonts w:ascii="Calibri" w:eastAsia="Times New Roman" w:hAnsi="Calibri" w:cs="Calibri"/>
                <w:sz w:val="22"/>
                <w:szCs w:val="22"/>
              </w:rPr>
              <w:t>Default is on</w:t>
            </w:r>
          </w:p>
          <w:p w:rsidR="00000000" w:rsidRDefault="00064727">
            <w:pPr>
              <w:numPr>
                <w:ilvl w:val="2"/>
                <w:numId w:val="9"/>
              </w:numPr>
              <w:ind w:left="835"/>
              <w:textAlignment w:val="center"/>
              <w:rPr>
                <w:rFonts w:eastAsia="Times New Roman"/>
              </w:rPr>
            </w:pPr>
            <w:r>
              <w:rPr>
                <w:rFonts w:ascii="Calibri" w:eastAsia="Times New Roman" w:hAnsi="Calibri" w:cs="Calibri"/>
                <w:sz w:val="22"/>
                <w:szCs w:val="22"/>
              </w:rPr>
              <w:t xml:space="preserve">Example:   </w:t>
            </w:r>
          </w:p>
          <w:p w:rsidR="00000000" w:rsidRDefault="00064727">
            <w:pPr>
              <w:numPr>
                <w:ilvl w:val="3"/>
                <w:numId w:val="9"/>
              </w:numPr>
              <w:ind w:left="1375"/>
              <w:textAlignment w:val="center"/>
              <w:rPr>
                <w:rFonts w:eastAsia="Times New Roman"/>
              </w:rPr>
            </w:pPr>
            <w:r>
              <w:rPr>
                <w:rFonts w:ascii="Calibri" w:eastAsia="Times New Roman" w:hAnsi="Calibri" w:cs="Calibri"/>
                <w:sz w:val="22"/>
                <w:szCs w:val="22"/>
              </w:rPr>
              <w:t xml:space="preserve"> status  -Dvsi=DatabaseModel</w:t>
            </w:r>
          </w:p>
          <w:p w:rsidR="00000000" w:rsidRDefault="00064727">
            <w:pPr>
              <w:numPr>
                <w:ilvl w:val="3"/>
                <w:numId w:val="9"/>
              </w:numPr>
              <w:ind w:left="1375"/>
              <w:textAlignment w:val="center"/>
              <w:rPr>
                <w:rFonts w:eastAsia="Times New Roman"/>
              </w:rPr>
            </w:pPr>
            <w:r>
              <w:rPr>
                <w:rFonts w:ascii="Calibri" w:eastAsia="Times New Roman" w:hAnsi="Calibri" w:cs="Calibri"/>
                <w:sz w:val="22"/>
                <w:szCs w:val="22"/>
              </w:rPr>
              <w:t>build-mari  -Dvsi.restart=off -Dvsi.capacity=3</w:t>
            </w:r>
          </w:p>
        </w:tc>
      </w:tr>
      <w:tr w:rsidR="00000000">
        <w:trPr>
          <w:divId w:val="1948809982"/>
        </w:trPr>
        <w:tc>
          <w:tcPr>
            <w:tcW w:w="17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649"/>
              <w:gridCol w:w="5691"/>
            </w:tblGrid>
            <w:tr w:rsidR="00000000">
              <w:trPr>
                <w:divId w:val="903569235"/>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Command</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Description</w:t>
                  </w:r>
                </w:p>
              </w:tc>
            </w:tr>
            <w:tr w:rsidR="00000000">
              <w:trPr>
                <w:divId w:val="903569235"/>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build-mari</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Builds a MARI from a specified  service model in the currently specified project.   The resulting MARI will be saved in the ${PROJECT}/MARInfos directory</w:t>
                  </w:r>
                </w:p>
              </w:tc>
            </w:tr>
            <w:tr w:rsidR="00000000">
              <w:trPr>
                <w:divId w:val="903569235"/>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build-all-mari</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Builds a MARI for all service models in the currently specified project. The resulting MARIs will be saved in the ${PROJECT}/MARInfos directory</w:t>
                  </w:r>
                </w:p>
              </w:tc>
            </w:tr>
            <w:tr w:rsidR="00000000">
              <w:trPr>
                <w:divId w:val="903569235"/>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build-mar</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Builds a MAR only if the corresponding mari is present.  </w:t>
                  </w:r>
                  <w:r>
                    <w:rPr>
                      <w:rFonts w:ascii="Calibri" w:hAnsi="Calibri" w:cs="Calibri"/>
                      <w:sz w:val="22"/>
                      <w:szCs w:val="22"/>
                    </w:rPr>
                    <w:t>Will auto-increment MAR names as needed.  The resulting MAR will be saved in the ${PROJECT}/MARInfos directory</w:t>
                  </w:r>
                </w:p>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example: DatabaseModel.mar,  DatabaseModel_2.mar</w:t>
                  </w:r>
                </w:p>
              </w:tc>
            </w:tr>
            <w:tr w:rsidR="00000000">
              <w:trPr>
                <w:divId w:val="903569235"/>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redeploy</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Redeploys a MAR.  The service model must exist as a MAR and in ${PROJECT}/MARInfo</w:t>
                  </w:r>
                  <w:r>
                    <w:rPr>
                      <w:rFonts w:ascii="Calibri" w:hAnsi="Calibri" w:cs="Calibri"/>
                      <w:sz w:val="22"/>
                      <w:szCs w:val="22"/>
                    </w:rPr>
                    <w:t>s directory</w:t>
                  </w:r>
                </w:p>
              </w:tc>
            </w:tr>
            <w:tr w:rsidR="00000000">
              <w:trPr>
                <w:divId w:val="903569235"/>
              </w:trPr>
              <w:tc>
                <w:tcPr>
                  <w:tcW w:w="6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update</w:t>
                  </w:r>
                </w:p>
              </w:tc>
              <w:tc>
                <w:tcPr>
                  <w:tcW w:w="10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64727">
                  <w:pPr>
                    <w:pStyle w:val="NormalWeb"/>
                    <w:spacing w:before="0" w:beforeAutospacing="0" w:after="0" w:afterAutospacing="0"/>
                    <w:rPr>
                      <w:rFonts w:ascii="Calibri" w:hAnsi="Calibri" w:cs="Calibri"/>
                      <w:sz w:val="22"/>
                      <w:szCs w:val="22"/>
                    </w:rPr>
                  </w:pPr>
                  <w:r>
                    <w:rPr>
                      <w:rFonts w:ascii="Calibri" w:hAnsi="Calibri" w:cs="Calibri"/>
                      <w:sz w:val="22"/>
                      <w:szCs w:val="22"/>
                    </w:rPr>
                    <w:t>Updates the capacity, think scale, and auto-restart settings on a deployed service.  Each setting is optional.</w:t>
                  </w:r>
                </w:p>
              </w:tc>
            </w:tr>
          </w:tbl>
          <w:p w:rsidR="00000000" w:rsidRDefault="00064727">
            <w:pPr>
              <w:rPr>
                <w:rFonts w:eastAsia="Times New Roman"/>
              </w:rPr>
            </w:pPr>
          </w:p>
        </w:tc>
      </w:tr>
    </w:tbl>
    <w:p w:rsidR="00000000" w:rsidRDefault="00064727">
      <w:pPr>
        <w:divId w:val="1948809982"/>
        <w:rPr>
          <w:rFonts w:eastAsia="Times New Roman"/>
        </w:rPr>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76CA1"/>
    <w:multiLevelType w:val="multilevel"/>
    <w:tmpl w:val="473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8A3285"/>
    <w:multiLevelType w:val="multilevel"/>
    <w:tmpl w:val="903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9B4C00"/>
    <w:multiLevelType w:val="multilevel"/>
    <w:tmpl w:val="C0225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D06CD"/>
    <w:multiLevelType w:val="multilevel"/>
    <w:tmpl w:val="2A5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CB07D1"/>
    <w:multiLevelType w:val="multilevel"/>
    <w:tmpl w:val="24C8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BE7454"/>
    <w:multiLevelType w:val="multilevel"/>
    <w:tmpl w:val="2DFC9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B7F6B"/>
    <w:multiLevelType w:val="multilevel"/>
    <w:tmpl w:val="0AB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882E4E"/>
    <w:multiLevelType w:val="multilevel"/>
    <w:tmpl w:val="4FD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1"/>
  </w:num>
  <w:num w:numId="5">
    <w:abstractNumId w:val="0"/>
  </w:num>
  <w:num w:numId="6">
    <w:abstractNumId w:val="7"/>
  </w:num>
  <w:num w:numId="7">
    <w:abstractNumId w:val="2"/>
  </w:num>
  <w:num w:numId="8">
    <w:abstractNumId w:val="5"/>
  </w:num>
  <w:num w:numId="9">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64727"/>
    <w:rsid w:val="0006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20081">
      <w:marLeft w:val="0"/>
      <w:marRight w:val="0"/>
      <w:marTop w:val="0"/>
      <w:marBottom w:val="0"/>
      <w:divBdr>
        <w:top w:val="none" w:sz="0" w:space="0" w:color="auto"/>
        <w:left w:val="none" w:sz="0" w:space="0" w:color="auto"/>
        <w:bottom w:val="none" w:sz="0" w:space="0" w:color="auto"/>
        <w:right w:val="none" w:sz="0" w:space="0" w:color="auto"/>
      </w:divBdr>
    </w:div>
    <w:div w:id="1489247464">
      <w:marLeft w:val="0"/>
      <w:marRight w:val="0"/>
      <w:marTop w:val="0"/>
      <w:marBottom w:val="0"/>
      <w:divBdr>
        <w:top w:val="none" w:sz="0" w:space="0" w:color="auto"/>
        <w:left w:val="none" w:sz="0" w:space="0" w:color="auto"/>
        <w:bottom w:val="none" w:sz="0" w:space="0" w:color="auto"/>
        <w:right w:val="none" w:sz="0" w:space="0" w:color="auto"/>
      </w:divBdr>
    </w:div>
    <w:div w:id="1597247256">
      <w:marLeft w:val="0"/>
      <w:marRight w:val="0"/>
      <w:marTop w:val="0"/>
      <w:marBottom w:val="0"/>
      <w:divBdr>
        <w:top w:val="none" w:sz="0" w:space="0" w:color="auto"/>
        <w:left w:val="none" w:sz="0" w:space="0" w:color="auto"/>
        <w:bottom w:val="none" w:sz="0" w:space="0" w:color="auto"/>
        <w:right w:val="none" w:sz="0" w:space="0" w:color="auto"/>
      </w:divBdr>
      <w:divsChild>
        <w:div w:id="369036048">
          <w:marLeft w:val="0"/>
          <w:marRight w:val="0"/>
          <w:marTop w:val="0"/>
          <w:marBottom w:val="0"/>
          <w:divBdr>
            <w:top w:val="none" w:sz="0" w:space="0" w:color="auto"/>
            <w:left w:val="none" w:sz="0" w:space="0" w:color="auto"/>
            <w:bottom w:val="none" w:sz="0" w:space="0" w:color="auto"/>
            <w:right w:val="none" w:sz="0" w:space="0" w:color="auto"/>
          </w:divBdr>
        </w:div>
      </w:divsChild>
    </w:div>
    <w:div w:id="1675036127">
      <w:marLeft w:val="0"/>
      <w:marRight w:val="0"/>
      <w:marTop w:val="0"/>
      <w:marBottom w:val="0"/>
      <w:divBdr>
        <w:top w:val="none" w:sz="0" w:space="0" w:color="auto"/>
        <w:left w:val="none" w:sz="0" w:space="0" w:color="auto"/>
        <w:bottom w:val="none" w:sz="0" w:space="0" w:color="auto"/>
        <w:right w:val="none" w:sz="0" w:space="0" w:color="auto"/>
      </w:divBdr>
      <w:divsChild>
        <w:div w:id="1013529417">
          <w:marLeft w:val="0"/>
          <w:marRight w:val="0"/>
          <w:marTop w:val="0"/>
          <w:marBottom w:val="0"/>
          <w:divBdr>
            <w:top w:val="none" w:sz="0" w:space="0" w:color="auto"/>
            <w:left w:val="none" w:sz="0" w:space="0" w:color="auto"/>
            <w:bottom w:val="none" w:sz="0" w:space="0" w:color="auto"/>
            <w:right w:val="none" w:sz="0" w:space="0" w:color="auto"/>
          </w:divBdr>
        </w:div>
      </w:divsChild>
    </w:div>
    <w:div w:id="1948809982">
      <w:marLeft w:val="0"/>
      <w:marRight w:val="0"/>
      <w:marTop w:val="0"/>
      <w:marBottom w:val="0"/>
      <w:divBdr>
        <w:top w:val="none" w:sz="0" w:space="0" w:color="auto"/>
        <w:left w:val="none" w:sz="0" w:space="0" w:color="auto"/>
        <w:bottom w:val="none" w:sz="0" w:space="0" w:color="auto"/>
        <w:right w:val="none" w:sz="0" w:space="0" w:color="auto"/>
      </w:divBdr>
      <w:divsChild>
        <w:div w:id="90356923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Levine</dc:creator>
  <cp:keywords/>
  <dc:description/>
  <cp:lastModifiedBy>Adam Levine</cp:lastModifiedBy>
  <cp:revision>2</cp:revision>
  <dcterms:created xsi:type="dcterms:W3CDTF">2012-07-25T13:39:00Z</dcterms:created>
  <dcterms:modified xsi:type="dcterms:W3CDTF">2012-07-25T13:39:00Z</dcterms:modified>
</cp:coreProperties>
</file>