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Pick and Place in MuJoCo with Inverse Kinematics</w:t>
      </w:r>
    </w:p>
    <w:p>
      <w:r>
        <w:rPr>
          <w:i/>
          <w:iCs/>
          <w:color w:val="666666"/>
          <w:sz w:val="24"/>
          <w:szCs w:val="24"/>
        </w:rPr>
        <w:t xml:space="preserve">HEAL Single-Arm Robot — Report</w:t>
      </w:r>
    </w:p>
    <w:p>
      <w:pPr>
        <w:spacing w:before="200"/>
      </w:pPr>
      <w:r>
        <w:rPr>
          <w:sz w:val="22"/>
          <w:szCs w:val="22"/>
        </w:rPr>
        <w:t xml:space="preserve">Author: Pratyaksh Vyas</w:t>
      </w:r>
    </w:p>
    <w:p>
      <w:r>
        <w:rPr>
          <w:sz w:val="22"/>
          <w:szCs w:val="22"/>
        </w:rPr>
        <w:t xml:space="preserve">Date: October 2026</w:t>
      </w:r>
    </w:p>
    <w:p>
      <w:pPr>
        <w:pStyle w:val="Heading1"/>
      </w:pPr>
      <w:r>
        <w:t xml:space="preserve">1. Overview</w:t>
      </w:r>
    </w:p>
    <w:p>
      <w:pPr>
        <w:spacing w:after="120"/>
      </w:pPr>
      <w:r>
        <w:t xml:space="preserve">This report documents the extension of the pick-and-place pipeline to the HEAL single-arm robot. The same workflow used for the Franka Emika Panda was repeated: workspace analysis, table design, environment construction, and systematic evaluation of Mink inverse kinematics. Physical grasp trials and a kinematic attachment trial were performed.</w:t>
      </w:r>
    </w:p>
    <w:p>
      <w:pPr>
        <w:pStyle w:val="Heading1"/>
      </w:pPr>
      <w:r>
        <w:t xml:space="preserve">2. Environment Setup</w:t>
      </w:r>
    </w:p>
    <w:p>
      <w:pPr>
        <w:pStyle w:val="Heading2"/>
      </w:pPr>
      <w:r>
        <w:t xml:space="preserve">2.1 Robot Model</w:t>
      </w:r>
    </w:p>
    <w:p>
      <w:pPr>
        <w:spacing w:after="120"/>
      </w:pPr>
      <w:r>
        <w:t xml:space="preserve">The HEAL robot was loaded from the custom XML at /home/pratyaksh/ITR_mujoco_fk_lab/robot_descriptions/single_arm_heal_effort_actuation_rs_mj.xml. The model is a 6-DOF revolute arm (nq = 6, nu = 6). A simple two-finger parallel gripper was added in code because the original XML contained only a placeholder for a gripper.</w:t>
      </w:r>
    </w:p>
    <w:p>
      <w:pPr>
        <w:pStyle w:val="Heading2"/>
      </w:pPr>
      <w:r>
        <w:t xml:space="preserve">2.2 Workspace and Table</w:t>
      </w:r>
    </w:p>
    <w:p>
      <w:pPr>
        <w:spacing w:after="120"/>
      </w:pPr>
      <w:r>
        <w:t xml:space="preserve">Random sampling of approximately 8 000 configurations produced a reachable volume of roughly X: −0.75 to 0.73 m, Y: −0.74 to 0.74 m, Z: −0.43 to 1.07 m. A table with top surface at z = 0.50 m was placed inside this volume. A red cube and a blue tray were added.</w:t>
      </w:r>
    </w:p>
    <w:p>
      <w:pPr>
        <w:pStyle w:val="Heading1"/>
      </w:pPr>
      <w:r>
        <w:t xml:space="preserve">3. Inverse Kinematics Method</w:t>
      </w:r>
    </w:p>
    <w:p>
      <w:pPr>
        <w:spacing w:after="120"/>
      </w:pPr>
      <w:r>
        <w:t xml:space="preserve">Mink was used as the IK solver. A FrameTask targeted the end-effector site and a PostureTask provided a secondary objective. A simple PD law was applied to the six arm actuators to track the Mink-generated joint targets. The gripper fingers were controlled by direct qpos writes.</w:t>
      </w:r>
    </w:p>
    <w:p>
      <w:pPr>
        <w:pStyle w:val="Heading1"/>
      </w:pPr>
      <w:r>
        <w:t xml:space="preserve">4. Experimental Results</w:t>
      </w:r>
    </w:p>
    <w:p>
      <w:pPr>
        <w:spacing w:after="120"/>
      </w:pPr>
      <w:r>
        <w:t xml:space="preserve">Five physical-grasp trials and one kinematic-attachment trial were performed. Physical trials varied friction, approach height, close speed, and cube mass. The kinematic trial forcibly set the cube position to follow the hand after gripper closure.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000"/>
        <w:gridCol w:w="3880"/>
      </w:tblGrid>
      <w:tr>
        <w:tc>
          <w:tcPr>
            <w:tcW w:type="dxa" w:w="1400"/>
            <w:tcBorders>
              <w:top w:val="single" w:color="CCCCCC" w:sz="1"/>
              <w:left w:val="single" w:color="CCCCCC" w:sz="1"/>
              <w:bottom w:val="single" w:color="CCCCCC" w:sz="1"/>
              <w:right w:val="single" w:color="CCCCCC" w:sz="1"/>
            </w:tcBorders>
            <w:shd w:fill="1F4E79" w:val="clear"/>
            <w:tcMar>
              <w:top w:type="dxa" w:w="60"/>
              <w:left w:type="dxa" w:w="80"/>
              <w:bottom w:type="dxa" w:w="60"/>
              <w:right w:type="dxa" w:w="80"/>
            </w:tcMar>
          </w:tcPr>
          <w:p>
            <w:r>
              <w:rPr>
                <w:rFonts w:ascii="Arial" w:cs="Arial" w:eastAsia="Arial" w:hAnsi="Arial"/>
                <w:b/>
                <w:bCs/>
                <w:color w:val="FFFFFF"/>
                <w:sz w:val="20"/>
                <w:szCs w:val="20"/>
              </w:rPr>
              <w:t xml:space="preserve">Trial</w:t>
            </w:r>
          </w:p>
        </w:tc>
        <w:tc>
          <w:tcPr>
            <w:tcW w:type="dxa" w:w="2800"/>
            <w:tcBorders>
              <w:top w:val="single" w:color="CCCCCC" w:sz="1"/>
              <w:left w:val="single" w:color="CCCCCC" w:sz="1"/>
              <w:bottom w:val="single" w:color="CCCCCC" w:sz="1"/>
              <w:right w:val="single" w:color="CCCCCC" w:sz="1"/>
            </w:tcBorders>
            <w:shd w:fill="1F4E79" w:val="clear"/>
            <w:tcMar>
              <w:top w:type="dxa" w:w="60"/>
              <w:left w:type="dxa" w:w="80"/>
              <w:bottom w:type="dxa" w:w="60"/>
              <w:right w:type="dxa" w:w="80"/>
            </w:tcMar>
          </w:tcPr>
          <w:p>
            <w:r>
              <w:rPr>
                <w:rFonts w:ascii="Arial" w:cs="Arial" w:eastAsia="Arial" w:hAnsi="Arial"/>
                <w:b/>
                <w:bCs/>
                <w:color w:val="FFFFFF"/>
                <w:sz w:val="20"/>
                <w:szCs w:val="20"/>
              </w:rPr>
              <w:t xml:space="preserve">Change</w:t>
            </w:r>
          </w:p>
        </w:tc>
        <w:tc>
          <w:tcPr>
            <w:tcW w:type="dxa" w:w="2000"/>
            <w:tcBorders>
              <w:top w:val="single" w:color="CCCCCC" w:sz="1"/>
              <w:left w:val="single" w:color="CCCCCC" w:sz="1"/>
              <w:bottom w:val="single" w:color="CCCCCC" w:sz="1"/>
              <w:right w:val="single" w:color="CCCCCC" w:sz="1"/>
            </w:tcBorders>
            <w:shd w:fill="1F4E79" w:val="clear"/>
            <w:tcMar>
              <w:top w:type="dxa" w:w="60"/>
              <w:left w:type="dxa" w:w="80"/>
              <w:bottom w:type="dxa" w:w="60"/>
              <w:right w:type="dxa" w:w="80"/>
            </w:tcMar>
          </w:tcPr>
          <w:p>
            <w:r>
              <w:rPr>
                <w:rFonts w:ascii="Arial" w:cs="Arial" w:eastAsia="Arial" w:hAnsi="Arial"/>
                <w:b/>
                <w:bCs/>
                <w:color w:val="FFFFFF"/>
                <w:sz w:val="20"/>
                <w:szCs w:val="20"/>
              </w:rPr>
              <w:t xml:space="preserve">Result</w:t>
            </w:r>
          </w:p>
        </w:tc>
        <w:tc>
          <w:tcPr>
            <w:tcW w:type="dxa" w:w="3880"/>
            <w:tcBorders>
              <w:top w:val="single" w:color="CCCCCC" w:sz="1"/>
              <w:left w:val="single" w:color="CCCCCC" w:sz="1"/>
              <w:bottom w:val="single" w:color="CCCCCC" w:sz="1"/>
              <w:right w:val="single" w:color="CCCCCC" w:sz="1"/>
            </w:tcBorders>
            <w:shd w:fill="1F4E79" w:val="clear"/>
            <w:tcMar>
              <w:top w:type="dxa" w:w="60"/>
              <w:left w:type="dxa" w:w="80"/>
              <w:bottom w:type="dxa" w:w="60"/>
              <w:right w:type="dxa" w:w="80"/>
            </w:tcMar>
          </w:tcPr>
          <w:p>
            <w:r>
              <w:rPr>
                <w:rFonts w:ascii="Arial" w:cs="Arial" w:eastAsia="Arial" w:hAnsi="Arial"/>
                <w:b/>
                <w:bCs/>
                <w:color w:val="FFFFFF"/>
                <w:sz w:val="20"/>
                <w:szCs w:val="20"/>
              </w:rPr>
              <w:t xml:space="preserve">Final Cube Position</w:t>
            </w:r>
          </w:p>
        </w:tc>
      </w:tr>
      <w:tr>
        <w:tc>
          <w:tcPr>
            <w:tcW w:type="dxa" w:w="14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color w:val="000000"/>
                <w:sz w:val="20"/>
                <w:szCs w:val="20"/>
              </w:rPr>
              <w:t xml:space="preserve">#1</w:t>
            </w:r>
          </w:p>
        </w:tc>
        <w:tc>
          <w:tcPr>
            <w:tcW w:type="dxa" w:w="2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color w:val="000000"/>
                <w:sz w:val="20"/>
                <w:szCs w:val="20"/>
              </w:rPr>
              <w:t xml:space="preserve">Baseline physical</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color w:val="000000"/>
                <w:sz w:val="20"/>
                <w:szCs w:val="20"/>
              </w:rPr>
              <w:t xml:space="preserve">Failed (ejection)</w:t>
            </w:r>
          </w:p>
        </w:tc>
        <w:tc>
          <w:tcPr>
            <w:tcW w:type="dxa" w:w="388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color w:val="000000"/>
                <w:sz w:val="20"/>
                <w:szCs w:val="20"/>
              </w:rPr>
              <w:t xml:space="preserve">[4.66, −0.20, 1.64]</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val="false"/>
                <w:bCs w:val="false"/>
                <w:color w:val="000000"/>
                <w:sz w:val="20"/>
                <w:szCs w:val="20"/>
              </w:rPr>
              <w:t xml:space="preserve">#2</w:t>
            </w:r>
          </w:p>
        </w:tc>
        <w:tc>
          <w:tcPr>
            <w:tcW w:type="dxa" w:w="28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val="false"/>
                <w:bCs w:val="false"/>
                <w:color w:val="000000"/>
                <w:sz w:val="20"/>
                <w:szCs w:val="20"/>
              </w:rPr>
              <w:t xml:space="preserve">Higher friction + slower close</w:t>
            </w:r>
          </w:p>
        </w:tc>
        <w:tc>
          <w:tcPr>
            <w:tcW w:type="dxa" w:w="20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val="false"/>
                <w:bCs w:val="false"/>
                <w:color w:val="000000"/>
                <w:sz w:val="20"/>
                <w:szCs w:val="20"/>
              </w:rPr>
              <w:t xml:space="preserve">Failed (ejection)</w:t>
            </w:r>
          </w:p>
        </w:tc>
        <w:tc>
          <w:tcPr>
            <w:tcW w:type="dxa" w:w="38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val="false"/>
                <w:bCs w:val="false"/>
                <w:color w:val="000000"/>
                <w:sz w:val="20"/>
                <w:szCs w:val="20"/>
              </w:rPr>
              <w:t xml:space="preserve">[1.11, −0.52, 1.41]</w:t>
            </w:r>
          </w:p>
        </w:tc>
      </w:tr>
      <w:tr>
        <w:tc>
          <w:tcPr>
            <w:tcW w:type="dxa" w:w="14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color w:val="000000"/>
                <w:sz w:val="20"/>
                <w:szCs w:val="20"/>
              </w:rPr>
              <w:t xml:space="preserve">#3</w:t>
            </w:r>
          </w:p>
        </w:tc>
        <w:tc>
          <w:tcPr>
            <w:tcW w:type="dxa" w:w="2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color w:val="000000"/>
                <w:sz w:val="20"/>
                <w:szCs w:val="20"/>
              </w:rPr>
              <w:t xml:space="preserve">Higher approach + very slow close</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color w:val="000000"/>
                <w:sz w:val="20"/>
                <w:szCs w:val="20"/>
              </w:rPr>
              <w:t xml:space="preserve">Failed (ejection)</w:t>
            </w:r>
          </w:p>
        </w:tc>
        <w:tc>
          <w:tcPr>
            <w:tcW w:type="dxa" w:w="388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color w:val="000000"/>
                <w:sz w:val="20"/>
                <w:szCs w:val="20"/>
              </w:rPr>
              <w:t xml:space="preserve">[1.18, −0.60, 1.51]</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val="false"/>
                <w:bCs w:val="false"/>
                <w:color w:val="000000"/>
                <w:sz w:val="20"/>
                <w:szCs w:val="20"/>
              </w:rPr>
              <w:t xml:space="preserve">#4</w:t>
            </w:r>
          </w:p>
        </w:tc>
        <w:tc>
          <w:tcPr>
            <w:tcW w:type="dxa" w:w="28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val="false"/>
                <w:bCs w:val="false"/>
                <w:color w:val="000000"/>
                <w:sz w:val="20"/>
                <w:szCs w:val="20"/>
              </w:rPr>
              <w:t xml:space="preserve">Heavier cube (0.4 kg)</w:t>
            </w:r>
          </w:p>
        </w:tc>
        <w:tc>
          <w:tcPr>
            <w:tcW w:type="dxa" w:w="20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val="false"/>
                <w:bCs w:val="false"/>
                <w:color w:val="000000"/>
                <w:sz w:val="20"/>
                <w:szCs w:val="20"/>
              </w:rPr>
              <w:t xml:space="preserve">Failed (ejection)</w:t>
            </w:r>
          </w:p>
        </w:tc>
        <w:tc>
          <w:tcPr>
            <w:tcW w:type="dxa" w:w="388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val="false"/>
                <w:bCs w:val="false"/>
                <w:color w:val="000000"/>
                <w:sz w:val="20"/>
                <w:szCs w:val="20"/>
              </w:rPr>
              <w:t xml:space="preserve">[1.41, −0.65, 1.18]</w:t>
            </w:r>
          </w:p>
        </w:tc>
      </w:tr>
      <w:tr>
        <w:tc>
          <w:tcPr>
            <w:tcW w:type="dxa" w:w="14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color w:val="000000"/>
                <w:sz w:val="20"/>
                <w:szCs w:val="20"/>
              </w:rPr>
              <w:t xml:space="preserve">#5</w:t>
            </w:r>
          </w:p>
        </w:tc>
        <w:tc>
          <w:tcPr>
            <w:tcW w:type="dxa" w:w="28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color w:val="000000"/>
                <w:sz w:val="20"/>
                <w:szCs w:val="20"/>
              </w:rPr>
              <w:t xml:space="preserve">Slow close + hold</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color w:val="000000"/>
                <w:sz w:val="20"/>
                <w:szCs w:val="20"/>
              </w:rPr>
              <w:t xml:space="preserve">Failed (ejection)</w:t>
            </w:r>
          </w:p>
        </w:tc>
        <w:tc>
          <w:tcPr>
            <w:tcW w:type="dxa" w:w="388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color w:val="000000"/>
                <w:sz w:val="20"/>
                <w:szCs w:val="20"/>
              </w:rPr>
              <w:t xml:space="preserve">[1.41, −0.65, 1.18]</w:t>
            </w:r>
          </w:p>
        </w:tc>
      </w:tr>
      <w:tr>
        <w:tc>
          <w:tcPr>
            <w:tcW w:type="dxa" w:w="140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r>
              <w:rPr>
                <w:rFonts w:ascii="Arial" w:cs="Arial" w:eastAsia="Arial" w:hAnsi="Arial"/>
                <w:b w:val="false"/>
                <w:bCs w:val="false"/>
                <w:color w:val="000000"/>
                <w:sz w:val="20"/>
                <w:szCs w:val="20"/>
              </w:rPr>
              <w:t xml:space="preserve">#6</w:t>
            </w:r>
          </w:p>
        </w:tc>
        <w:tc>
          <w:tcPr>
            <w:tcW w:type="dxa" w:w="280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r>
              <w:rPr>
                <w:rFonts w:ascii="Arial" w:cs="Arial" w:eastAsia="Arial" w:hAnsi="Arial"/>
                <w:b w:val="false"/>
                <w:bCs w:val="false"/>
                <w:color w:val="000000"/>
                <w:sz w:val="20"/>
                <w:szCs w:val="20"/>
              </w:rPr>
              <w:t xml:space="preserve">Kinematic attachment</w:t>
            </w:r>
          </w:p>
        </w:tc>
        <w:tc>
          <w:tcPr>
            <w:tcW w:type="dxa" w:w="200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r>
              <w:rPr>
                <w:rFonts w:ascii="Arial" w:cs="Arial" w:eastAsia="Arial" w:hAnsi="Arial"/>
                <w:b w:val="false"/>
                <w:bCs w:val="false"/>
                <w:color w:val="000000"/>
                <w:sz w:val="20"/>
                <w:szCs w:val="20"/>
              </w:rPr>
              <w:t xml:space="preserve">Partial success</w:t>
            </w:r>
          </w:p>
        </w:tc>
        <w:tc>
          <w:tcPr>
            <w:tcW w:type="dxa" w:w="388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r>
              <w:rPr>
                <w:rFonts w:ascii="Arial" w:cs="Arial" w:eastAsia="Arial" w:hAnsi="Arial"/>
                <w:b w:val="false"/>
                <w:bCs w:val="false"/>
                <w:color w:val="000000"/>
                <w:sz w:val="20"/>
                <w:szCs w:val="20"/>
              </w:rPr>
              <w:t xml:space="preserve">[0.765, 0.180, 0.705] (offset ~26 cm)</w:t>
            </w:r>
          </w:p>
        </w:tc>
      </w:tr>
    </w:tbl>
    <w:p>
      <w:pPr>
        <w:pStyle w:val="Heading1"/>
      </w:pPr>
      <w:r>
        <w:t xml:space="preserve">5. Failure Analysis</w:t>
      </w:r>
    </w:p>
    <w:p>
      <w:pPr>
        <w:pStyle w:val="Heading2"/>
      </w:pPr>
      <w:r>
        <w:t xml:space="preserve">5.1 Physical Grasp</w:t>
      </w:r>
    </w:p>
    <w:p>
      <w:pPr>
        <w:spacing w:after="120"/>
      </w:pPr>
      <w:r>
        <w:t xml:space="preserve">All five physical trials failed because the simple box-shaped fingers generated contact impulses that ejected the free cube. Variations in friction, approach height, closing speed, and cube mass did not produce a stable grasp. This is a modelling limitation of the ad-hoc finger geometry rather than a failure of the Mink solver.</w:t>
      </w:r>
    </w:p>
    <w:p>
      <w:pPr>
        <w:pStyle w:val="Heading2"/>
      </w:pPr>
      <w:r>
        <w:t xml:space="preserve">5.2 Kinematic Attachment</w:t>
      </w:r>
    </w:p>
    <w:p>
      <w:pPr>
        <w:spacing w:after="120"/>
      </w:pPr>
      <w:r>
        <w:t xml:space="preserve">Kinematic attachment produced a usable visualisation sequence. While attached, the cube followed the end-effector with XY error below 1 cm. After release the cube settled approximately 26 cm from the tray centre. The offset is larger than the corresponding Mink result on the Panda, reflecting differences in the HEAL workspace and the simple gripper model.</w:t>
      </w:r>
    </w:p>
    <w:p>
      <w:pPr>
        <w:pStyle w:val="Heading1"/>
      </w:pPr>
      <w:r>
        <w:t xml:space="preserve">6. Comparison with Franka Panda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CCCCCC" w:sz="1"/>
              <w:left w:val="single" w:color="CCCCCC" w:sz="1"/>
              <w:bottom w:val="single" w:color="CCCCCC" w:sz="1"/>
              <w:right w:val="single" w:color="CCCCCC" w:sz="1"/>
            </w:tcBorders>
            <w:shd w:fill="1F4E79" w:val="clear"/>
            <w:tcMar>
              <w:top w:type="dxa" w:w="60"/>
              <w:left w:type="dxa" w:w="80"/>
              <w:bottom w:type="dxa" w:w="60"/>
              <w:right w:type="dxa" w:w="80"/>
            </w:tcMar>
          </w:tcPr>
          <w:p>
            <w:r>
              <w:rPr>
                <w:rFonts w:ascii="Arial" w:cs="Arial" w:eastAsia="Arial" w:hAnsi="Arial"/>
                <w:b/>
                <w:bCs/>
                <w:color w:val="FFFFFF"/>
                <w:sz w:val="20"/>
                <w:szCs w:val="20"/>
              </w:rPr>
              <w:t xml:space="preserve">Aspect</w:t>
            </w:r>
          </w:p>
        </w:tc>
        <w:tc>
          <w:tcPr>
            <w:tcW w:type="dxa" w:w="3360"/>
            <w:tcBorders>
              <w:top w:val="single" w:color="CCCCCC" w:sz="1"/>
              <w:left w:val="single" w:color="CCCCCC" w:sz="1"/>
              <w:bottom w:val="single" w:color="CCCCCC" w:sz="1"/>
              <w:right w:val="single" w:color="CCCCCC" w:sz="1"/>
            </w:tcBorders>
            <w:shd w:fill="1F4E79" w:val="clear"/>
            <w:tcMar>
              <w:top w:type="dxa" w:w="60"/>
              <w:left w:type="dxa" w:w="80"/>
              <w:bottom w:type="dxa" w:w="60"/>
              <w:right w:type="dxa" w:w="80"/>
            </w:tcMar>
          </w:tcPr>
          <w:p>
            <w:r>
              <w:rPr>
                <w:rFonts w:ascii="Arial" w:cs="Arial" w:eastAsia="Arial" w:hAnsi="Arial"/>
                <w:b/>
                <w:bCs/>
                <w:color w:val="FFFFFF"/>
                <w:sz w:val="20"/>
                <w:szCs w:val="20"/>
              </w:rPr>
              <w:t xml:space="preserve">Franka Panda</w:t>
            </w:r>
          </w:p>
        </w:tc>
        <w:tc>
          <w:tcPr>
            <w:tcW w:type="dxa" w:w="3360"/>
            <w:tcBorders>
              <w:top w:val="single" w:color="CCCCCC" w:sz="1"/>
              <w:left w:val="single" w:color="CCCCCC" w:sz="1"/>
              <w:bottom w:val="single" w:color="CCCCCC" w:sz="1"/>
              <w:right w:val="single" w:color="CCCCCC" w:sz="1"/>
            </w:tcBorders>
            <w:shd w:fill="1F4E79" w:val="clear"/>
            <w:tcMar>
              <w:top w:type="dxa" w:w="60"/>
              <w:left w:type="dxa" w:w="80"/>
              <w:bottom w:type="dxa" w:w="60"/>
              <w:right w:type="dxa" w:w="80"/>
            </w:tcMar>
          </w:tcPr>
          <w:p>
            <w:r>
              <w:rPr>
                <w:rFonts w:ascii="Arial" w:cs="Arial" w:eastAsia="Arial" w:hAnsi="Arial"/>
                <w:b/>
                <w:bCs/>
                <w:color w:val="FFFFFF"/>
                <w:sz w:val="20"/>
                <w:szCs w:val="20"/>
              </w:rPr>
              <w:t xml:space="preserve">HEAL</w:t>
            </w:r>
          </w:p>
        </w:tc>
      </w:tr>
      <w:tr>
        <w:tc>
          <w:tcPr>
            <w:tcW w:type="dxa" w:w="33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color w:val="000000"/>
                <w:sz w:val="20"/>
                <w:szCs w:val="20"/>
              </w:rPr>
              <w:t xml:space="preserve">Physical grasp</w:t>
            </w:r>
          </w:p>
        </w:tc>
        <w:tc>
          <w:tcPr>
            <w:tcW w:type="dxa" w:w="33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color w:val="000000"/>
                <w:sz w:val="20"/>
                <w:szCs w:val="20"/>
              </w:rPr>
              <w:t xml:space="preserve">Failed (all trials)</w:t>
            </w:r>
          </w:p>
        </w:tc>
        <w:tc>
          <w:tcPr>
            <w:tcW w:type="dxa" w:w="33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color w:val="000000"/>
                <w:sz w:val="20"/>
                <w:szCs w:val="20"/>
              </w:rPr>
              <w:t xml:space="preserve">Failed (all trials)</w:t>
            </w:r>
          </w:p>
        </w:tc>
      </w:tr>
      <w:tr>
        <w:tc>
          <w:tcPr>
            <w:tcW w:type="dxa" w:w="336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val="false"/>
                <w:bCs w:val="false"/>
                <w:color w:val="000000"/>
                <w:sz w:val="20"/>
                <w:szCs w:val="20"/>
              </w:rPr>
              <w:t xml:space="preserve">Kinematic attachment</w:t>
            </w:r>
          </w:p>
        </w:tc>
        <w:tc>
          <w:tcPr>
            <w:tcW w:type="dxa" w:w="336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val="false"/>
                <w:bCs w:val="false"/>
                <w:color w:val="000000"/>
                <w:sz w:val="20"/>
                <w:szCs w:val="20"/>
              </w:rPr>
              <w:t xml:space="preserve">Success (near tray)</w:t>
            </w:r>
          </w:p>
        </w:tc>
        <w:tc>
          <w:tcPr>
            <w:tcW w:type="dxa" w:w="336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val="false"/>
                <w:bCs w:val="false"/>
                <w:color w:val="000000"/>
                <w:sz w:val="20"/>
                <w:szCs w:val="20"/>
              </w:rPr>
              <w:t xml:space="preserve">Partial (26 cm offset)</w:t>
            </w:r>
          </w:p>
        </w:tc>
      </w:tr>
      <w:tr>
        <w:tc>
          <w:tcPr>
            <w:tcW w:type="dxa" w:w="33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color w:val="000000"/>
                <w:sz w:val="20"/>
                <w:szCs w:val="20"/>
              </w:rPr>
              <w:t xml:space="preserve">Finger model</w:t>
            </w:r>
          </w:p>
        </w:tc>
        <w:tc>
          <w:tcPr>
            <w:tcW w:type="dxa" w:w="33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color w:val="000000"/>
                <w:sz w:val="20"/>
                <w:szCs w:val="20"/>
              </w:rPr>
              <w:t xml:space="preserve">Original Panda fingers</w:t>
            </w:r>
          </w:p>
        </w:tc>
        <w:tc>
          <w:tcPr>
            <w:tcW w:type="dxa" w:w="33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color w:val="000000"/>
                <w:sz w:val="20"/>
                <w:szCs w:val="20"/>
              </w:rPr>
              <w:t xml:space="preserve">Simple box fingers (added)</w:t>
            </w:r>
          </w:p>
        </w:tc>
      </w:tr>
      <w:tr>
        <w:tc>
          <w:tcPr>
            <w:tcW w:type="dxa" w:w="336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val="false"/>
                <w:bCs w:val="false"/>
                <w:color w:val="000000"/>
                <w:sz w:val="20"/>
                <w:szCs w:val="20"/>
              </w:rPr>
              <w:t xml:space="preserve">IK tracking</w:t>
            </w:r>
          </w:p>
        </w:tc>
        <w:tc>
          <w:tcPr>
            <w:tcW w:type="dxa" w:w="336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val="false"/>
                <w:bCs w:val="false"/>
                <w:color w:val="000000"/>
                <w:sz w:val="20"/>
                <w:szCs w:val="20"/>
              </w:rPr>
              <w:t xml:space="preserve">Reliable with Mink</w:t>
            </w:r>
          </w:p>
        </w:tc>
        <w:tc>
          <w:tcPr>
            <w:tcW w:type="dxa" w:w="336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b w:val="false"/>
                <w:bCs w:val="false"/>
                <w:color w:val="000000"/>
                <w:sz w:val="20"/>
                <w:szCs w:val="20"/>
              </w:rPr>
              <w:t xml:space="preserve">Usable but less precise</w:t>
            </w:r>
          </w:p>
        </w:tc>
      </w:tr>
    </w:tbl>
    <w:p>
      <w:pPr>
        <w:pStyle w:val="Heading1"/>
      </w:pPr>
      <w:r>
        <w:t xml:space="preserve">7. Conclusions</w:t>
      </w:r>
    </w:p>
    <w:p>
      <w:pPr>
        <w:pStyle w:val="ListParagraph"/>
        <w:numPr>
          <w:ilvl w:val="0"/>
          <w:numId w:val="2"/>
        </w:numPr>
      </w:pPr>
      <w:r>
        <w:t xml:space="preserve">The HEAL arm can be driven by Mink and reaches the vicinity of the cube, but physical grasp is unstable with the simple finger geometry.</w:t>
      </w:r>
    </w:p>
    <w:p>
      <w:pPr>
        <w:pStyle w:val="ListParagraph"/>
        <w:numPr>
          <w:ilvl w:val="0"/>
          <w:numId w:val="2"/>
        </w:numPr>
      </w:pPr>
      <w:r>
        <w:t xml:space="preserve">All five physical trials failed by ejecting the cube, confirming that contact modelling is the limiting factor.</w:t>
      </w:r>
    </w:p>
    <w:p>
      <w:pPr>
        <w:pStyle w:val="ListParagraph"/>
        <w:numPr>
          <w:ilvl w:val="0"/>
          <w:numId w:val="2"/>
        </w:numPr>
      </w:pPr>
      <w:r>
        <w:t xml:space="preserve">Kinematic attachment produced a usable demonstration sequence, though the final placement was farther from the tray centre than the corresponding Panda result.</w:t>
      </w:r>
    </w:p>
    <w:p>
      <w:pPr>
        <w:pStyle w:val="ListParagraph"/>
        <w:numPr>
          <w:ilvl w:val="0"/>
          <w:numId w:val="2"/>
        </w:numPr>
      </w:pPr>
      <w:r>
        <w:t xml:space="preserve">A production-quality gripper model (e.g., Robotiq 2F-85) would be required before physical grasp can be evaluated meaningfully on the HEAL platform.</w:t>
      </w:r>
    </w:p>
    <w:p>
      <w:pPr>
        <w:spacing w:before="400"/>
      </w:pPr>
      <w:r>
        <w:rPr>
          <w:i/>
          <w:iCs/>
          <w:color w:val="666666"/>
        </w:rPr>
        <w:t xml:space="preserve">— End of Report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pPr>
    <w:r>
      <w:rPr>
        <w:rFonts w:ascii="Arial" w:cs="Arial" w:eastAsia="Arial" w:hAnsi="Arial"/>
        <w:color w:val="666666"/>
        <w:sz w:val="18"/>
        <w:szCs w:val="18"/>
      </w:rPr>
      <w:t xml:space="preserve">Tutorial 4: Pick and Place in MuJoCo with IK  |  HEAL Robot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2026-10-15T10:00:58.060Z</dcterms:created>
  <dcterms:modified xsi:type="dcterms:W3CDTF">2026-10-15T10:00:58.065Z</dcterms:modified>
</cp:coreProperties>
</file>

<file path=docProps/custom.xml><?xml version="1.0" encoding="utf-8"?>
<Properties xmlns="http://schemas.openxmlformats.org/officeDocument/2006/custom-properties" xmlns:vt="http://schemas.openxmlformats.org/officeDocument/2006/docPropsVTypes"/>
</file>