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55499" w14:textId="10E17BF3" w:rsidR="0028459F" w:rsidRDefault="00B5737E" w:rsidP="00285B91">
      <w:pPr>
        <w:tabs>
          <w:tab w:val="center" w:pos="7200"/>
          <w:tab w:val="right" w:pos="14400"/>
        </w:tabs>
        <w:spacing w:after="0"/>
        <w:rPr>
          <w:color w:val="FFFFFF" w:themeColor="background1"/>
          <w:sz w:val="36"/>
          <w:szCs w:val="36"/>
        </w:rPr>
      </w:pPr>
      <w:r w:rsidRPr="00EF3E72">
        <w:rPr>
          <w:color w:val="FFFFFF" w:themeColor="background1"/>
          <w:sz w:val="36"/>
          <w:szCs w:val="36"/>
          <w:highlight w:val="darkGray"/>
        </w:rPr>
        <w:tab/>
      </w:r>
      <w:r w:rsidR="00E36526">
        <w:rPr>
          <w:color w:val="FFFFFF" w:themeColor="background1"/>
          <w:sz w:val="36"/>
          <w:szCs w:val="36"/>
          <w:highlight w:val="darkGray"/>
        </w:rPr>
        <w:t>Credit Memo</w:t>
      </w:r>
      <w:r w:rsidRPr="00EF3E72">
        <w:rPr>
          <w:color w:val="FFFFFF" w:themeColor="background1"/>
          <w:sz w:val="36"/>
          <w:szCs w:val="36"/>
          <w:highlight w:val="darkGray"/>
        </w:rPr>
        <w:tab/>
      </w:r>
    </w:p>
    <w:p w14:paraId="06A4FC6C" w14:textId="77777777" w:rsidR="00F050AD" w:rsidRDefault="00F050AD" w:rsidP="00285B91">
      <w:pPr>
        <w:tabs>
          <w:tab w:val="center" w:pos="7200"/>
          <w:tab w:val="right" w:pos="14400"/>
        </w:tabs>
        <w:spacing w:after="0"/>
        <w:rPr>
          <w:color w:val="FFFFFF" w:themeColor="background1"/>
          <w:sz w:val="36"/>
          <w:szCs w:val="36"/>
        </w:rPr>
      </w:pPr>
    </w:p>
    <w:p w14:paraId="5A84FD70" w14:textId="2D5B776D" w:rsidR="00F050AD" w:rsidRDefault="00D00C42" w:rsidP="00346259">
      <w:pPr>
        <w:tabs>
          <w:tab w:val="center" w:pos="7200"/>
          <w:tab w:val="right" w:pos="14400"/>
        </w:tabs>
        <w:spacing w:after="0" w:line="240" w:lineRule="auto"/>
        <w:rPr>
          <w:b/>
          <w:color w:val="FFFFFF" w:themeColor="background1"/>
          <w:sz w:val="28"/>
          <w:szCs w:val="28"/>
          <w:highlight w:val="darkGray"/>
        </w:rPr>
      </w:pPr>
      <w:r>
        <w:rPr>
          <w:b/>
          <w:color w:val="FFFFFF" w:themeColor="background1"/>
          <w:sz w:val="28"/>
          <w:szCs w:val="28"/>
          <w:highlight w:val="darkGray"/>
        </w:rPr>
        <w:tab/>
      </w:r>
      <w:r w:rsidR="00F050AD" w:rsidRPr="00346259">
        <w:rPr>
          <w:b/>
          <w:color w:val="FFFFFF" w:themeColor="background1"/>
          <w:sz w:val="28"/>
          <w:szCs w:val="28"/>
          <w:highlight w:val="darkGray"/>
        </w:rPr>
        <w:t>Executive Summary</w:t>
      </w:r>
      <w:r>
        <w:rPr>
          <w:b/>
          <w:color w:val="FFFFFF" w:themeColor="background1"/>
          <w:sz w:val="28"/>
          <w:szCs w:val="28"/>
          <w:highlight w:val="darkGray"/>
        </w:rPr>
        <w:tab/>
      </w:r>
    </w:p>
    <w:p w14:paraId="58095712" w14:textId="77777777" w:rsidR="00D00C42" w:rsidRDefault="00D00C42" w:rsidP="00346259">
      <w:pPr>
        <w:tabs>
          <w:tab w:val="center" w:pos="7200"/>
          <w:tab w:val="right" w:pos="14400"/>
        </w:tabs>
        <w:spacing w:after="0" w:line="240" w:lineRule="auto"/>
        <w:rPr>
          <w:b/>
          <w:color w:val="FFFFFF" w:themeColor="background1"/>
          <w:sz w:val="28"/>
          <w:szCs w:val="28"/>
          <w:highlight w:val="darkGray"/>
        </w:rPr>
      </w:pPr>
    </w:p>
    <w:p w14:paraId="6DB1B765" w14:textId="3395E64B" w:rsidR="008E24D8" w:rsidRPr="008E24D8" w:rsidRDefault="008E24D8" w:rsidP="008E24D8">
      <w:pPr>
        <w:pStyle w:val="NoSpacing"/>
        <w:jc w:val="both"/>
        <w:rPr>
          <w:b/>
        </w:rPr>
      </w:pPr>
      <w:r w:rsidRPr="008E24D8">
        <w:rPr>
          <w:b/>
        </w:rPr>
        <w:t>Business Overview</w:t>
      </w:r>
    </w:p>
    <w:p w14:paraId="7B3A586C" w14:textId="77777777" w:rsidR="008E24D8" w:rsidRPr="00346259" w:rsidRDefault="008E24D8" w:rsidP="00346259">
      <w:pPr>
        <w:tabs>
          <w:tab w:val="center" w:pos="7200"/>
          <w:tab w:val="right" w:pos="14400"/>
        </w:tabs>
        <w:spacing w:after="0" w:line="240" w:lineRule="auto"/>
        <w:rPr>
          <w:b/>
          <w:color w:val="FFFFFF" w:themeColor="background1"/>
          <w:sz w:val="28"/>
          <w:szCs w:val="28"/>
          <w:highlight w:val="darkGray"/>
        </w:rPr>
      </w:pPr>
    </w:p>
    <w:tbl>
      <w:tblPr>
        <w:tblStyle w:val="TableGrid"/>
        <w:tblW w:w="0" w:type="auto"/>
        <w:tblLook w:val="04A0" w:firstRow="1" w:lastRow="0" w:firstColumn="1" w:lastColumn="0" w:noHBand="0" w:noVBand="1"/>
      </w:tblPr>
      <w:tblGrid>
        <w:gridCol w:w="7195"/>
        <w:gridCol w:w="7195"/>
      </w:tblGrid>
      <w:tr w:rsidR="00661F8E" w14:paraId="31C57731" w14:textId="77777777" w:rsidTr="005720C1">
        <w:tc>
          <w:tcPr>
            <w:tcW w:w="7195" w:type="dxa"/>
          </w:tcPr>
          <w:p w14:paraId="4F71017D" w14:textId="77777777" w:rsidR="00661F8E" w:rsidRDefault="00661F8E" w:rsidP="005720C1">
            <w:pPr>
              <w:pStyle w:val="NoSpacing"/>
              <w:jc w:val="both"/>
            </w:pPr>
            <w:r>
              <w:t>Business Name</w:t>
            </w:r>
          </w:p>
        </w:tc>
        <w:tc>
          <w:tcPr>
            <w:tcW w:w="7195" w:type="dxa"/>
          </w:tcPr>
          <w:p w14:paraId="3D52EFC7" w14:textId="0AF96CFB" w:rsidR="00661F8E" w:rsidRDefault="005372D5" w:rsidP="005720C1">
            <w:pPr>
              <w:pStyle w:val="NoSpacing"/>
              <w:jc w:val="both"/>
            </w:pPr>
            <w:r>
              <w:t>Verizon Communications Inc.</w:t>
            </w:r>
          </w:p>
        </w:tc>
      </w:tr>
      <w:tr w:rsidR="00661F8E" w14:paraId="1DC811D9" w14:textId="77777777" w:rsidTr="005720C1">
        <w:tc>
          <w:tcPr>
            <w:tcW w:w="7195" w:type="dxa"/>
          </w:tcPr>
          <w:p w14:paraId="7F7A5ABA" w14:textId="77777777" w:rsidR="00661F8E" w:rsidRDefault="00661F8E" w:rsidP="005720C1">
            <w:pPr>
              <w:pStyle w:val="NoSpacing"/>
              <w:jc w:val="both"/>
            </w:pPr>
            <w:r>
              <w:t>Business Structure/Public or Private</w:t>
            </w:r>
          </w:p>
        </w:tc>
        <w:tc>
          <w:tcPr>
            <w:tcW w:w="7195" w:type="dxa"/>
          </w:tcPr>
          <w:p w14:paraId="13F7A029" w14:textId="570C9209" w:rsidR="00661F8E" w:rsidRDefault="00606511" w:rsidP="005720C1">
            <w:pPr>
              <w:pStyle w:val="NoSpacing"/>
              <w:jc w:val="both"/>
            </w:pPr>
            <w:r>
              <w:t>Corporation/Public (NYSE</w:t>
            </w:r>
            <w:r w:rsidRPr="006332A0">
              <w:t xml:space="preserve">: </w:t>
            </w:r>
            <w:r>
              <w:t>VZ)</w:t>
            </w:r>
          </w:p>
        </w:tc>
      </w:tr>
      <w:tr w:rsidR="00661F8E" w14:paraId="30C6D266" w14:textId="77777777" w:rsidTr="005720C1">
        <w:tc>
          <w:tcPr>
            <w:tcW w:w="7195" w:type="dxa"/>
          </w:tcPr>
          <w:p w14:paraId="1F617A37" w14:textId="77777777" w:rsidR="00661F8E" w:rsidRDefault="00661F8E" w:rsidP="005720C1">
            <w:pPr>
              <w:pStyle w:val="NoSpacing"/>
              <w:jc w:val="both"/>
            </w:pPr>
            <w:r>
              <w:t>Industry</w:t>
            </w:r>
          </w:p>
        </w:tc>
        <w:tc>
          <w:tcPr>
            <w:tcW w:w="7195" w:type="dxa"/>
          </w:tcPr>
          <w:p w14:paraId="799A5549" w14:textId="6E6410C4" w:rsidR="00661F8E" w:rsidRDefault="00FB46B0" w:rsidP="005720C1">
            <w:pPr>
              <w:pStyle w:val="NoSpacing"/>
              <w:jc w:val="both"/>
            </w:pPr>
            <w:r>
              <w:t>Communication</w:t>
            </w:r>
          </w:p>
        </w:tc>
      </w:tr>
      <w:tr w:rsidR="00661F8E" w14:paraId="2E7B94B4" w14:textId="77777777" w:rsidTr="005720C1">
        <w:tc>
          <w:tcPr>
            <w:tcW w:w="7195" w:type="dxa"/>
          </w:tcPr>
          <w:p w14:paraId="184E880F" w14:textId="77777777" w:rsidR="00661F8E" w:rsidRDefault="00661F8E" w:rsidP="005720C1">
            <w:pPr>
              <w:pStyle w:val="NoSpacing"/>
              <w:jc w:val="both"/>
            </w:pPr>
            <w:r>
              <w:t>Headquarters</w:t>
            </w:r>
          </w:p>
        </w:tc>
        <w:tc>
          <w:tcPr>
            <w:tcW w:w="7195" w:type="dxa"/>
          </w:tcPr>
          <w:p w14:paraId="17C6536F" w14:textId="3E463794" w:rsidR="00661F8E" w:rsidRDefault="00FB46B0" w:rsidP="005720C1">
            <w:pPr>
              <w:pStyle w:val="NoSpacing"/>
              <w:jc w:val="both"/>
            </w:pPr>
            <w:r>
              <w:t>New York</w:t>
            </w:r>
          </w:p>
        </w:tc>
      </w:tr>
      <w:tr w:rsidR="00E26A28" w14:paraId="55EE29E5" w14:textId="77777777" w:rsidTr="005720C1">
        <w:tc>
          <w:tcPr>
            <w:tcW w:w="7195" w:type="dxa"/>
          </w:tcPr>
          <w:p w14:paraId="2AEB5749" w14:textId="1ECA5DA6" w:rsidR="00E26A28" w:rsidRDefault="00E26A28" w:rsidP="00E26A28">
            <w:pPr>
              <w:pStyle w:val="NoSpacing"/>
              <w:jc w:val="both"/>
            </w:pPr>
            <w:r>
              <w:t>Year Established</w:t>
            </w:r>
          </w:p>
        </w:tc>
        <w:tc>
          <w:tcPr>
            <w:tcW w:w="7195" w:type="dxa"/>
          </w:tcPr>
          <w:p w14:paraId="218066A2" w14:textId="7A236C47" w:rsidR="00E26A28" w:rsidRDefault="00BE6F40" w:rsidP="00E26A28">
            <w:pPr>
              <w:pStyle w:val="NoSpacing"/>
              <w:jc w:val="both"/>
            </w:pPr>
            <w:r>
              <w:t>1983</w:t>
            </w:r>
          </w:p>
        </w:tc>
      </w:tr>
    </w:tbl>
    <w:p w14:paraId="1F7262A8" w14:textId="69B6CC9F" w:rsidR="000A4C29" w:rsidRPr="00780398" w:rsidRDefault="000A4C29" w:rsidP="000A4C29">
      <w:pPr>
        <w:pStyle w:val="NoSpacing"/>
        <w:jc w:val="both"/>
        <w:rPr>
          <w:bCs/>
          <w:i/>
          <w:iCs/>
        </w:rPr>
      </w:pPr>
      <w:r w:rsidRPr="00E26816">
        <w:rPr>
          <w:b/>
          <w:i/>
          <w:iCs/>
        </w:rPr>
        <w:t>Citation:</w:t>
      </w:r>
      <w:r w:rsidRPr="00780398">
        <w:rPr>
          <w:bCs/>
          <w:i/>
          <w:iCs/>
        </w:rPr>
        <w:t xml:space="preserve"> </w:t>
      </w:r>
      <w:r w:rsidR="00E26816" w:rsidRPr="00E26816">
        <w:rPr>
          <w:bCs/>
          <w:i/>
          <w:iCs/>
        </w:rPr>
        <w:t>Annual Report 10K and Certificate of Incorporation</w:t>
      </w:r>
    </w:p>
    <w:p w14:paraId="27DC4727" w14:textId="3D1E22DC" w:rsidR="00F050AD" w:rsidRDefault="00F050AD" w:rsidP="00285B91">
      <w:pPr>
        <w:tabs>
          <w:tab w:val="center" w:pos="7200"/>
          <w:tab w:val="right" w:pos="14400"/>
        </w:tabs>
        <w:spacing w:after="0"/>
        <w:rPr>
          <w:sz w:val="36"/>
          <w:szCs w:val="36"/>
        </w:rPr>
      </w:pPr>
    </w:p>
    <w:p w14:paraId="783B331B" w14:textId="71C6C2F0" w:rsidR="00CB3994" w:rsidRPr="00CB3994" w:rsidRDefault="00CB3994" w:rsidP="00CB3994">
      <w:pPr>
        <w:pStyle w:val="NoSpacing"/>
        <w:jc w:val="both"/>
        <w:rPr>
          <w:b/>
        </w:rPr>
      </w:pPr>
      <w:r w:rsidRPr="00CB3994">
        <w:rPr>
          <w:b/>
        </w:rPr>
        <w:t>Risk Assessment</w:t>
      </w:r>
    </w:p>
    <w:p w14:paraId="566F61E9" w14:textId="77777777" w:rsidR="00661F8E" w:rsidRPr="00661F8E" w:rsidRDefault="00661F8E" w:rsidP="008E24D8">
      <w:pPr>
        <w:pStyle w:val="NoSpacing"/>
        <w:jc w:val="both"/>
        <w:rPr>
          <w:b/>
          <w:sz w:val="28"/>
          <w:szCs w:val="28"/>
        </w:rPr>
      </w:pPr>
      <w:r w:rsidRPr="008E24D8">
        <w:rPr>
          <w:b/>
        </w:rPr>
        <w:t>Overall Risk Assessment Summary</w:t>
      </w:r>
      <w:r w:rsidRPr="00661F8E">
        <w:rPr>
          <w:b/>
          <w:sz w:val="28"/>
          <w:szCs w:val="28"/>
        </w:rPr>
        <w:tab/>
      </w:r>
    </w:p>
    <w:p w14:paraId="0A0C1BA3" w14:textId="77777777" w:rsidR="00661F8E" w:rsidRDefault="00661F8E" w:rsidP="00661F8E">
      <w:pPr>
        <w:spacing w:after="0" w:line="240" w:lineRule="auto"/>
        <w:rPr>
          <w:b/>
          <w:u w:val="single"/>
        </w:rPr>
      </w:pPr>
    </w:p>
    <w:p w14:paraId="3117EBBB" w14:textId="77777777" w:rsidR="00A2439F" w:rsidRDefault="00A2439F" w:rsidP="00A2439F">
      <w:pPr>
        <w:pStyle w:val="NoSpacing"/>
        <w:numPr>
          <w:ilvl w:val="0"/>
          <w:numId w:val="40"/>
        </w:numPr>
        <w:spacing w:after="60"/>
        <w:jc w:val="both"/>
        <w:rPr>
          <w:noProof/>
        </w:rPr>
      </w:pPr>
      <w:r>
        <w:rPr>
          <w:noProof/>
        </w:rPr>
        <w:t xml:space="preserve">Verizon’s financial profile is underpinned by sound profitability along with its leadership position in the wireless communications segment.  Its attractive margins and robust business model support favorable risk assessment. </w:t>
      </w:r>
    </w:p>
    <w:p w14:paraId="7DBB30C2" w14:textId="77777777" w:rsidR="00A2439F" w:rsidRDefault="00A2439F" w:rsidP="00A2439F">
      <w:pPr>
        <w:pStyle w:val="NoSpacing"/>
        <w:numPr>
          <w:ilvl w:val="0"/>
          <w:numId w:val="40"/>
        </w:numPr>
        <w:spacing w:after="60"/>
        <w:jc w:val="both"/>
        <w:rPr>
          <w:noProof/>
        </w:rPr>
      </w:pPr>
      <w:r>
        <w:rPr>
          <w:noProof/>
        </w:rPr>
        <w:t xml:space="preserve">These positives are offset by a highly competitive industry, constant requirement of capital expenditure owing to nature of business and moderate leverage profile. </w:t>
      </w:r>
    </w:p>
    <w:p w14:paraId="114A7BCA" w14:textId="77777777" w:rsidR="00A2439F" w:rsidRDefault="00A2439F" w:rsidP="00A2439F">
      <w:pPr>
        <w:pStyle w:val="NoSpacing"/>
        <w:numPr>
          <w:ilvl w:val="0"/>
          <w:numId w:val="40"/>
        </w:numPr>
        <w:spacing w:after="60"/>
        <w:jc w:val="both"/>
        <w:rPr>
          <w:noProof/>
        </w:rPr>
      </w:pPr>
      <w:r>
        <w:rPr>
          <w:noProof/>
        </w:rPr>
        <w:t xml:space="preserve">Free cash flows are expected to improve in coming quarters owing to lower capital expenditure requirements as compared to previous years after its 5G rollout, along with focus on improving operational efficiency. </w:t>
      </w:r>
    </w:p>
    <w:p w14:paraId="3F8004C9" w14:textId="3B3F350D" w:rsidR="00661F8E" w:rsidRPr="00AF4319" w:rsidRDefault="00A2439F" w:rsidP="00A2439F">
      <w:pPr>
        <w:pStyle w:val="NoSpacing"/>
        <w:numPr>
          <w:ilvl w:val="0"/>
          <w:numId w:val="40"/>
        </w:numPr>
        <w:spacing w:after="60"/>
        <w:jc w:val="both"/>
        <w:rPr>
          <w:noProof/>
        </w:rPr>
      </w:pPr>
      <w:r>
        <w:rPr>
          <w:noProof/>
        </w:rPr>
        <w:t>The Company also has good liquidity profile owing to a decent cash balance and ample access to various credit facilities, if needed</w:t>
      </w:r>
      <w:r w:rsidR="00D9427F">
        <w:rPr>
          <w:noProof/>
        </w:rPr>
        <w:t>.</w:t>
      </w:r>
    </w:p>
    <w:p w14:paraId="2D447B19" w14:textId="77777777" w:rsidR="00661F8E" w:rsidRDefault="00661F8E" w:rsidP="00661F8E">
      <w:pPr>
        <w:spacing w:after="0" w:line="240" w:lineRule="auto"/>
        <w:rPr>
          <w:b/>
          <w:u w:val="single"/>
        </w:rPr>
      </w:pPr>
    </w:p>
    <w:p w14:paraId="37332D06" w14:textId="77777777" w:rsidR="00661F8E" w:rsidRDefault="00661F8E" w:rsidP="00661F8E">
      <w:pPr>
        <w:spacing w:after="0" w:line="240" w:lineRule="auto"/>
        <w:rPr>
          <w:b/>
          <w:u w:val="single"/>
        </w:rPr>
      </w:pPr>
    </w:p>
    <w:p w14:paraId="415308D6" w14:textId="3C4AF076" w:rsidR="00661F8E" w:rsidRPr="00892881" w:rsidRDefault="00661F8E" w:rsidP="008E24D8">
      <w:pPr>
        <w:pStyle w:val="NoSpacing"/>
        <w:jc w:val="both"/>
        <w:rPr>
          <w:b/>
          <w:color w:val="FFFFFF" w:themeColor="background1"/>
          <w:sz w:val="28"/>
          <w:szCs w:val="28"/>
        </w:rPr>
      </w:pPr>
      <w:r w:rsidRPr="008E24D8">
        <w:rPr>
          <w:b/>
        </w:rPr>
        <w:t>Credit Limit</w:t>
      </w:r>
      <w:r w:rsidRPr="00661F8E">
        <w:rPr>
          <w:b/>
          <w:sz w:val="28"/>
          <w:szCs w:val="28"/>
        </w:rPr>
        <w:tab/>
      </w:r>
    </w:p>
    <w:p w14:paraId="2986C26D" w14:textId="77777777" w:rsidR="00661F8E" w:rsidRDefault="00661F8E" w:rsidP="00661F8E">
      <w:pPr>
        <w:spacing w:after="0" w:line="240" w:lineRule="auto"/>
        <w:rPr>
          <w:b/>
          <w:u w:val="single"/>
        </w:rPr>
      </w:pPr>
    </w:p>
    <w:p w14:paraId="31DD8A6B" w14:textId="08DEEC54" w:rsidR="00661F8E" w:rsidRDefault="006D4420" w:rsidP="00661F8E">
      <w:pPr>
        <w:spacing w:after="0" w:line="240" w:lineRule="auto"/>
      </w:pPr>
      <w:r w:rsidRPr="006D4420">
        <w:t>We recommend renewing credit limit of Verizon based on its resilient business model and market leadership</w:t>
      </w:r>
      <w:r w:rsidR="00661F8E">
        <w:t xml:space="preserve">. </w:t>
      </w:r>
    </w:p>
    <w:p w14:paraId="47C76D65" w14:textId="77777777" w:rsidR="00CB3994" w:rsidRDefault="00CB3994" w:rsidP="000465C3">
      <w:pPr>
        <w:tabs>
          <w:tab w:val="center" w:pos="7200"/>
          <w:tab w:val="right" w:pos="14400"/>
        </w:tabs>
        <w:spacing w:after="0" w:line="240" w:lineRule="auto"/>
        <w:rPr>
          <w:b/>
          <w:color w:val="FFFFFF" w:themeColor="background1"/>
          <w:sz w:val="28"/>
          <w:szCs w:val="28"/>
          <w:highlight w:val="darkGray"/>
        </w:rPr>
      </w:pPr>
    </w:p>
    <w:p w14:paraId="7B118841" w14:textId="2792DA24" w:rsidR="00E36526" w:rsidRPr="001E7BF8" w:rsidRDefault="003A0EAA" w:rsidP="000465C3">
      <w:pPr>
        <w:tabs>
          <w:tab w:val="center" w:pos="7200"/>
          <w:tab w:val="right" w:pos="14400"/>
        </w:tabs>
        <w:spacing w:after="0" w:line="240" w:lineRule="auto"/>
        <w:rPr>
          <w:b/>
          <w:color w:val="FFFFFF" w:themeColor="background1"/>
          <w:sz w:val="28"/>
          <w:szCs w:val="28"/>
          <w:highlight w:val="darkGray"/>
        </w:rPr>
      </w:pPr>
      <w:r>
        <w:rPr>
          <w:b/>
          <w:color w:val="FFFFFF" w:themeColor="background1"/>
          <w:sz w:val="28"/>
          <w:szCs w:val="28"/>
          <w:highlight w:val="darkGray"/>
        </w:rPr>
        <w:lastRenderedPageBreak/>
        <w:tab/>
      </w:r>
      <w:r w:rsidR="00E36526" w:rsidRPr="001E7BF8">
        <w:rPr>
          <w:b/>
          <w:color w:val="FFFFFF" w:themeColor="background1"/>
          <w:sz w:val="28"/>
          <w:szCs w:val="28"/>
          <w:highlight w:val="darkGray"/>
        </w:rPr>
        <w:t>Borrower Information:</w:t>
      </w:r>
      <w:r w:rsidR="000465C3">
        <w:rPr>
          <w:b/>
          <w:color w:val="FFFFFF" w:themeColor="background1"/>
          <w:sz w:val="28"/>
          <w:szCs w:val="28"/>
          <w:highlight w:val="darkGray"/>
        </w:rPr>
        <w:tab/>
      </w:r>
    </w:p>
    <w:p w14:paraId="755A3236" w14:textId="77777777" w:rsidR="00DF3456" w:rsidRDefault="00DF3456" w:rsidP="000102A3">
      <w:pPr>
        <w:pStyle w:val="NoSpacing"/>
        <w:jc w:val="both"/>
        <w:rPr>
          <w:b/>
          <w:u w:val="single"/>
        </w:rPr>
      </w:pPr>
    </w:p>
    <w:p w14:paraId="13D90759" w14:textId="77777777" w:rsidR="00886796" w:rsidRDefault="00D5714B" w:rsidP="000102A3">
      <w:pPr>
        <w:pStyle w:val="NoSpacing"/>
        <w:jc w:val="both"/>
        <w:rPr>
          <w:b/>
        </w:rPr>
      </w:pPr>
      <w:r>
        <w:rPr>
          <w:b/>
        </w:rPr>
        <w:t xml:space="preserve">Business Profile: </w:t>
      </w:r>
    </w:p>
    <w:p w14:paraId="25B1551A" w14:textId="073F8654" w:rsidR="00A65B0A" w:rsidRDefault="00A65B0A" w:rsidP="00A65B0A">
      <w:pPr>
        <w:pStyle w:val="NoSpacing"/>
        <w:jc w:val="both"/>
      </w:pPr>
      <w:r w:rsidRPr="00127188">
        <w:t xml:space="preserve">Verizon </w:t>
      </w:r>
      <w:r w:rsidR="00C92700">
        <w:t xml:space="preserve">Communications Inc. (“Verizon”) </w:t>
      </w:r>
      <w:r w:rsidRPr="00127188">
        <w:t>is one of the world’s leading providers of communications, technology, information and entertainment products and services to consumers, businesses and government entities. With a presence around the world, it offers data, video and voice services and solutions on networks and platforms that are designed to meet customers’ demand for mobility, reliable network connectivity and security.</w:t>
      </w:r>
      <w:r>
        <w:t xml:space="preserve"> </w:t>
      </w:r>
      <w:r w:rsidRPr="00127188">
        <w:t xml:space="preserve">The company had a customer base of 144.7 million as of Sep 2024 within the wireless segment, with about 86% being postpaid customers. Average revenue per account (ARPA) from postpaid has been steadily rising </w:t>
      </w:r>
      <w:r>
        <w:t xml:space="preserve">and </w:t>
      </w:r>
      <w:r w:rsidRPr="00127188">
        <w:t>the company accounts for approximately 40% of the market share within the total wireless segment, with its direct competitors (namely, AT&amp;T and T-Mobile) accounting for majority of the rest.</w:t>
      </w:r>
    </w:p>
    <w:p w14:paraId="09AC7E2D" w14:textId="65356F43" w:rsidR="006A700E" w:rsidRDefault="006A700E" w:rsidP="00A65B0A">
      <w:pPr>
        <w:pStyle w:val="NoSpacing"/>
        <w:jc w:val="both"/>
      </w:pPr>
      <w:r w:rsidRPr="006A700E">
        <w:t>Verizon's operating segments are as below:</w:t>
      </w:r>
    </w:p>
    <w:p w14:paraId="1F1A7DF8" w14:textId="77777777" w:rsidR="00A65B0A" w:rsidRDefault="00A65B0A" w:rsidP="00A65B0A">
      <w:pPr>
        <w:pStyle w:val="NoSpacing"/>
        <w:jc w:val="both"/>
      </w:pPr>
    </w:p>
    <w:p w14:paraId="565F5D6C" w14:textId="77777777" w:rsidR="00A65B0A" w:rsidRDefault="00A65B0A" w:rsidP="00A65B0A">
      <w:pPr>
        <w:pStyle w:val="NoSpacing"/>
        <w:tabs>
          <w:tab w:val="left" w:pos="6360"/>
        </w:tabs>
        <w:jc w:val="both"/>
      </w:pPr>
      <w:r w:rsidRPr="00127188">
        <w:rPr>
          <w:b/>
          <w:bCs/>
        </w:rPr>
        <w:t>Verizon Consumer Group</w:t>
      </w:r>
      <w:r w:rsidRPr="00127188">
        <w:t>: Consumer segment provides consumer-focused wireless and wireline communications services and products</w:t>
      </w:r>
      <w:r>
        <w:t>.</w:t>
      </w:r>
      <w:r>
        <w:tab/>
      </w:r>
      <w:r w:rsidRPr="00127188">
        <w:t>For 9M ended Sep 2024, the Consumer segment revenues were $75.3 billion, representing approximately 76% of Verizon’s consolidated revenues.</w:t>
      </w:r>
      <w:r w:rsidRPr="00D01A05">
        <w:t xml:space="preserve"> It also includes fixed wireless access (FWA) broadband through 5G or 4G LTE networks as an alternative to traditional landline internet access</w:t>
      </w:r>
      <w:r>
        <w:t>.</w:t>
      </w:r>
      <w:r w:rsidRPr="00127188">
        <w:t xml:space="preserve"> As of Sep 2024, Consumer</w:t>
      </w:r>
      <w:r>
        <w:t xml:space="preserve"> segment</w:t>
      </w:r>
      <w:r w:rsidRPr="00127188">
        <w:t xml:space="preserve"> had approximately 114.2 million wireless retail connections. In addition, as of Sep 2024, Consumer</w:t>
      </w:r>
      <w:r>
        <w:t xml:space="preserve"> segment</w:t>
      </w:r>
      <w:r w:rsidRPr="00127188">
        <w:t xml:space="preserve"> had approximately 9.7 million total broadband connections (which includes Fios internet, Digital Subscriber Line (DSL) and FWA connections), and approximately 2.8 million Fios video connections.</w:t>
      </w:r>
    </w:p>
    <w:p w14:paraId="238FD945" w14:textId="77777777" w:rsidR="00A65B0A" w:rsidRDefault="00A65B0A" w:rsidP="00A65B0A">
      <w:pPr>
        <w:pStyle w:val="NoSpacing"/>
        <w:tabs>
          <w:tab w:val="left" w:pos="6360"/>
        </w:tabs>
        <w:jc w:val="both"/>
      </w:pPr>
    </w:p>
    <w:p w14:paraId="608EE828" w14:textId="77777777" w:rsidR="00A65B0A" w:rsidRDefault="00A65B0A" w:rsidP="00A65B0A">
      <w:pPr>
        <w:pStyle w:val="NoSpacing"/>
        <w:tabs>
          <w:tab w:val="left" w:pos="6360"/>
        </w:tabs>
        <w:jc w:val="both"/>
      </w:pPr>
      <w:r w:rsidRPr="00127188">
        <w:rPr>
          <w:b/>
          <w:bCs/>
        </w:rPr>
        <w:t xml:space="preserve">Verizon Business Group: </w:t>
      </w:r>
      <w:r w:rsidRPr="00127188">
        <w:t>The Business segment provides wireless and wireline communications services and products</w:t>
      </w:r>
      <w:r>
        <w:t xml:space="preserve">. </w:t>
      </w:r>
      <w:r w:rsidRPr="00127188">
        <w:t>These products and services are provided to businesses, government customers and wireless and wireline carriers across the U.S. and a subset of these products and services to customers around the world. The Business segment's operating revenues for 9M ended Sep 2024, totaled $22.1 billion, a decrease of 3.1%, compared to same period in previous year. The business segment accounted for approximately 22.2% of Verizon’s consolidated revenues for the same period.</w:t>
      </w:r>
    </w:p>
    <w:p w14:paraId="656D3A4B" w14:textId="77777777" w:rsidR="00A65B0A" w:rsidRDefault="00A65B0A" w:rsidP="00A65B0A">
      <w:pPr>
        <w:pStyle w:val="NoSpacing"/>
        <w:tabs>
          <w:tab w:val="left" w:pos="6360"/>
        </w:tabs>
        <w:jc w:val="both"/>
      </w:pPr>
    </w:p>
    <w:p w14:paraId="27B540F2" w14:textId="2A624170" w:rsidR="00D5714B" w:rsidRDefault="00A65B0A" w:rsidP="00A65B0A">
      <w:pPr>
        <w:spacing w:line="240" w:lineRule="auto"/>
        <w:jc w:val="both"/>
      </w:pPr>
      <w:r w:rsidRPr="00127188">
        <w:rPr>
          <w:b/>
          <w:bCs/>
        </w:rPr>
        <w:t>Corporate and Other:</w:t>
      </w:r>
      <w:r w:rsidRPr="00127188">
        <w:t xml:space="preserve"> Corporate and other primarily includes device insurance programs, investments in unconsolidated businesses and development stage businesses that support strategic initiatives, as well as unallocated corporate expenses, certain pension and other employee benefit related costs and interest and financing expenses</w:t>
      </w:r>
      <w:r>
        <w:t>.</w:t>
      </w:r>
      <w:r w:rsidR="00D5714B">
        <w:t xml:space="preserve"> </w:t>
      </w:r>
    </w:p>
    <w:p w14:paraId="412D37DC" w14:textId="6B5699C5" w:rsidR="00CA141D" w:rsidRDefault="00CA141D" w:rsidP="00CA2889">
      <w:pPr>
        <w:spacing w:after="0" w:line="240" w:lineRule="auto"/>
        <w:rPr>
          <w:rStyle w:val="Hyperlink"/>
        </w:rPr>
      </w:pPr>
      <w:r w:rsidRPr="00C92986">
        <w:rPr>
          <w:b/>
          <w:bCs/>
          <w:i/>
          <w:iCs/>
        </w:rPr>
        <w:t xml:space="preserve">Citation: </w:t>
      </w:r>
      <w:r w:rsidR="006E78A2">
        <w:t xml:space="preserve">Annual Report 10K. 3Q Earnings Presentation, 3Q Earnings Infographic, </w:t>
      </w:r>
      <w:hyperlink r:id="rId8" w:history="1">
        <w:r w:rsidR="006E78A2" w:rsidRPr="00127188">
          <w:rPr>
            <w:rStyle w:val="Hyperlink"/>
          </w:rPr>
          <w:t>Verizon points to FWA as mobile service revenues grow</w:t>
        </w:r>
      </w:hyperlink>
    </w:p>
    <w:p w14:paraId="0BD3F042" w14:textId="77777777" w:rsidR="006E78A2" w:rsidRDefault="006E78A2" w:rsidP="00CA2889">
      <w:pPr>
        <w:spacing w:after="0" w:line="240" w:lineRule="auto"/>
        <w:rPr>
          <w:b/>
          <w:bCs/>
          <w:i/>
          <w:iCs/>
          <w:u w:val="single"/>
        </w:rPr>
      </w:pPr>
    </w:p>
    <w:p w14:paraId="351E3F13" w14:textId="4A051CC3" w:rsidR="00CA2889" w:rsidRDefault="00CA2889" w:rsidP="00CA2889">
      <w:pPr>
        <w:spacing w:after="0" w:line="240" w:lineRule="auto"/>
        <w:rPr>
          <w:b/>
          <w:bCs/>
          <w:u w:val="single"/>
        </w:rPr>
      </w:pPr>
      <w:r w:rsidRPr="00A019D6">
        <w:rPr>
          <w:b/>
          <w:bCs/>
          <w:u w:val="single"/>
        </w:rPr>
        <w:t xml:space="preserve">Operating </w:t>
      </w:r>
      <w:r>
        <w:rPr>
          <w:b/>
          <w:bCs/>
          <w:u w:val="single"/>
        </w:rPr>
        <w:t>Segments:</w:t>
      </w:r>
    </w:p>
    <w:tbl>
      <w:tblPr>
        <w:tblStyle w:val="PlainTable1"/>
        <w:tblW w:w="0" w:type="auto"/>
        <w:tblLook w:val="04A0" w:firstRow="1" w:lastRow="0" w:firstColumn="1" w:lastColumn="0" w:noHBand="0" w:noVBand="1"/>
      </w:tblPr>
      <w:tblGrid>
        <w:gridCol w:w="5935"/>
      </w:tblGrid>
      <w:tr w:rsidR="00D228FB" w14:paraId="4F90FFED" w14:textId="77777777" w:rsidTr="0046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49854074" w14:textId="5E399534" w:rsidR="00D228FB" w:rsidRDefault="00D228FB" w:rsidP="00D228FB">
            <w:pPr>
              <w:spacing w:after="0" w:line="240" w:lineRule="auto"/>
            </w:pPr>
            <w:r>
              <w:t>Verizon Consumer Group</w:t>
            </w:r>
          </w:p>
        </w:tc>
      </w:tr>
      <w:tr w:rsidR="00D228FB" w14:paraId="70E51AC3" w14:textId="77777777" w:rsidTr="0046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1EBABB81" w14:textId="621DC714" w:rsidR="00D228FB" w:rsidRDefault="00D228FB" w:rsidP="00D228FB">
            <w:pPr>
              <w:spacing w:after="0" w:line="240" w:lineRule="auto"/>
            </w:pPr>
            <w:r>
              <w:t>Verizon Business Group</w:t>
            </w:r>
          </w:p>
        </w:tc>
      </w:tr>
      <w:tr w:rsidR="00D228FB" w14:paraId="5385463A" w14:textId="77777777" w:rsidTr="00464DC2">
        <w:tc>
          <w:tcPr>
            <w:cnfStyle w:val="001000000000" w:firstRow="0" w:lastRow="0" w:firstColumn="1" w:lastColumn="0" w:oddVBand="0" w:evenVBand="0" w:oddHBand="0" w:evenHBand="0" w:firstRowFirstColumn="0" w:firstRowLastColumn="0" w:lastRowFirstColumn="0" w:lastRowLastColumn="0"/>
            <w:tcW w:w="5935" w:type="dxa"/>
          </w:tcPr>
          <w:p w14:paraId="2387422F" w14:textId="2B6B2647" w:rsidR="00D228FB" w:rsidRDefault="00D228FB" w:rsidP="00D228FB">
            <w:pPr>
              <w:spacing w:after="0" w:line="240" w:lineRule="auto"/>
            </w:pPr>
            <w:r>
              <w:t>Corporate and other</w:t>
            </w:r>
          </w:p>
        </w:tc>
      </w:tr>
    </w:tbl>
    <w:p w14:paraId="1DA69731" w14:textId="27D6EE48" w:rsidR="00CA141D" w:rsidRDefault="00CA141D" w:rsidP="009E738D">
      <w:pPr>
        <w:tabs>
          <w:tab w:val="center" w:pos="7200"/>
          <w:tab w:val="left" w:pos="12740"/>
          <w:tab w:val="right" w:pos="14400"/>
        </w:tabs>
        <w:spacing w:after="0" w:line="240" w:lineRule="auto"/>
        <w:jc w:val="both"/>
        <w:rPr>
          <w:bCs/>
          <w:i/>
          <w:iCs/>
        </w:rPr>
      </w:pPr>
      <w:r w:rsidRPr="00C92986">
        <w:rPr>
          <w:b/>
          <w:bCs/>
          <w:i/>
          <w:iCs/>
        </w:rPr>
        <w:t xml:space="preserve">Citation: </w:t>
      </w:r>
      <w:r w:rsidR="002029B5" w:rsidRPr="00B62126">
        <w:rPr>
          <w:bCs/>
          <w:i/>
          <w:iCs/>
        </w:rPr>
        <w:t>Annual Report 10K and FS_3Q24</w:t>
      </w:r>
    </w:p>
    <w:p w14:paraId="5695860F" w14:textId="77777777" w:rsidR="00CA141D" w:rsidRDefault="00CA141D" w:rsidP="009E738D">
      <w:pPr>
        <w:tabs>
          <w:tab w:val="center" w:pos="7200"/>
          <w:tab w:val="left" w:pos="12740"/>
          <w:tab w:val="right" w:pos="14400"/>
        </w:tabs>
        <w:spacing w:after="0" w:line="240" w:lineRule="auto"/>
        <w:jc w:val="both"/>
        <w:rPr>
          <w:bCs/>
          <w:i/>
          <w:iCs/>
        </w:rPr>
      </w:pPr>
    </w:p>
    <w:p w14:paraId="749F4095" w14:textId="77777777" w:rsidR="007726CB" w:rsidRPr="007726CB" w:rsidRDefault="007726CB" w:rsidP="009E738D">
      <w:pPr>
        <w:tabs>
          <w:tab w:val="center" w:pos="7200"/>
          <w:tab w:val="left" w:pos="12740"/>
          <w:tab w:val="right" w:pos="14400"/>
        </w:tabs>
        <w:spacing w:after="0" w:line="240" w:lineRule="auto"/>
        <w:jc w:val="both"/>
        <w:rPr>
          <w:bCs/>
        </w:rPr>
      </w:pPr>
    </w:p>
    <w:p w14:paraId="5256E823" w14:textId="588738A9" w:rsidR="00F028AC" w:rsidRPr="008B0003" w:rsidRDefault="00F028AC" w:rsidP="00CA141D">
      <w:pPr>
        <w:pStyle w:val="NoSpacing"/>
        <w:jc w:val="both"/>
        <w:rPr>
          <w:b/>
          <w:color w:val="FFFFFF" w:themeColor="background1"/>
          <w:sz w:val="28"/>
          <w:szCs w:val="28"/>
        </w:rPr>
      </w:pPr>
      <w:r w:rsidRPr="00CA141D">
        <w:rPr>
          <w:b/>
        </w:rPr>
        <w:t>Shareholding Structure:</w:t>
      </w:r>
      <w:r w:rsidRPr="00135165">
        <w:rPr>
          <w:b/>
          <w:sz w:val="28"/>
          <w:szCs w:val="28"/>
        </w:rPr>
        <w:tab/>
      </w:r>
      <w:r w:rsidRPr="008B0003">
        <w:rPr>
          <w:b/>
          <w:color w:val="FFFFFF" w:themeColor="background1"/>
          <w:sz w:val="28"/>
          <w:szCs w:val="28"/>
        </w:rPr>
        <w:tab/>
      </w:r>
    </w:p>
    <w:p w14:paraId="71FF08F5" w14:textId="77777777" w:rsidR="005F0855" w:rsidRPr="007D21C3" w:rsidRDefault="005F0855" w:rsidP="005F0855">
      <w:pPr>
        <w:pStyle w:val="NoSpacing"/>
        <w:numPr>
          <w:ilvl w:val="0"/>
          <w:numId w:val="28"/>
        </w:numPr>
        <w:jc w:val="both"/>
        <w:rPr>
          <w:b/>
          <w:u w:val="single"/>
        </w:rPr>
      </w:pPr>
      <w:r>
        <w:rPr>
          <w:bCs/>
        </w:rPr>
        <w:t>Institutional Investors – 63.20%</w:t>
      </w:r>
    </w:p>
    <w:p w14:paraId="60078EF2" w14:textId="77777777" w:rsidR="005F0855" w:rsidRDefault="005F0855" w:rsidP="005F0855">
      <w:pPr>
        <w:pStyle w:val="NoSpacing"/>
        <w:numPr>
          <w:ilvl w:val="0"/>
          <w:numId w:val="28"/>
        </w:numPr>
        <w:jc w:val="both"/>
        <w:rPr>
          <w:b/>
          <w:u w:val="single"/>
        </w:rPr>
      </w:pPr>
      <w:r>
        <w:rPr>
          <w:bCs/>
        </w:rPr>
        <w:t>Public and others – 36.80%</w:t>
      </w:r>
    </w:p>
    <w:p w14:paraId="01F08A7D" w14:textId="6A0236D9" w:rsidR="007D21C3" w:rsidRDefault="007D21C3" w:rsidP="005F0855">
      <w:pPr>
        <w:pStyle w:val="NoSpacing"/>
        <w:ind w:left="360"/>
        <w:jc w:val="both"/>
        <w:rPr>
          <w:b/>
          <w:u w:val="single"/>
        </w:rPr>
      </w:pPr>
    </w:p>
    <w:p w14:paraId="309AED8A" w14:textId="77777777" w:rsidR="00813102" w:rsidRDefault="00813102" w:rsidP="00401201">
      <w:pPr>
        <w:pStyle w:val="NoSpacing"/>
        <w:jc w:val="both"/>
        <w:rPr>
          <w:b/>
          <w:u w:val="single"/>
        </w:rPr>
      </w:pPr>
    </w:p>
    <w:p w14:paraId="0961E1B0" w14:textId="77777777" w:rsidR="00D45612" w:rsidRDefault="00E9149D" w:rsidP="00D45612">
      <w:pPr>
        <w:pStyle w:val="NoSpacing"/>
        <w:rPr>
          <w:noProof/>
        </w:rPr>
      </w:pPr>
      <w:r w:rsidRPr="003E3A11">
        <w:rPr>
          <w:b/>
          <w:i/>
          <w:iCs/>
        </w:rPr>
        <w:t>Citation</w:t>
      </w:r>
      <w:r w:rsidR="00E36526" w:rsidRPr="003E3A11">
        <w:rPr>
          <w:b/>
          <w:i/>
          <w:iCs/>
        </w:rPr>
        <w:t>:</w:t>
      </w:r>
      <w:r w:rsidR="00E36526" w:rsidRPr="00DA2626">
        <w:rPr>
          <w:bCs/>
          <w:i/>
          <w:iCs/>
        </w:rPr>
        <w:t xml:space="preserve"> </w:t>
      </w:r>
      <w:hyperlink r:id="rId9" w:history="1">
        <w:r w:rsidR="00D45612" w:rsidRPr="00B62126">
          <w:rPr>
            <w:rStyle w:val="Hyperlink"/>
            <w:i/>
            <w:iCs/>
            <w:noProof/>
          </w:rPr>
          <w:t>Verizon Communications Inc. Common Stock (VZ) Institutional Holdings | Nasdaq</w:t>
        </w:r>
      </w:hyperlink>
    </w:p>
    <w:p w14:paraId="015EF1E4" w14:textId="77777777" w:rsidR="00E36526" w:rsidRDefault="00E36526" w:rsidP="00401201">
      <w:pPr>
        <w:pStyle w:val="NoSpacing"/>
        <w:jc w:val="both"/>
        <w:rPr>
          <w:b/>
          <w:u w:val="single"/>
        </w:rPr>
      </w:pPr>
    </w:p>
    <w:p w14:paraId="4F21D87F" w14:textId="77777777" w:rsidR="00CA141D" w:rsidRDefault="00CA141D" w:rsidP="00CA141D">
      <w:pPr>
        <w:pStyle w:val="NoSpacing"/>
        <w:jc w:val="both"/>
        <w:rPr>
          <w:b/>
        </w:rPr>
      </w:pPr>
    </w:p>
    <w:p w14:paraId="5238F002" w14:textId="10CC3DAF" w:rsidR="00EF5392" w:rsidRPr="00CA141D" w:rsidRDefault="00EF5392" w:rsidP="00CA141D">
      <w:pPr>
        <w:pStyle w:val="NoSpacing"/>
        <w:jc w:val="both"/>
        <w:rPr>
          <w:b/>
        </w:rPr>
      </w:pPr>
      <w:r w:rsidRPr="00CA141D">
        <w:rPr>
          <w:b/>
        </w:rPr>
        <w:t>Key Management Personnel</w:t>
      </w:r>
      <w:r w:rsidRPr="00CA141D">
        <w:rPr>
          <w:b/>
        </w:rPr>
        <w:tab/>
      </w:r>
      <w:r w:rsidRPr="00CA141D">
        <w:rPr>
          <w:b/>
        </w:rPr>
        <w:tab/>
      </w:r>
    </w:p>
    <w:p w14:paraId="6915B231" w14:textId="77777777" w:rsidR="00D5714B" w:rsidRPr="00CA141D" w:rsidRDefault="00D5714B" w:rsidP="00CA141D">
      <w:pPr>
        <w:pStyle w:val="NoSpacing"/>
        <w:jc w:val="both"/>
        <w:rPr>
          <w:b/>
        </w:rPr>
      </w:pPr>
    </w:p>
    <w:tbl>
      <w:tblPr>
        <w:tblStyle w:val="PlainTable1"/>
        <w:tblW w:w="0" w:type="auto"/>
        <w:tblLook w:val="0420" w:firstRow="1" w:lastRow="0" w:firstColumn="0" w:lastColumn="0" w:noHBand="0" w:noVBand="1"/>
      </w:tblPr>
      <w:tblGrid>
        <w:gridCol w:w="7195"/>
        <w:gridCol w:w="3065"/>
      </w:tblGrid>
      <w:tr w:rsidR="00A359CE" w:rsidRPr="00673D3C" w14:paraId="27089F2D" w14:textId="6D275B88" w:rsidTr="00C85E56">
        <w:trPr>
          <w:cnfStyle w:val="100000000000" w:firstRow="1" w:lastRow="0" w:firstColumn="0" w:lastColumn="0" w:oddVBand="0" w:evenVBand="0" w:oddHBand="0" w:evenHBand="0" w:firstRowFirstColumn="0" w:firstRowLastColumn="0" w:lastRowFirstColumn="0" w:lastRowLastColumn="0"/>
        </w:trPr>
        <w:tc>
          <w:tcPr>
            <w:tcW w:w="7195" w:type="dxa"/>
          </w:tcPr>
          <w:p w14:paraId="45FA1BC8" w14:textId="1A08E0DB" w:rsidR="00A359CE" w:rsidRPr="000378AE" w:rsidRDefault="00A359CE" w:rsidP="00A359CE">
            <w:pPr>
              <w:spacing w:after="0" w:line="240" w:lineRule="auto"/>
              <w:rPr>
                <w:b w:val="0"/>
                <w:bCs w:val="0"/>
              </w:rPr>
            </w:pPr>
            <w:r w:rsidRPr="000378AE">
              <w:rPr>
                <w:b w:val="0"/>
                <w:bCs w:val="0"/>
              </w:rPr>
              <w:t>Chairman and Chief Executive Officer</w:t>
            </w:r>
          </w:p>
        </w:tc>
        <w:tc>
          <w:tcPr>
            <w:tcW w:w="3065" w:type="dxa"/>
          </w:tcPr>
          <w:p w14:paraId="19EF655F" w14:textId="1F93793B" w:rsidR="00A359CE" w:rsidRPr="000378AE" w:rsidRDefault="00A359CE" w:rsidP="00A359CE">
            <w:pPr>
              <w:spacing w:after="0" w:line="240" w:lineRule="auto"/>
              <w:rPr>
                <w:b w:val="0"/>
                <w:bCs w:val="0"/>
              </w:rPr>
            </w:pPr>
            <w:r w:rsidRPr="000378AE">
              <w:rPr>
                <w:b w:val="0"/>
                <w:bCs w:val="0"/>
              </w:rPr>
              <w:t>Hans Vestberg</w:t>
            </w:r>
          </w:p>
        </w:tc>
      </w:tr>
      <w:tr w:rsidR="00A359CE" w:rsidRPr="00673D3C" w14:paraId="6936255C" w14:textId="07F7BA20" w:rsidTr="00C85E56">
        <w:trPr>
          <w:cnfStyle w:val="000000100000" w:firstRow="0" w:lastRow="0" w:firstColumn="0" w:lastColumn="0" w:oddVBand="0" w:evenVBand="0" w:oddHBand="1" w:evenHBand="0" w:firstRowFirstColumn="0" w:firstRowLastColumn="0" w:lastRowFirstColumn="0" w:lastRowLastColumn="0"/>
        </w:trPr>
        <w:tc>
          <w:tcPr>
            <w:tcW w:w="7195" w:type="dxa"/>
          </w:tcPr>
          <w:p w14:paraId="780815B8" w14:textId="61A703E7" w:rsidR="00A359CE" w:rsidRPr="000378AE" w:rsidRDefault="00A359CE" w:rsidP="00A359CE">
            <w:pPr>
              <w:spacing w:after="0" w:line="240" w:lineRule="auto"/>
            </w:pPr>
            <w:r w:rsidRPr="000378AE">
              <w:t>Executive Vice President and Chief Human Resources Office</w:t>
            </w:r>
          </w:p>
        </w:tc>
        <w:tc>
          <w:tcPr>
            <w:tcW w:w="3065" w:type="dxa"/>
          </w:tcPr>
          <w:p w14:paraId="45AC20FC" w14:textId="779E7F88" w:rsidR="00A359CE" w:rsidRPr="000378AE" w:rsidRDefault="00A359CE" w:rsidP="00A359CE">
            <w:pPr>
              <w:spacing w:after="0" w:line="240" w:lineRule="auto"/>
            </w:pPr>
            <w:r w:rsidRPr="000378AE">
              <w:t>Samantha Hammock</w:t>
            </w:r>
          </w:p>
        </w:tc>
      </w:tr>
      <w:tr w:rsidR="00A359CE" w:rsidRPr="00673D3C" w14:paraId="1AA2A1FC" w14:textId="2B864C2C" w:rsidTr="00C85E56">
        <w:tc>
          <w:tcPr>
            <w:tcW w:w="7195" w:type="dxa"/>
          </w:tcPr>
          <w:p w14:paraId="18DE1399" w14:textId="5F4DA6A8" w:rsidR="00A359CE" w:rsidRPr="000378AE" w:rsidRDefault="00A359CE" w:rsidP="00A359CE">
            <w:pPr>
              <w:spacing w:after="0" w:line="240" w:lineRule="auto"/>
            </w:pPr>
            <w:r w:rsidRPr="000378AE">
              <w:t>Executive Vice President and Group CEO - Verizon Business</w:t>
            </w:r>
          </w:p>
        </w:tc>
        <w:tc>
          <w:tcPr>
            <w:tcW w:w="3065" w:type="dxa"/>
          </w:tcPr>
          <w:p w14:paraId="5A24F505" w14:textId="168F7FF7" w:rsidR="00A359CE" w:rsidRPr="000378AE" w:rsidRDefault="00A359CE" w:rsidP="00A359CE">
            <w:pPr>
              <w:spacing w:after="0" w:line="240" w:lineRule="auto"/>
            </w:pPr>
            <w:r w:rsidRPr="000378AE">
              <w:t>Kyle Malady</w:t>
            </w:r>
          </w:p>
        </w:tc>
      </w:tr>
      <w:tr w:rsidR="00A359CE" w:rsidRPr="00673D3C" w14:paraId="15903BD1" w14:textId="77777777" w:rsidTr="00C85E56">
        <w:trPr>
          <w:cnfStyle w:val="000000100000" w:firstRow="0" w:lastRow="0" w:firstColumn="0" w:lastColumn="0" w:oddVBand="0" w:evenVBand="0" w:oddHBand="1" w:evenHBand="0" w:firstRowFirstColumn="0" w:firstRowLastColumn="0" w:lastRowFirstColumn="0" w:lastRowLastColumn="0"/>
        </w:trPr>
        <w:tc>
          <w:tcPr>
            <w:tcW w:w="7195" w:type="dxa"/>
          </w:tcPr>
          <w:p w14:paraId="760DB85F" w14:textId="40FF70E5" w:rsidR="00A359CE" w:rsidRPr="000378AE" w:rsidRDefault="00A359CE" w:rsidP="00A359CE">
            <w:pPr>
              <w:spacing w:after="0" w:line="240" w:lineRule="auto"/>
            </w:pPr>
            <w:r w:rsidRPr="000378AE">
              <w:t>Executive Vice President and President - Global Networks and Technology</w:t>
            </w:r>
          </w:p>
        </w:tc>
        <w:tc>
          <w:tcPr>
            <w:tcW w:w="3065" w:type="dxa"/>
          </w:tcPr>
          <w:p w14:paraId="076700A4" w14:textId="1A2CEE71" w:rsidR="00A359CE" w:rsidRPr="000378AE" w:rsidRDefault="00A359CE" w:rsidP="00A359CE">
            <w:pPr>
              <w:spacing w:after="0" w:line="240" w:lineRule="auto"/>
            </w:pPr>
            <w:r w:rsidRPr="000378AE">
              <w:t>Joseph Russo</w:t>
            </w:r>
          </w:p>
        </w:tc>
      </w:tr>
      <w:tr w:rsidR="00A359CE" w:rsidRPr="00673D3C" w14:paraId="6C2D0538" w14:textId="77777777" w:rsidTr="00C85E56">
        <w:tc>
          <w:tcPr>
            <w:tcW w:w="7195" w:type="dxa"/>
          </w:tcPr>
          <w:p w14:paraId="0323A2B1" w14:textId="229AD051" w:rsidR="00A359CE" w:rsidRPr="000378AE" w:rsidRDefault="00A359CE" w:rsidP="00A359CE">
            <w:pPr>
              <w:spacing w:after="0" w:line="240" w:lineRule="auto"/>
            </w:pPr>
            <w:r w:rsidRPr="000378AE">
              <w:t>Executive Vice President and Group CEO - Verizon Consumer</w:t>
            </w:r>
          </w:p>
        </w:tc>
        <w:tc>
          <w:tcPr>
            <w:tcW w:w="3065" w:type="dxa"/>
          </w:tcPr>
          <w:p w14:paraId="09250492" w14:textId="48C41202" w:rsidR="00A359CE" w:rsidRPr="000378AE" w:rsidRDefault="00A359CE" w:rsidP="00A359CE">
            <w:pPr>
              <w:spacing w:after="0" w:line="240" w:lineRule="auto"/>
            </w:pPr>
            <w:proofErr w:type="spellStart"/>
            <w:r w:rsidRPr="000378AE">
              <w:t>Sowmyanarayan</w:t>
            </w:r>
            <w:proofErr w:type="spellEnd"/>
            <w:r w:rsidRPr="000378AE">
              <w:t xml:space="preserve"> Sampath</w:t>
            </w:r>
          </w:p>
        </w:tc>
      </w:tr>
      <w:tr w:rsidR="00A359CE" w:rsidRPr="00673D3C" w14:paraId="23270221" w14:textId="10F0A59C" w:rsidTr="00C85E56">
        <w:trPr>
          <w:cnfStyle w:val="000000100000" w:firstRow="0" w:lastRow="0" w:firstColumn="0" w:lastColumn="0" w:oddVBand="0" w:evenVBand="0" w:oddHBand="1" w:evenHBand="0" w:firstRowFirstColumn="0" w:firstRowLastColumn="0" w:lastRowFirstColumn="0" w:lastRowLastColumn="0"/>
        </w:trPr>
        <w:tc>
          <w:tcPr>
            <w:tcW w:w="7195" w:type="dxa"/>
          </w:tcPr>
          <w:p w14:paraId="174091D3" w14:textId="28368613" w:rsidR="00A359CE" w:rsidRPr="000378AE" w:rsidRDefault="00A359CE" w:rsidP="00A359CE">
            <w:pPr>
              <w:spacing w:after="0" w:line="240" w:lineRule="auto"/>
            </w:pPr>
            <w:r w:rsidRPr="000378AE">
              <w:t>Executive Vice President and President - Verizon Global Services</w:t>
            </w:r>
          </w:p>
        </w:tc>
        <w:tc>
          <w:tcPr>
            <w:tcW w:w="3065" w:type="dxa"/>
          </w:tcPr>
          <w:p w14:paraId="7B0E05D2" w14:textId="24F3AFF8" w:rsidR="00A359CE" w:rsidRPr="000378AE" w:rsidRDefault="00A359CE" w:rsidP="00A359CE">
            <w:pPr>
              <w:spacing w:after="0" w:line="240" w:lineRule="auto"/>
            </w:pPr>
            <w:r w:rsidRPr="000378AE">
              <w:t>Craig Silliman</w:t>
            </w:r>
          </w:p>
        </w:tc>
      </w:tr>
      <w:tr w:rsidR="00A359CE" w:rsidRPr="00673D3C" w14:paraId="5561875B" w14:textId="557CB709" w:rsidTr="00C85E56">
        <w:tc>
          <w:tcPr>
            <w:tcW w:w="7195" w:type="dxa"/>
          </w:tcPr>
          <w:p w14:paraId="736DC668" w14:textId="4EC247CA" w:rsidR="00A359CE" w:rsidRPr="000378AE" w:rsidRDefault="00A359CE" w:rsidP="00A359CE">
            <w:pPr>
              <w:spacing w:after="0" w:line="240" w:lineRule="auto"/>
            </w:pPr>
            <w:r w:rsidRPr="000378AE">
              <w:t>Executive Vice President and Chief Financial Officer</w:t>
            </w:r>
          </w:p>
        </w:tc>
        <w:tc>
          <w:tcPr>
            <w:tcW w:w="3065" w:type="dxa"/>
          </w:tcPr>
          <w:p w14:paraId="2C86C8EF" w14:textId="33B27D62" w:rsidR="00A359CE" w:rsidRPr="000378AE" w:rsidRDefault="00A359CE" w:rsidP="00A359CE">
            <w:pPr>
              <w:spacing w:after="0" w:line="240" w:lineRule="auto"/>
            </w:pPr>
            <w:r w:rsidRPr="000378AE">
              <w:t>Anthony Skiadas</w:t>
            </w:r>
          </w:p>
        </w:tc>
      </w:tr>
      <w:tr w:rsidR="00A359CE" w:rsidRPr="00673D3C" w14:paraId="3DCD721B" w14:textId="77777777" w:rsidTr="00C85E56">
        <w:trPr>
          <w:cnfStyle w:val="000000100000" w:firstRow="0" w:lastRow="0" w:firstColumn="0" w:lastColumn="0" w:oddVBand="0" w:evenVBand="0" w:oddHBand="1" w:evenHBand="0" w:firstRowFirstColumn="0" w:firstRowLastColumn="0" w:lastRowFirstColumn="0" w:lastRowLastColumn="0"/>
        </w:trPr>
        <w:tc>
          <w:tcPr>
            <w:tcW w:w="7195" w:type="dxa"/>
          </w:tcPr>
          <w:p w14:paraId="7CADD764" w14:textId="0E48F5C4" w:rsidR="00A359CE" w:rsidRPr="000378AE" w:rsidRDefault="00A359CE" w:rsidP="00A359CE">
            <w:pPr>
              <w:spacing w:after="0" w:line="240" w:lineRule="auto"/>
            </w:pPr>
            <w:r w:rsidRPr="000378AE">
              <w:t>Senior Vice President and Controller</w:t>
            </w:r>
          </w:p>
        </w:tc>
        <w:tc>
          <w:tcPr>
            <w:tcW w:w="3065" w:type="dxa"/>
          </w:tcPr>
          <w:p w14:paraId="342D02B4" w14:textId="6180EC98" w:rsidR="00A359CE" w:rsidRPr="000378AE" w:rsidRDefault="00A359CE" w:rsidP="00A359CE">
            <w:pPr>
              <w:spacing w:after="0" w:line="240" w:lineRule="auto"/>
            </w:pPr>
            <w:r w:rsidRPr="000378AE">
              <w:t>Mary-Lee Stillwell</w:t>
            </w:r>
          </w:p>
        </w:tc>
      </w:tr>
      <w:tr w:rsidR="00A359CE" w14:paraId="5D4FC8A5" w14:textId="5AA0AABC" w:rsidTr="00C85E56">
        <w:tc>
          <w:tcPr>
            <w:tcW w:w="7195" w:type="dxa"/>
          </w:tcPr>
          <w:p w14:paraId="253AD6D1" w14:textId="20090A77" w:rsidR="00A359CE" w:rsidRPr="000378AE" w:rsidRDefault="00A359CE" w:rsidP="00A359CE">
            <w:pPr>
              <w:spacing w:after="0" w:line="240" w:lineRule="auto"/>
            </w:pPr>
            <w:r w:rsidRPr="000378AE">
              <w:t>Executive Vice President and Chief Legal Officer</w:t>
            </w:r>
          </w:p>
        </w:tc>
        <w:tc>
          <w:tcPr>
            <w:tcW w:w="3065" w:type="dxa"/>
          </w:tcPr>
          <w:p w14:paraId="60C2E5A8" w14:textId="2A0174D0" w:rsidR="00A359CE" w:rsidRPr="000378AE" w:rsidRDefault="00A359CE" w:rsidP="00A359CE">
            <w:pPr>
              <w:spacing w:after="0" w:line="240" w:lineRule="auto"/>
            </w:pPr>
            <w:r w:rsidRPr="000378AE">
              <w:t>Vandana Venkatesh</w:t>
            </w:r>
          </w:p>
        </w:tc>
      </w:tr>
    </w:tbl>
    <w:p w14:paraId="339759AA" w14:textId="3DE135FD" w:rsidR="00813102" w:rsidRPr="00DA2626" w:rsidRDefault="00E9149D" w:rsidP="00401201">
      <w:pPr>
        <w:pStyle w:val="NoSpacing"/>
        <w:jc w:val="both"/>
        <w:rPr>
          <w:bCs/>
          <w:i/>
          <w:iCs/>
        </w:rPr>
      </w:pPr>
      <w:r w:rsidRPr="00DA2626">
        <w:rPr>
          <w:b/>
          <w:i/>
          <w:iCs/>
        </w:rPr>
        <w:t>Citation</w:t>
      </w:r>
      <w:r w:rsidR="00D5714B" w:rsidRPr="00DA2626">
        <w:rPr>
          <w:b/>
          <w:i/>
          <w:iCs/>
        </w:rPr>
        <w:t>:</w:t>
      </w:r>
      <w:r w:rsidR="00D5714B" w:rsidRPr="00DA2626">
        <w:rPr>
          <w:bCs/>
          <w:i/>
          <w:iCs/>
        </w:rPr>
        <w:t xml:space="preserve"> </w:t>
      </w:r>
      <w:r w:rsidR="004C261D" w:rsidRPr="00B62126">
        <w:rPr>
          <w:i/>
          <w:iCs/>
        </w:rPr>
        <w:t>Annual report 10K Verizon</w:t>
      </w:r>
    </w:p>
    <w:p w14:paraId="47410863" w14:textId="77777777" w:rsidR="000056C1" w:rsidRDefault="000056C1" w:rsidP="00401201">
      <w:pPr>
        <w:spacing w:after="0" w:line="240" w:lineRule="auto"/>
      </w:pPr>
    </w:p>
    <w:p w14:paraId="0AF72204" w14:textId="77777777" w:rsidR="009E738D" w:rsidRDefault="009E738D" w:rsidP="00401201">
      <w:pPr>
        <w:spacing w:after="0" w:line="240" w:lineRule="auto"/>
      </w:pPr>
    </w:p>
    <w:p w14:paraId="0E8E3943" w14:textId="77777777" w:rsidR="009064CD" w:rsidRPr="00892881" w:rsidRDefault="009064CD" w:rsidP="009064CD">
      <w:pPr>
        <w:tabs>
          <w:tab w:val="center" w:pos="7200"/>
          <w:tab w:val="right" w:pos="14400"/>
        </w:tabs>
        <w:spacing w:after="0" w:line="240" w:lineRule="auto"/>
        <w:rPr>
          <w:b/>
          <w:color w:val="FFFFFF" w:themeColor="background1"/>
          <w:sz w:val="28"/>
          <w:szCs w:val="28"/>
        </w:rPr>
      </w:pPr>
      <w:r w:rsidRPr="00892881">
        <w:rPr>
          <w:b/>
          <w:color w:val="FFFFFF" w:themeColor="background1"/>
          <w:sz w:val="28"/>
          <w:szCs w:val="28"/>
          <w:highlight w:val="darkGray"/>
        </w:rPr>
        <w:tab/>
      </w:r>
      <w:bookmarkStart w:id="0" w:name="_Hlk181810343"/>
      <w:r>
        <w:rPr>
          <w:b/>
          <w:color w:val="FFFFFF" w:themeColor="background1"/>
          <w:sz w:val="28"/>
          <w:szCs w:val="28"/>
          <w:highlight w:val="darkGray"/>
        </w:rPr>
        <w:t>External Credit Rating</w:t>
      </w:r>
      <w:bookmarkEnd w:id="0"/>
      <w:r w:rsidRPr="00892881">
        <w:rPr>
          <w:b/>
          <w:color w:val="FFFFFF" w:themeColor="background1"/>
          <w:sz w:val="28"/>
          <w:szCs w:val="28"/>
          <w:highlight w:val="darkGray"/>
        </w:rPr>
        <w:tab/>
      </w:r>
    </w:p>
    <w:p w14:paraId="28948F2D" w14:textId="77777777" w:rsidR="001907B8" w:rsidRDefault="001907B8" w:rsidP="001907B8">
      <w:pPr>
        <w:spacing w:after="0" w:line="240" w:lineRule="auto"/>
        <w:jc w:val="both"/>
        <w:rPr>
          <w:b/>
        </w:rPr>
      </w:pPr>
    </w:p>
    <w:tbl>
      <w:tblPr>
        <w:tblStyle w:val="PlainTable1"/>
        <w:tblW w:w="0" w:type="auto"/>
        <w:tblLook w:val="0420" w:firstRow="1" w:lastRow="0" w:firstColumn="0" w:lastColumn="0" w:noHBand="0" w:noVBand="1"/>
      </w:tblPr>
      <w:tblGrid>
        <w:gridCol w:w="3597"/>
        <w:gridCol w:w="3597"/>
        <w:gridCol w:w="3598"/>
        <w:gridCol w:w="3598"/>
      </w:tblGrid>
      <w:tr w:rsidR="006245A0" w14:paraId="154E8832" w14:textId="77777777" w:rsidTr="00656B47">
        <w:trPr>
          <w:cnfStyle w:val="100000000000" w:firstRow="1" w:lastRow="0" w:firstColumn="0" w:lastColumn="0" w:oddVBand="0" w:evenVBand="0" w:oddHBand="0" w:evenHBand="0" w:firstRowFirstColumn="0" w:firstRowLastColumn="0" w:lastRowFirstColumn="0" w:lastRowLastColumn="0"/>
        </w:trPr>
        <w:tc>
          <w:tcPr>
            <w:tcW w:w="3597" w:type="dxa"/>
          </w:tcPr>
          <w:p w14:paraId="32C898E1" w14:textId="77777777" w:rsidR="006245A0" w:rsidRPr="00517457" w:rsidRDefault="006245A0" w:rsidP="006231D5">
            <w:pPr>
              <w:spacing w:after="0" w:line="240" w:lineRule="auto"/>
              <w:jc w:val="center"/>
              <w:rPr>
                <w:b w:val="0"/>
              </w:rPr>
            </w:pPr>
            <w:r w:rsidRPr="00517457">
              <w:t>Rating Agency</w:t>
            </w:r>
          </w:p>
        </w:tc>
        <w:tc>
          <w:tcPr>
            <w:tcW w:w="3597" w:type="dxa"/>
          </w:tcPr>
          <w:p w14:paraId="549DB69F" w14:textId="77777777" w:rsidR="006245A0" w:rsidRPr="00517457" w:rsidRDefault="006245A0" w:rsidP="006231D5">
            <w:pPr>
              <w:spacing w:after="0" w:line="240" w:lineRule="auto"/>
              <w:jc w:val="center"/>
              <w:rPr>
                <w:b w:val="0"/>
              </w:rPr>
            </w:pPr>
            <w:r w:rsidRPr="00517457">
              <w:t>Rating</w:t>
            </w:r>
          </w:p>
        </w:tc>
        <w:tc>
          <w:tcPr>
            <w:tcW w:w="3598" w:type="dxa"/>
          </w:tcPr>
          <w:p w14:paraId="4173C528" w14:textId="77777777" w:rsidR="006245A0" w:rsidRPr="00517457" w:rsidRDefault="006245A0" w:rsidP="006231D5">
            <w:pPr>
              <w:spacing w:after="0" w:line="240" w:lineRule="auto"/>
              <w:jc w:val="center"/>
              <w:rPr>
                <w:b w:val="0"/>
              </w:rPr>
            </w:pPr>
            <w:r w:rsidRPr="00517457">
              <w:t>Outlook</w:t>
            </w:r>
          </w:p>
        </w:tc>
        <w:tc>
          <w:tcPr>
            <w:tcW w:w="3598" w:type="dxa"/>
          </w:tcPr>
          <w:p w14:paraId="115F6FBE" w14:textId="77777777" w:rsidR="006245A0" w:rsidRPr="00517457" w:rsidRDefault="006245A0" w:rsidP="006231D5">
            <w:pPr>
              <w:spacing w:after="0" w:line="240" w:lineRule="auto"/>
              <w:jc w:val="center"/>
              <w:rPr>
                <w:b w:val="0"/>
              </w:rPr>
            </w:pPr>
            <w:r w:rsidRPr="00517457">
              <w:t>Latest Rating Date</w:t>
            </w:r>
          </w:p>
        </w:tc>
      </w:tr>
      <w:tr w:rsidR="0072534D" w14:paraId="35B98BCD" w14:textId="77777777" w:rsidTr="00656B47">
        <w:trPr>
          <w:cnfStyle w:val="000000100000" w:firstRow="0" w:lastRow="0" w:firstColumn="0" w:lastColumn="0" w:oddVBand="0" w:evenVBand="0" w:oddHBand="1" w:evenHBand="0" w:firstRowFirstColumn="0" w:firstRowLastColumn="0" w:lastRowFirstColumn="0" w:lastRowLastColumn="0"/>
        </w:trPr>
        <w:tc>
          <w:tcPr>
            <w:tcW w:w="3597" w:type="dxa"/>
          </w:tcPr>
          <w:p w14:paraId="00CB942D" w14:textId="173559D8" w:rsidR="0072534D" w:rsidRPr="00190888" w:rsidRDefault="0072534D" w:rsidP="0072534D">
            <w:pPr>
              <w:spacing w:after="0" w:line="240" w:lineRule="auto"/>
              <w:jc w:val="center"/>
              <w:rPr>
                <w:b/>
                <w:bCs/>
              </w:rPr>
            </w:pPr>
            <w:r w:rsidRPr="004076F6">
              <w:rPr>
                <w:bCs/>
              </w:rPr>
              <w:t>Moody’s</w:t>
            </w:r>
          </w:p>
        </w:tc>
        <w:tc>
          <w:tcPr>
            <w:tcW w:w="3597" w:type="dxa"/>
          </w:tcPr>
          <w:p w14:paraId="1D0023B1" w14:textId="74C480A4" w:rsidR="0072534D" w:rsidRPr="008550A3" w:rsidRDefault="0072534D" w:rsidP="0072534D">
            <w:pPr>
              <w:spacing w:after="0" w:line="240" w:lineRule="auto"/>
              <w:jc w:val="center"/>
              <w:rPr>
                <w:bCs/>
              </w:rPr>
            </w:pPr>
            <w:r w:rsidRPr="004076F6">
              <w:rPr>
                <w:bCs/>
              </w:rPr>
              <w:t>LT - Baa1</w:t>
            </w:r>
          </w:p>
        </w:tc>
        <w:tc>
          <w:tcPr>
            <w:tcW w:w="3598" w:type="dxa"/>
          </w:tcPr>
          <w:p w14:paraId="296610A0" w14:textId="3188173A" w:rsidR="0072534D" w:rsidRPr="008550A3" w:rsidRDefault="0072534D" w:rsidP="0072534D">
            <w:pPr>
              <w:spacing w:after="0" w:line="240" w:lineRule="auto"/>
              <w:jc w:val="center"/>
              <w:rPr>
                <w:bCs/>
              </w:rPr>
            </w:pPr>
            <w:r w:rsidRPr="004076F6">
              <w:rPr>
                <w:bCs/>
              </w:rPr>
              <w:t>Stable</w:t>
            </w:r>
          </w:p>
        </w:tc>
        <w:tc>
          <w:tcPr>
            <w:tcW w:w="3598" w:type="dxa"/>
          </w:tcPr>
          <w:p w14:paraId="4B988881" w14:textId="33EDAF79" w:rsidR="0072534D" w:rsidRPr="008550A3" w:rsidRDefault="0072534D" w:rsidP="0072534D">
            <w:pPr>
              <w:spacing w:after="0" w:line="240" w:lineRule="auto"/>
              <w:jc w:val="center"/>
              <w:rPr>
                <w:bCs/>
              </w:rPr>
            </w:pPr>
            <w:r w:rsidRPr="004076F6">
              <w:rPr>
                <w:bCs/>
              </w:rPr>
              <w:t xml:space="preserve">September </w:t>
            </w:r>
            <w:r w:rsidR="00656B47">
              <w:rPr>
                <w:bCs/>
              </w:rPr>
              <w:t xml:space="preserve">5, </w:t>
            </w:r>
            <w:r w:rsidRPr="004076F6">
              <w:rPr>
                <w:bCs/>
              </w:rPr>
              <w:t>2024</w:t>
            </w:r>
          </w:p>
        </w:tc>
      </w:tr>
      <w:tr w:rsidR="0072534D" w14:paraId="5DC13712" w14:textId="77777777" w:rsidTr="00656B47">
        <w:tc>
          <w:tcPr>
            <w:tcW w:w="3597" w:type="dxa"/>
          </w:tcPr>
          <w:p w14:paraId="2A350BD8" w14:textId="2B28A3BF" w:rsidR="0072534D" w:rsidRPr="00190888" w:rsidRDefault="0072534D" w:rsidP="0072534D">
            <w:pPr>
              <w:spacing w:after="0" w:line="240" w:lineRule="auto"/>
              <w:jc w:val="center"/>
              <w:rPr>
                <w:b/>
                <w:bCs/>
              </w:rPr>
            </w:pPr>
            <w:r w:rsidRPr="004076F6">
              <w:rPr>
                <w:bCs/>
              </w:rPr>
              <w:t>S&amp;P</w:t>
            </w:r>
          </w:p>
        </w:tc>
        <w:tc>
          <w:tcPr>
            <w:tcW w:w="3597" w:type="dxa"/>
          </w:tcPr>
          <w:p w14:paraId="5014252D" w14:textId="7B8CB90F" w:rsidR="0072534D" w:rsidRPr="008550A3" w:rsidRDefault="0072534D" w:rsidP="0072534D">
            <w:pPr>
              <w:spacing w:after="0" w:line="240" w:lineRule="auto"/>
              <w:jc w:val="center"/>
              <w:rPr>
                <w:bCs/>
              </w:rPr>
            </w:pPr>
            <w:r w:rsidRPr="004076F6">
              <w:rPr>
                <w:bCs/>
              </w:rPr>
              <w:t xml:space="preserve">LT </w:t>
            </w:r>
            <w:r w:rsidR="00A821D3">
              <w:rPr>
                <w:bCs/>
              </w:rPr>
              <w:t>-</w:t>
            </w:r>
            <w:r w:rsidRPr="004076F6">
              <w:rPr>
                <w:bCs/>
              </w:rPr>
              <w:t xml:space="preserve"> BBB+</w:t>
            </w:r>
          </w:p>
        </w:tc>
        <w:tc>
          <w:tcPr>
            <w:tcW w:w="3598" w:type="dxa"/>
          </w:tcPr>
          <w:p w14:paraId="2FE302AB" w14:textId="2194F028" w:rsidR="0072534D" w:rsidRPr="008550A3" w:rsidRDefault="0072534D" w:rsidP="0072534D">
            <w:pPr>
              <w:spacing w:after="0" w:line="240" w:lineRule="auto"/>
              <w:jc w:val="center"/>
              <w:rPr>
                <w:bCs/>
              </w:rPr>
            </w:pPr>
            <w:r w:rsidRPr="004076F6">
              <w:rPr>
                <w:bCs/>
              </w:rPr>
              <w:t>Stable</w:t>
            </w:r>
          </w:p>
        </w:tc>
        <w:tc>
          <w:tcPr>
            <w:tcW w:w="3598" w:type="dxa"/>
          </w:tcPr>
          <w:p w14:paraId="32EA335D" w14:textId="5C4CBEA3" w:rsidR="0072534D" w:rsidRPr="008550A3" w:rsidRDefault="0072534D" w:rsidP="0072534D">
            <w:pPr>
              <w:spacing w:after="0" w:line="240" w:lineRule="auto"/>
              <w:jc w:val="center"/>
              <w:rPr>
                <w:bCs/>
              </w:rPr>
            </w:pPr>
            <w:r w:rsidRPr="004076F6">
              <w:rPr>
                <w:bCs/>
              </w:rPr>
              <w:t xml:space="preserve">June </w:t>
            </w:r>
            <w:r w:rsidR="00656B47">
              <w:rPr>
                <w:bCs/>
              </w:rPr>
              <w:t xml:space="preserve">5, </w:t>
            </w:r>
            <w:r w:rsidRPr="004076F6">
              <w:rPr>
                <w:bCs/>
              </w:rPr>
              <w:t>2024</w:t>
            </w:r>
          </w:p>
        </w:tc>
      </w:tr>
      <w:tr w:rsidR="0072534D" w14:paraId="1D11FA09" w14:textId="77777777" w:rsidTr="00656B47">
        <w:trPr>
          <w:cnfStyle w:val="000000100000" w:firstRow="0" w:lastRow="0" w:firstColumn="0" w:lastColumn="0" w:oddVBand="0" w:evenVBand="0" w:oddHBand="1" w:evenHBand="0" w:firstRowFirstColumn="0" w:firstRowLastColumn="0" w:lastRowFirstColumn="0" w:lastRowLastColumn="0"/>
        </w:trPr>
        <w:tc>
          <w:tcPr>
            <w:tcW w:w="3597" w:type="dxa"/>
          </w:tcPr>
          <w:p w14:paraId="586AA7E5" w14:textId="1F3840CA" w:rsidR="0072534D" w:rsidRPr="00190888" w:rsidRDefault="0072534D" w:rsidP="0072534D">
            <w:pPr>
              <w:spacing w:after="0" w:line="240" w:lineRule="auto"/>
              <w:jc w:val="center"/>
              <w:rPr>
                <w:b/>
                <w:bCs/>
              </w:rPr>
            </w:pPr>
            <w:r w:rsidRPr="004076F6">
              <w:rPr>
                <w:bCs/>
              </w:rPr>
              <w:t>Fitch</w:t>
            </w:r>
          </w:p>
        </w:tc>
        <w:tc>
          <w:tcPr>
            <w:tcW w:w="3597" w:type="dxa"/>
          </w:tcPr>
          <w:p w14:paraId="0EB7EDC9" w14:textId="2038BB20" w:rsidR="0072534D" w:rsidRPr="008550A3" w:rsidRDefault="0072534D" w:rsidP="0072534D">
            <w:pPr>
              <w:spacing w:after="0" w:line="240" w:lineRule="auto"/>
              <w:jc w:val="center"/>
              <w:rPr>
                <w:bCs/>
              </w:rPr>
            </w:pPr>
            <w:r w:rsidRPr="004076F6">
              <w:rPr>
                <w:bCs/>
              </w:rPr>
              <w:t xml:space="preserve">LT </w:t>
            </w:r>
            <w:r w:rsidR="00A821D3">
              <w:rPr>
                <w:bCs/>
              </w:rPr>
              <w:t>-</w:t>
            </w:r>
            <w:r w:rsidRPr="004076F6">
              <w:rPr>
                <w:bCs/>
              </w:rPr>
              <w:t xml:space="preserve"> A-</w:t>
            </w:r>
          </w:p>
        </w:tc>
        <w:tc>
          <w:tcPr>
            <w:tcW w:w="3598" w:type="dxa"/>
          </w:tcPr>
          <w:p w14:paraId="4129F995" w14:textId="2998ECD5" w:rsidR="0072534D" w:rsidRPr="008550A3" w:rsidRDefault="0072534D" w:rsidP="0072534D">
            <w:pPr>
              <w:spacing w:after="0" w:line="240" w:lineRule="auto"/>
              <w:jc w:val="center"/>
              <w:rPr>
                <w:bCs/>
              </w:rPr>
            </w:pPr>
            <w:r w:rsidRPr="004076F6">
              <w:rPr>
                <w:bCs/>
              </w:rPr>
              <w:t>Stable</w:t>
            </w:r>
          </w:p>
        </w:tc>
        <w:tc>
          <w:tcPr>
            <w:tcW w:w="3598" w:type="dxa"/>
          </w:tcPr>
          <w:p w14:paraId="0258A080" w14:textId="6BEE3314" w:rsidR="0072534D" w:rsidRPr="008550A3" w:rsidRDefault="0072534D" w:rsidP="0072534D">
            <w:pPr>
              <w:spacing w:after="0" w:line="240" w:lineRule="auto"/>
              <w:jc w:val="center"/>
              <w:rPr>
                <w:bCs/>
              </w:rPr>
            </w:pPr>
            <w:r w:rsidRPr="004076F6">
              <w:rPr>
                <w:bCs/>
              </w:rPr>
              <w:t xml:space="preserve">July </w:t>
            </w:r>
            <w:r w:rsidR="00656B47">
              <w:rPr>
                <w:bCs/>
              </w:rPr>
              <w:t xml:space="preserve">24, </w:t>
            </w:r>
            <w:r w:rsidRPr="004076F6">
              <w:rPr>
                <w:bCs/>
              </w:rPr>
              <w:t>2024</w:t>
            </w:r>
          </w:p>
        </w:tc>
      </w:tr>
    </w:tbl>
    <w:p w14:paraId="1CB31B1C" w14:textId="42973A38" w:rsidR="00A60C39" w:rsidRDefault="00E9149D" w:rsidP="00A60C39">
      <w:pPr>
        <w:spacing w:line="240" w:lineRule="auto"/>
        <w:jc w:val="both"/>
        <w:rPr>
          <w:bCs/>
          <w:i/>
          <w:iCs/>
        </w:rPr>
      </w:pPr>
      <w:r w:rsidRPr="003E3A11">
        <w:rPr>
          <w:b/>
          <w:i/>
          <w:iCs/>
        </w:rPr>
        <w:t>Citation</w:t>
      </w:r>
      <w:r w:rsidR="00A60C39" w:rsidRPr="003E3A11">
        <w:rPr>
          <w:b/>
          <w:i/>
          <w:iCs/>
        </w:rPr>
        <w:t>:</w:t>
      </w:r>
      <w:r w:rsidR="00A60C39" w:rsidRPr="003E3A11">
        <w:rPr>
          <w:bCs/>
          <w:i/>
          <w:iCs/>
        </w:rPr>
        <w:t xml:space="preserve"> </w:t>
      </w:r>
      <w:r w:rsidR="00DA5430" w:rsidRPr="00B62126">
        <w:rPr>
          <w:bCs/>
          <w:i/>
          <w:iCs/>
        </w:rPr>
        <w:t xml:space="preserve">Fitch.com; Moodys.com; spglobal.com; </w:t>
      </w:r>
      <w:hyperlink r:id="rId10" w:history="1">
        <w:r w:rsidR="000F71AB" w:rsidRPr="00BB7929">
          <w:rPr>
            <w:rStyle w:val="Hyperlink"/>
            <w:bCs/>
            <w:i/>
            <w:iCs/>
          </w:rPr>
          <w:t>https://www.verizon.com/about/investors/fixed-income</w:t>
        </w:r>
      </w:hyperlink>
    </w:p>
    <w:p w14:paraId="46D360C2" w14:textId="77777777" w:rsidR="000F71AB" w:rsidRPr="003E3A11" w:rsidRDefault="000F71AB" w:rsidP="00A60C39">
      <w:pPr>
        <w:spacing w:line="240" w:lineRule="auto"/>
        <w:jc w:val="both"/>
        <w:rPr>
          <w:rStyle w:val="Hyperlink"/>
          <w:bCs/>
          <w:i/>
          <w:iCs/>
        </w:rPr>
      </w:pPr>
    </w:p>
    <w:p w14:paraId="7409D8CA" w14:textId="77777777" w:rsidR="001907B8" w:rsidRDefault="001907B8" w:rsidP="001907B8">
      <w:pPr>
        <w:spacing w:after="0" w:line="240" w:lineRule="auto"/>
        <w:rPr>
          <w:b/>
        </w:rPr>
      </w:pPr>
      <w:r>
        <w:rPr>
          <w:b/>
        </w:rPr>
        <w:lastRenderedPageBreak/>
        <w:t>External Credit Rating Summary</w:t>
      </w:r>
    </w:p>
    <w:p w14:paraId="6CA3DFAE" w14:textId="77777777" w:rsidR="001907B8" w:rsidRDefault="001907B8" w:rsidP="001907B8">
      <w:pPr>
        <w:spacing w:after="0" w:line="240" w:lineRule="auto"/>
        <w:jc w:val="both"/>
        <w:rPr>
          <w:bCs/>
        </w:rPr>
      </w:pPr>
    </w:p>
    <w:p w14:paraId="1AA876EC" w14:textId="77777777" w:rsidR="00350417" w:rsidRPr="006748E1" w:rsidRDefault="00350417" w:rsidP="00350417">
      <w:pPr>
        <w:pStyle w:val="ListParagraph"/>
        <w:numPr>
          <w:ilvl w:val="0"/>
          <w:numId w:val="29"/>
        </w:numPr>
        <w:spacing w:after="0" w:line="240" w:lineRule="auto"/>
        <w:jc w:val="both"/>
        <w:rPr>
          <w:bCs/>
        </w:rPr>
      </w:pPr>
      <w:r>
        <w:rPr>
          <w:bCs/>
        </w:rPr>
        <w:t xml:space="preserve">Verizon </w:t>
      </w:r>
      <w:r w:rsidRPr="006748E1">
        <w:rPr>
          <w:bCs/>
        </w:rPr>
        <w:t>has the largest wireless subscriber base among U.S. carriers with nearly 145 million subscribers as of June 2024, vast majority of which were postpaid customers. The company has a long history of market leadership, although this is balanced against an intensely competitive wireless environment.</w:t>
      </w:r>
    </w:p>
    <w:p w14:paraId="4BE6FC66" w14:textId="77777777" w:rsidR="00350417" w:rsidRDefault="00350417" w:rsidP="00350417">
      <w:pPr>
        <w:pStyle w:val="ListParagraph"/>
        <w:numPr>
          <w:ilvl w:val="0"/>
          <w:numId w:val="29"/>
        </w:numPr>
        <w:spacing w:after="0" w:line="240" w:lineRule="auto"/>
        <w:jc w:val="both"/>
        <w:rPr>
          <w:bCs/>
        </w:rPr>
      </w:pPr>
      <w:r w:rsidRPr="006748E1">
        <w:rPr>
          <w:bCs/>
        </w:rPr>
        <w:t>Verizon bolstered its wireless network with the 2021 C-Band spectrum auction, in which the company acquired wireless licenses with a total value of $45.5 billion out of just over $81 billion spent by operators. The large spectrum purchases</w:t>
      </w:r>
      <w:r>
        <w:rPr>
          <w:bCs/>
        </w:rPr>
        <w:t xml:space="preserve"> </w:t>
      </w:r>
      <w:r w:rsidRPr="006748E1">
        <w:rPr>
          <w:bCs/>
        </w:rPr>
        <w:t>increased leverage materially over the past few years, but Verizon more than doubled its existing license holdings</w:t>
      </w:r>
      <w:r>
        <w:rPr>
          <w:bCs/>
        </w:rPr>
        <w:t>, which</w:t>
      </w:r>
      <w:r w:rsidRPr="006748E1">
        <w:rPr>
          <w:bCs/>
        </w:rPr>
        <w:t xml:space="preserve"> bodes well for sustaining its market position over time</w:t>
      </w:r>
      <w:r>
        <w:rPr>
          <w:bCs/>
        </w:rPr>
        <w:t>.</w:t>
      </w:r>
    </w:p>
    <w:p w14:paraId="776DA586" w14:textId="77777777" w:rsidR="00350417" w:rsidRPr="009E1B73" w:rsidRDefault="00350417" w:rsidP="00350417">
      <w:pPr>
        <w:pStyle w:val="ListParagraph"/>
        <w:numPr>
          <w:ilvl w:val="0"/>
          <w:numId w:val="29"/>
        </w:numPr>
        <w:spacing w:after="0" w:line="240" w:lineRule="auto"/>
        <w:jc w:val="both"/>
        <w:rPr>
          <w:bCs/>
        </w:rPr>
      </w:pPr>
      <w:r>
        <w:t>V</w:t>
      </w:r>
      <w:r w:rsidRPr="006F5959">
        <w:t xml:space="preserve">erizon's </w:t>
      </w:r>
      <w:r>
        <w:t>credit profile benefits</w:t>
      </w:r>
      <w:r w:rsidRPr="006F5959">
        <w:t xml:space="preserve"> from solid margins and profitability historically, although FCF is more volatile due to significant capital spending required in the telecom industry</w:t>
      </w:r>
      <w:r>
        <w:t>. Consolidated adjusted EBITDA margins have ranged between 3</w:t>
      </w:r>
      <w:r w:rsidRPr="006F5959">
        <w:t>5%-38% from 2020-2024 and are projected to remain relatively stable in the next few years, benefiting from the subscription nature of its business and Verizon's strong market position. FCF generation was negatively affected in recent years by increased spending related to Verizon's 5G network buildout.</w:t>
      </w:r>
    </w:p>
    <w:p w14:paraId="44740907" w14:textId="77777777" w:rsidR="00350417" w:rsidRPr="005739D0" w:rsidRDefault="00350417" w:rsidP="00350417">
      <w:pPr>
        <w:pStyle w:val="ListParagraph"/>
        <w:numPr>
          <w:ilvl w:val="0"/>
          <w:numId w:val="29"/>
        </w:numPr>
        <w:spacing w:after="0" w:line="240" w:lineRule="auto"/>
        <w:jc w:val="both"/>
        <w:rPr>
          <w:bCs/>
        </w:rPr>
      </w:pPr>
      <w:r w:rsidRPr="001E59D0">
        <w:t>Verizon's liquidity is supported by: (i) a sizeable cash balance of $</w:t>
      </w:r>
      <w:r>
        <w:t>5</w:t>
      </w:r>
      <w:r w:rsidRPr="001E59D0">
        <w:t>.</w:t>
      </w:r>
      <w:r>
        <w:t>0</w:t>
      </w:r>
      <w:r w:rsidRPr="001E59D0">
        <w:t xml:space="preserve"> billion at </w:t>
      </w:r>
      <w:r>
        <w:t>Sep</w:t>
      </w:r>
      <w:r w:rsidRPr="001E59D0">
        <w:t xml:space="preserve"> 2024, (ii) an undrawn $12.0 billion</w:t>
      </w:r>
      <w:r>
        <w:t xml:space="preserve"> (at Jun 2024)</w:t>
      </w:r>
      <w:r w:rsidRPr="001E59D0">
        <w:t xml:space="preserve"> revolving credit facility that matures in 2028, (iii) positive FCF that was weaker in 2022-2023 due to 5G buildout spending, but still positive in the $3.0 billion to $7.4 billion range, (iv) access to a $8.0 billion CP program, among other sources of capital.</w:t>
      </w:r>
    </w:p>
    <w:p w14:paraId="328B3B6B" w14:textId="77777777" w:rsidR="00350417" w:rsidRDefault="00350417" w:rsidP="00350417">
      <w:pPr>
        <w:pStyle w:val="ListParagraph"/>
        <w:numPr>
          <w:ilvl w:val="0"/>
          <w:numId w:val="30"/>
        </w:numPr>
        <w:spacing w:after="0" w:line="240" w:lineRule="auto"/>
        <w:jc w:val="both"/>
      </w:pPr>
      <w:r w:rsidRPr="006F5959">
        <w:t xml:space="preserve">Verizon's end markets </w:t>
      </w:r>
      <w:r>
        <w:t>are</w:t>
      </w:r>
      <w:r w:rsidRPr="006F5959">
        <w:t xml:space="preserve"> highly competitive, but the company is well positioned as the U.S. market leader in wireless and with strong presence in the wireline markets it provides services. The U.S. wireless market is heavily concentrated among the nation's three primary national operators - AT&amp;T, T-Mobile US, and Verizon - which have nearly 400 million postpaid and prepaid subscribers combined. Cable providers are also growing in wireless, but the potential effect on Verizon is relatively neutral, given the two largest U.S. cable companies, Comcast Corp. and Charter Communications, Inc., have a mobile virtual network operator (MVNO) arrangement with Verizon. These operators could increase their investments in wireless network infrastructure in the future, diminishing Verizon's revenue from the arrangements.</w:t>
      </w:r>
    </w:p>
    <w:p w14:paraId="5D7BF72D" w14:textId="2273449A" w:rsidR="001907B8" w:rsidRPr="00A94CA7" w:rsidRDefault="00350417" w:rsidP="00350417">
      <w:pPr>
        <w:pStyle w:val="ListParagraph"/>
        <w:numPr>
          <w:ilvl w:val="0"/>
          <w:numId w:val="33"/>
        </w:numPr>
        <w:spacing w:after="0" w:line="240" w:lineRule="auto"/>
        <w:jc w:val="both"/>
      </w:pPr>
      <w:r>
        <w:t>The wireless and communications industry is capital intensive in nature. According to Fitch, Capex of the company is expected</w:t>
      </w:r>
      <w:r w:rsidRPr="00AB0B58">
        <w:t xml:space="preserve"> to decline in 2024 as peak C-band spending subsides. Capital spending was elevated over the past two years as the initial 5G network was being deployed but declined YoY in 2023, before including spend on spectrum clearing costs.</w:t>
      </w:r>
      <w:r>
        <w:t xml:space="preserve"> R</w:t>
      </w:r>
      <w:r w:rsidRPr="00AB0B58">
        <w:t>educed capex spending combined with EBITDA growth projected in 2024-2025 should bolster near-term FCF generation, but capital intensity will remain relatively high over time given the nature of the industry.</w:t>
      </w:r>
    </w:p>
    <w:p w14:paraId="77C664B8" w14:textId="77777777" w:rsidR="001907B8" w:rsidRDefault="001907B8" w:rsidP="001907B8">
      <w:pPr>
        <w:spacing w:after="0" w:line="240" w:lineRule="auto"/>
      </w:pPr>
    </w:p>
    <w:p w14:paraId="1112CBDA" w14:textId="308CFF59" w:rsidR="001907B8" w:rsidRDefault="00E9149D" w:rsidP="001907B8">
      <w:pPr>
        <w:spacing w:after="0" w:line="240" w:lineRule="auto"/>
        <w:rPr>
          <w:i/>
          <w:iCs/>
        </w:rPr>
      </w:pPr>
      <w:r w:rsidRPr="00CA2591">
        <w:rPr>
          <w:b/>
          <w:bCs/>
          <w:i/>
          <w:iCs/>
        </w:rPr>
        <w:t>Citation</w:t>
      </w:r>
      <w:r w:rsidR="001907B8" w:rsidRPr="00CA2591">
        <w:rPr>
          <w:b/>
          <w:bCs/>
          <w:i/>
          <w:iCs/>
        </w:rPr>
        <w:t xml:space="preserve">: </w:t>
      </w:r>
      <w:r w:rsidR="00C40440" w:rsidRPr="00B62126">
        <w:rPr>
          <w:bCs/>
          <w:i/>
          <w:iCs/>
        </w:rPr>
        <w:t xml:space="preserve">Verizon </w:t>
      </w:r>
      <w:r w:rsidR="001907B8" w:rsidRPr="00CA2591">
        <w:rPr>
          <w:i/>
          <w:iCs/>
        </w:rPr>
        <w:t>Fitch Report</w:t>
      </w:r>
    </w:p>
    <w:p w14:paraId="00BB732B" w14:textId="77777777" w:rsidR="00CA2591" w:rsidRPr="00CA2591" w:rsidRDefault="00CA2591" w:rsidP="001907B8">
      <w:pPr>
        <w:spacing w:after="0" w:line="240" w:lineRule="auto"/>
        <w:rPr>
          <w:b/>
          <w:bCs/>
        </w:rPr>
      </w:pPr>
    </w:p>
    <w:p w14:paraId="476FD0B5" w14:textId="0C935A1F" w:rsidR="00881DFB" w:rsidRDefault="00881DFB" w:rsidP="00881DFB">
      <w:pPr>
        <w:tabs>
          <w:tab w:val="center" w:pos="7200"/>
          <w:tab w:val="right" w:pos="14400"/>
        </w:tabs>
        <w:spacing w:after="0" w:line="240" w:lineRule="auto"/>
        <w:rPr>
          <w:b/>
          <w:color w:val="FFFFFF" w:themeColor="background1"/>
          <w:sz w:val="28"/>
          <w:szCs w:val="28"/>
        </w:rPr>
      </w:pPr>
      <w:r w:rsidRPr="00892881">
        <w:rPr>
          <w:b/>
          <w:color w:val="FFFFFF" w:themeColor="background1"/>
          <w:sz w:val="28"/>
          <w:szCs w:val="28"/>
          <w:highlight w:val="darkGray"/>
        </w:rPr>
        <w:tab/>
      </w:r>
      <w:r>
        <w:rPr>
          <w:b/>
          <w:color w:val="FFFFFF" w:themeColor="background1"/>
          <w:sz w:val="28"/>
          <w:szCs w:val="28"/>
          <w:highlight w:val="darkGray"/>
        </w:rPr>
        <w:t>Financial Analysis</w:t>
      </w:r>
      <w:r w:rsidRPr="00892881">
        <w:rPr>
          <w:b/>
          <w:color w:val="FFFFFF" w:themeColor="background1"/>
          <w:sz w:val="28"/>
          <w:szCs w:val="28"/>
          <w:highlight w:val="darkGray"/>
        </w:rPr>
        <w:tab/>
      </w:r>
    </w:p>
    <w:p w14:paraId="0EDE69EE" w14:textId="31C4D8B5" w:rsidR="00DC2038" w:rsidRDefault="00DC2038" w:rsidP="00881DFB">
      <w:pPr>
        <w:tabs>
          <w:tab w:val="center" w:pos="7200"/>
          <w:tab w:val="right" w:pos="14400"/>
        </w:tabs>
        <w:spacing w:after="0" w:line="240" w:lineRule="auto"/>
      </w:pPr>
    </w:p>
    <w:p w14:paraId="5B07BC0F" w14:textId="77777777" w:rsidR="001252E7" w:rsidRPr="001252E7" w:rsidRDefault="001252E7" w:rsidP="001252E7">
      <w:pPr>
        <w:spacing w:after="0" w:line="240" w:lineRule="auto"/>
        <w:rPr>
          <w:b/>
          <w:bCs/>
        </w:rPr>
      </w:pPr>
      <w:r w:rsidRPr="001252E7">
        <w:rPr>
          <w:b/>
          <w:bCs/>
        </w:rPr>
        <w:t>Filing Details</w:t>
      </w:r>
    </w:p>
    <w:p w14:paraId="52C66044" w14:textId="77777777" w:rsidR="001252E7" w:rsidRDefault="001252E7" w:rsidP="001252E7">
      <w:pPr>
        <w:spacing w:after="0" w:line="240" w:lineRule="auto"/>
      </w:pPr>
    </w:p>
    <w:tbl>
      <w:tblPr>
        <w:tblStyle w:val="PlainTable1"/>
        <w:tblW w:w="0" w:type="auto"/>
        <w:tblLook w:val="0400" w:firstRow="0" w:lastRow="0" w:firstColumn="0" w:lastColumn="0" w:noHBand="0" w:noVBand="1"/>
      </w:tblPr>
      <w:tblGrid>
        <w:gridCol w:w="7195"/>
        <w:gridCol w:w="7195"/>
      </w:tblGrid>
      <w:tr w:rsidR="001252E7" w14:paraId="0A340877" w14:textId="77777777" w:rsidTr="00FF2FEE">
        <w:trPr>
          <w:cnfStyle w:val="000000100000" w:firstRow="0" w:lastRow="0" w:firstColumn="0" w:lastColumn="0" w:oddVBand="0" w:evenVBand="0" w:oddHBand="1" w:evenHBand="0" w:firstRowFirstColumn="0" w:firstRowLastColumn="0" w:lastRowFirstColumn="0" w:lastRowLastColumn="0"/>
        </w:trPr>
        <w:tc>
          <w:tcPr>
            <w:tcW w:w="7195" w:type="dxa"/>
          </w:tcPr>
          <w:p w14:paraId="1F680239" w14:textId="77777777" w:rsidR="001252E7" w:rsidRDefault="001252E7" w:rsidP="005720C1">
            <w:pPr>
              <w:spacing w:after="0" w:line="240" w:lineRule="auto"/>
            </w:pPr>
            <w:r>
              <w:t>Annual Report</w:t>
            </w:r>
          </w:p>
        </w:tc>
        <w:tc>
          <w:tcPr>
            <w:tcW w:w="7195" w:type="dxa"/>
          </w:tcPr>
          <w:p w14:paraId="7429FF4C" w14:textId="77777777" w:rsidR="001252E7" w:rsidRDefault="001252E7" w:rsidP="005720C1">
            <w:pPr>
              <w:spacing w:after="0" w:line="240" w:lineRule="auto"/>
            </w:pPr>
            <w:r>
              <w:t>Audited</w:t>
            </w:r>
          </w:p>
        </w:tc>
      </w:tr>
      <w:tr w:rsidR="001252E7" w14:paraId="42C92C04" w14:textId="77777777" w:rsidTr="00FF2FEE">
        <w:tc>
          <w:tcPr>
            <w:tcW w:w="7195" w:type="dxa"/>
          </w:tcPr>
          <w:p w14:paraId="09356878" w14:textId="77777777" w:rsidR="001252E7" w:rsidRDefault="001252E7" w:rsidP="005720C1">
            <w:pPr>
              <w:spacing w:after="0" w:line="240" w:lineRule="auto"/>
            </w:pPr>
            <w:r>
              <w:t>Quarterly Financial Report</w:t>
            </w:r>
          </w:p>
        </w:tc>
        <w:tc>
          <w:tcPr>
            <w:tcW w:w="7195" w:type="dxa"/>
          </w:tcPr>
          <w:p w14:paraId="60F56FA6" w14:textId="29F7D14E" w:rsidR="001252E7" w:rsidRDefault="000E2A17" w:rsidP="005720C1">
            <w:pPr>
              <w:spacing w:after="0" w:line="240" w:lineRule="auto"/>
            </w:pPr>
            <w:r>
              <w:t>U</w:t>
            </w:r>
            <w:r w:rsidR="001252E7">
              <w:t>naudited</w:t>
            </w:r>
          </w:p>
        </w:tc>
      </w:tr>
    </w:tbl>
    <w:p w14:paraId="36263A67" w14:textId="7A0EF408" w:rsidR="001252E7" w:rsidRDefault="00476F44" w:rsidP="00881DFB">
      <w:pPr>
        <w:tabs>
          <w:tab w:val="center" w:pos="7200"/>
          <w:tab w:val="right" w:pos="14400"/>
        </w:tabs>
        <w:spacing w:after="0" w:line="240" w:lineRule="auto"/>
      </w:pPr>
      <w:r w:rsidRPr="00476F44">
        <w:rPr>
          <w:b/>
          <w:bCs/>
        </w:rPr>
        <w:lastRenderedPageBreak/>
        <w:t>Key Insights</w:t>
      </w:r>
    </w:p>
    <w:p w14:paraId="107E5ECE" w14:textId="77777777" w:rsidR="001252E7" w:rsidRDefault="001252E7" w:rsidP="00881DFB">
      <w:pPr>
        <w:tabs>
          <w:tab w:val="center" w:pos="7200"/>
          <w:tab w:val="right" w:pos="14400"/>
        </w:tabs>
        <w:spacing w:after="0" w:line="240" w:lineRule="auto"/>
      </w:pPr>
    </w:p>
    <w:tbl>
      <w:tblPr>
        <w:tblStyle w:val="PlainTable1"/>
        <w:tblW w:w="14305" w:type="dxa"/>
        <w:tblLook w:val="0480" w:firstRow="0" w:lastRow="0" w:firstColumn="1" w:lastColumn="0" w:noHBand="0" w:noVBand="1"/>
      </w:tblPr>
      <w:tblGrid>
        <w:gridCol w:w="3880"/>
        <w:gridCol w:w="2020"/>
        <w:gridCol w:w="2020"/>
        <w:gridCol w:w="2020"/>
        <w:gridCol w:w="2295"/>
        <w:gridCol w:w="2070"/>
      </w:tblGrid>
      <w:tr w:rsidR="006D02F7" w:rsidRPr="00224B2D" w14:paraId="3902107E" w14:textId="77777777" w:rsidTr="003622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0" w:type="dxa"/>
            <w:vMerge w:val="restart"/>
            <w:shd w:val="clear" w:color="auto" w:fill="auto"/>
            <w:noWrap/>
            <w:vAlign w:val="center"/>
            <w:hideMark/>
          </w:tcPr>
          <w:p w14:paraId="41CF08F0" w14:textId="3959E7E0" w:rsidR="006D02F7" w:rsidRPr="00224B2D" w:rsidRDefault="006D02F7" w:rsidP="007D79D5">
            <w:pPr>
              <w:spacing w:after="0" w:line="240" w:lineRule="auto"/>
              <w:rPr>
                <w:rFonts w:eastAsia="Times New Roman" w:cs="Calibri"/>
                <w:color w:val="000000"/>
              </w:rPr>
            </w:pPr>
            <w:r w:rsidRPr="00224B2D">
              <w:rPr>
                <w:rFonts w:eastAsia="Times New Roman" w:cs="Calibri"/>
                <w:color w:val="000000"/>
              </w:rPr>
              <w:t xml:space="preserve">Financial </w:t>
            </w:r>
            <w:r w:rsidR="00791241">
              <w:rPr>
                <w:rFonts w:eastAsia="Times New Roman" w:cs="Calibri"/>
                <w:color w:val="000000"/>
              </w:rPr>
              <w:t>H</w:t>
            </w:r>
            <w:r w:rsidRPr="00224B2D">
              <w:rPr>
                <w:rFonts w:eastAsia="Times New Roman" w:cs="Calibri"/>
                <w:color w:val="000000"/>
              </w:rPr>
              <w:t>ighlights in USD Millions:</w:t>
            </w:r>
          </w:p>
        </w:tc>
        <w:tc>
          <w:tcPr>
            <w:tcW w:w="2020" w:type="dxa"/>
            <w:vMerge w:val="restart"/>
            <w:shd w:val="clear" w:color="auto" w:fill="auto"/>
            <w:noWrap/>
            <w:vAlign w:val="center"/>
            <w:hideMark/>
          </w:tcPr>
          <w:p w14:paraId="3E96AE9D" w14:textId="77777777" w:rsidR="006D02F7" w:rsidRPr="00D0236B" w:rsidRDefault="006D02F7" w:rsidP="007D79D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D0236B">
              <w:rPr>
                <w:rFonts w:eastAsia="Times New Roman" w:cs="Calibri"/>
                <w:b/>
                <w:bCs/>
                <w:color w:val="000000"/>
              </w:rPr>
              <w:t>FYE (12/31/2023)</w:t>
            </w:r>
          </w:p>
        </w:tc>
        <w:tc>
          <w:tcPr>
            <w:tcW w:w="2020" w:type="dxa"/>
            <w:vMerge w:val="restart"/>
            <w:shd w:val="clear" w:color="auto" w:fill="auto"/>
            <w:noWrap/>
            <w:vAlign w:val="center"/>
            <w:hideMark/>
          </w:tcPr>
          <w:p w14:paraId="35B58531" w14:textId="77777777" w:rsidR="006D02F7" w:rsidRPr="00D0236B" w:rsidRDefault="006D02F7" w:rsidP="007D79D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D0236B">
              <w:rPr>
                <w:rFonts w:eastAsia="Times New Roman" w:cs="Calibri"/>
                <w:b/>
                <w:bCs/>
                <w:color w:val="000000"/>
              </w:rPr>
              <w:t>FYE (12/31/2022)</w:t>
            </w:r>
          </w:p>
        </w:tc>
        <w:tc>
          <w:tcPr>
            <w:tcW w:w="2020" w:type="dxa"/>
            <w:vMerge w:val="restart"/>
            <w:shd w:val="clear" w:color="auto" w:fill="auto"/>
            <w:noWrap/>
            <w:vAlign w:val="center"/>
            <w:hideMark/>
          </w:tcPr>
          <w:p w14:paraId="0FC37F92" w14:textId="77777777" w:rsidR="006D02F7" w:rsidRPr="00D0236B" w:rsidRDefault="006D02F7" w:rsidP="007D79D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D0236B">
              <w:rPr>
                <w:rFonts w:eastAsia="Times New Roman" w:cs="Calibri"/>
                <w:b/>
                <w:bCs/>
                <w:color w:val="000000"/>
              </w:rPr>
              <w:t>FYE (12/31/2021)</w:t>
            </w:r>
          </w:p>
        </w:tc>
        <w:tc>
          <w:tcPr>
            <w:tcW w:w="2295" w:type="dxa"/>
            <w:vMerge w:val="restart"/>
            <w:shd w:val="clear" w:color="auto" w:fill="auto"/>
            <w:noWrap/>
            <w:vAlign w:val="center"/>
            <w:hideMark/>
          </w:tcPr>
          <w:p w14:paraId="5A01C48D" w14:textId="77777777" w:rsidR="006D02F7" w:rsidRPr="00D0236B" w:rsidRDefault="006D02F7" w:rsidP="007D79D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D0236B">
              <w:rPr>
                <w:rFonts w:eastAsia="Times New Roman" w:cs="Calibri"/>
                <w:b/>
                <w:bCs/>
                <w:color w:val="000000"/>
              </w:rPr>
              <w:t>Interim (9/30/2024)</w:t>
            </w:r>
          </w:p>
        </w:tc>
        <w:tc>
          <w:tcPr>
            <w:tcW w:w="2070" w:type="dxa"/>
            <w:vMerge w:val="restart"/>
            <w:shd w:val="clear" w:color="auto" w:fill="auto"/>
            <w:noWrap/>
            <w:vAlign w:val="center"/>
            <w:hideMark/>
          </w:tcPr>
          <w:p w14:paraId="10DE3E20" w14:textId="77777777" w:rsidR="006D02F7" w:rsidRPr="00D0236B" w:rsidRDefault="006D02F7" w:rsidP="007D79D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D0236B">
              <w:rPr>
                <w:rFonts w:eastAsia="Times New Roman" w:cs="Calibri"/>
                <w:b/>
                <w:bCs/>
                <w:color w:val="000000"/>
              </w:rPr>
              <w:t>Interim (9/30/2023)</w:t>
            </w:r>
          </w:p>
        </w:tc>
      </w:tr>
      <w:tr w:rsidR="006D02F7" w:rsidRPr="00224B2D" w14:paraId="5FD05B0B" w14:textId="77777777" w:rsidTr="0036224F">
        <w:trPr>
          <w:trHeight w:val="269"/>
        </w:trPr>
        <w:tc>
          <w:tcPr>
            <w:cnfStyle w:val="001000000000" w:firstRow="0" w:lastRow="0" w:firstColumn="1" w:lastColumn="0" w:oddVBand="0" w:evenVBand="0" w:oddHBand="0" w:evenHBand="0" w:firstRowFirstColumn="0" w:firstRowLastColumn="0" w:lastRowFirstColumn="0" w:lastRowLastColumn="0"/>
            <w:tcW w:w="3880" w:type="dxa"/>
            <w:vMerge/>
            <w:shd w:val="clear" w:color="auto" w:fill="auto"/>
            <w:hideMark/>
          </w:tcPr>
          <w:p w14:paraId="1F3F7476" w14:textId="77777777" w:rsidR="006D02F7" w:rsidRPr="00224B2D" w:rsidRDefault="006D02F7" w:rsidP="00224B2D">
            <w:pPr>
              <w:spacing w:after="0" w:line="240" w:lineRule="auto"/>
              <w:rPr>
                <w:rFonts w:eastAsia="Times New Roman" w:cs="Calibri"/>
                <w:color w:val="000000"/>
              </w:rPr>
            </w:pPr>
          </w:p>
        </w:tc>
        <w:tc>
          <w:tcPr>
            <w:tcW w:w="2020" w:type="dxa"/>
            <w:vMerge/>
            <w:shd w:val="clear" w:color="auto" w:fill="auto"/>
            <w:hideMark/>
          </w:tcPr>
          <w:p w14:paraId="60639FAB" w14:textId="77777777" w:rsidR="006D02F7" w:rsidRPr="00224B2D" w:rsidRDefault="006D02F7" w:rsidP="00224B2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p>
        </w:tc>
        <w:tc>
          <w:tcPr>
            <w:tcW w:w="2020" w:type="dxa"/>
            <w:vMerge/>
            <w:shd w:val="clear" w:color="auto" w:fill="auto"/>
            <w:hideMark/>
          </w:tcPr>
          <w:p w14:paraId="68F143ED" w14:textId="77777777" w:rsidR="006D02F7" w:rsidRPr="00224B2D" w:rsidRDefault="006D02F7" w:rsidP="00224B2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p>
        </w:tc>
        <w:tc>
          <w:tcPr>
            <w:tcW w:w="2020" w:type="dxa"/>
            <w:vMerge/>
            <w:shd w:val="clear" w:color="auto" w:fill="auto"/>
            <w:hideMark/>
          </w:tcPr>
          <w:p w14:paraId="0AC7CF04" w14:textId="77777777" w:rsidR="006D02F7" w:rsidRPr="00224B2D" w:rsidRDefault="006D02F7" w:rsidP="00224B2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p>
        </w:tc>
        <w:tc>
          <w:tcPr>
            <w:tcW w:w="2295" w:type="dxa"/>
            <w:vMerge/>
            <w:shd w:val="clear" w:color="auto" w:fill="auto"/>
            <w:hideMark/>
          </w:tcPr>
          <w:p w14:paraId="2E5D7FDB" w14:textId="77777777" w:rsidR="006D02F7" w:rsidRPr="00224B2D" w:rsidRDefault="006D02F7" w:rsidP="00224B2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p>
        </w:tc>
        <w:tc>
          <w:tcPr>
            <w:tcW w:w="2070" w:type="dxa"/>
            <w:vMerge/>
            <w:shd w:val="clear" w:color="auto" w:fill="auto"/>
            <w:hideMark/>
          </w:tcPr>
          <w:p w14:paraId="53FEBF43" w14:textId="77777777" w:rsidR="006D02F7" w:rsidRPr="00224B2D" w:rsidRDefault="006D02F7" w:rsidP="00224B2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p>
        </w:tc>
      </w:tr>
      <w:tr w:rsidR="00DD7100" w:rsidRPr="00224B2D" w14:paraId="012C365C" w14:textId="77777777" w:rsidTr="002D3C9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5741AAB5" w14:textId="7B9B3661" w:rsidR="00DD7100" w:rsidRPr="00791241" w:rsidRDefault="00DD7100" w:rsidP="00DD7100">
            <w:pPr>
              <w:spacing w:after="0" w:line="240" w:lineRule="auto"/>
              <w:rPr>
                <w:rFonts w:eastAsia="Times New Roman" w:cs="Calibri"/>
                <w:b w:val="0"/>
                <w:bCs w:val="0"/>
              </w:rPr>
            </w:pPr>
            <w:r w:rsidRPr="00791241">
              <w:rPr>
                <w:b w:val="0"/>
                <w:bCs w:val="0"/>
              </w:rPr>
              <w:t>Total Revenue ($)</w:t>
            </w:r>
          </w:p>
        </w:tc>
        <w:tc>
          <w:tcPr>
            <w:tcW w:w="2020" w:type="dxa"/>
            <w:noWrap/>
          </w:tcPr>
          <w:p w14:paraId="0D3EC94F" w14:textId="115E4B8D"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$133,974 </w:t>
            </w:r>
          </w:p>
        </w:tc>
        <w:tc>
          <w:tcPr>
            <w:tcW w:w="2020" w:type="dxa"/>
            <w:noWrap/>
          </w:tcPr>
          <w:p w14:paraId="3CBD9039" w14:textId="6985162B"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$136,835 </w:t>
            </w:r>
          </w:p>
        </w:tc>
        <w:tc>
          <w:tcPr>
            <w:tcW w:w="2020" w:type="dxa"/>
            <w:noWrap/>
          </w:tcPr>
          <w:p w14:paraId="4F52C135" w14:textId="31B0676F"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$133,613 </w:t>
            </w:r>
          </w:p>
        </w:tc>
        <w:tc>
          <w:tcPr>
            <w:tcW w:w="2295" w:type="dxa"/>
            <w:noWrap/>
          </w:tcPr>
          <w:p w14:paraId="34CAFAAD" w14:textId="577CD1CF"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$99,107 </w:t>
            </w:r>
          </w:p>
        </w:tc>
        <w:tc>
          <w:tcPr>
            <w:tcW w:w="2070" w:type="dxa"/>
            <w:noWrap/>
          </w:tcPr>
          <w:p w14:paraId="69FF9251" w14:textId="6A89CCC9"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$98,844 </w:t>
            </w:r>
          </w:p>
        </w:tc>
      </w:tr>
      <w:tr w:rsidR="00DD7100" w:rsidRPr="00224B2D" w14:paraId="557CF753" w14:textId="77777777" w:rsidTr="002D3C9E">
        <w:trPr>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182E15CE" w14:textId="2CE21098" w:rsidR="00DD7100" w:rsidRPr="00791241" w:rsidRDefault="00DD7100" w:rsidP="00DD7100">
            <w:pPr>
              <w:spacing w:after="0" w:line="240" w:lineRule="auto"/>
              <w:rPr>
                <w:rFonts w:eastAsia="Times New Roman" w:cs="Calibri"/>
                <w:b w:val="0"/>
                <w:bCs w:val="0"/>
              </w:rPr>
            </w:pPr>
            <w:r w:rsidRPr="00791241">
              <w:rPr>
                <w:b w:val="0"/>
                <w:bCs w:val="0"/>
              </w:rPr>
              <w:t>Gross Profit ($)</w:t>
            </w:r>
          </w:p>
        </w:tc>
        <w:tc>
          <w:tcPr>
            <w:tcW w:w="2020" w:type="dxa"/>
            <w:noWrap/>
          </w:tcPr>
          <w:p w14:paraId="3B074406" w14:textId="73DF45A1"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$79,087 </w:t>
            </w:r>
          </w:p>
        </w:tc>
        <w:tc>
          <w:tcPr>
            <w:tcW w:w="2020" w:type="dxa"/>
            <w:noWrap/>
          </w:tcPr>
          <w:p w14:paraId="20C96466" w14:textId="577F29D2"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$77,702 </w:t>
            </w:r>
          </w:p>
        </w:tc>
        <w:tc>
          <w:tcPr>
            <w:tcW w:w="2020" w:type="dxa"/>
            <w:noWrap/>
          </w:tcPr>
          <w:p w14:paraId="691D607D" w14:textId="447452B4"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$77,312 </w:t>
            </w:r>
          </w:p>
        </w:tc>
        <w:tc>
          <w:tcPr>
            <w:tcW w:w="2295" w:type="dxa"/>
            <w:noWrap/>
          </w:tcPr>
          <w:p w14:paraId="270B8789" w14:textId="3D958F12"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$60,524 </w:t>
            </w:r>
          </w:p>
        </w:tc>
        <w:tc>
          <w:tcPr>
            <w:tcW w:w="2070" w:type="dxa"/>
            <w:noWrap/>
          </w:tcPr>
          <w:p w14:paraId="005B4A5F" w14:textId="2D9E6A8D"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$59,139 </w:t>
            </w:r>
          </w:p>
        </w:tc>
      </w:tr>
      <w:tr w:rsidR="00DD7100" w:rsidRPr="00224B2D" w14:paraId="0A392225" w14:textId="77777777" w:rsidTr="002D3C9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36291C5F" w14:textId="68391B82" w:rsidR="00DD7100" w:rsidRPr="00791241" w:rsidRDefault="00DD7100" w:rsidP="00DD7100">
            <w:pPr>
              <w:spacing w:after="0" w:line="240" w:lineRule="auto"/>
              <w:rPr>
                <w:rFonts w:eastAsia="Times New Roman" w:cs="Calibri"/>
                <w:b w:val="0"/>
                <w:bCs w:val="0"/>
              </w:rPr>
            </w:pPr>
            <w:r w:rsidRPr="00791241">
              <w:rPr>
                <w:b w:val="0"/>
                <w:bCs w:val="0"/>
              </w:rPr>
              <w:t>EBITDA ($)</w:t>
            </w:r>
          </w:p>
        </w:tc>
        <w:tc>
          <w:tcPr>
            <w:tcW w:w="2020" w:type="dxa"/>
            <w:noWrap/>
          </w:tcPr>
          <w:p w14:paraId="62322D98" w14:textId="59392F6E"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$46,342 </w:t>
            </w:r>
          </w:p>
        </w:tc>
        <w:tc>
          <w:tcPr>
            <w:tcW w:w="2020" w:type="dxa"/>
            <w:noWrap/>
          </w:tcPr>
          <w:p w14:paraId="3A0C0C31" w14:textId="01DD6821"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$47,566 </w:t>
            </w:r>
          </w:p>
        </w:tc>
        <w:tc>
          <w:tcPr>
            <w:tcW w:w="2020" w:type="dxa"/>
            <w:noWrap/>
          </w:tcPr>
          <w:p w14:paraId="7B3C83D2" w14:textId="25F0734F"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$48,654 </w:t>
            </w:r>
          </w:p>
        </w:tc>
        <w:tc>
          <w:tcPr>
            <w:tcW w:w="2295" w:type="dxa"/>
            <w:noWrap/>
          </w:tcPr>
          <w:p w14:paraId="5B9A0F31" w14:textId="148475D2"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$34,651 </w:t>
            </w:r>
          </w:p>
        </w:tc>
        <w:tc>
          <w:tcPr>
            <w:tcW w:w="2070" w:type="dxa"/>
            <w:noWrap/>
          </w:tcPr>
          <w:p w14:paraId="4045A70A" w14:textId="38A8B4C8"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$35,385 </w:t>
            </w:r>
          </w:p>
        </w:tc>
      </w:tr>
      <w:tr w:rsidR="00DD7100" w:rsidRPr="00224B2D" w14:paraId="38469E4D" w14:textId="77777777" w:rsidTr="002D3C9E">
        <w:trPr>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4CDF994B" w14:textId="71E12D21" w:rsidR="00DD7100" w:rsidRPr="00791241" w:rsidRDefault="00DD7100" w:rsidP="00DD7100">
            <w:pPr>
              <w:spacing w:after="0" w:line="240" w:lineRule="auto"/>
              <w:rPr>
                <w:rFonts w:eastAsia="Times New Roman" w:cs="Calibri"/>
                <w:b w:val="0"/>
                <w:bCs w:val="0"/>
              </w:rPr>
            </w:pPr>
            <w:r w:rsidRPr="00791241">
              <w:rPr>
                <w:b w:val="0"/>
                <w:bCs w:val="0"/>
              </w:rPr>
              <w:t>Net Income ($)</w:t>
            </w:r>
          </w:p>
        </w:tc>
        <w:tc>
          <w:tcPr>
            <w:tcW w:w="2020" w:type="dxa"/>
            <w:noWrap/>
          </w:tcPr>
          <w:p w14:paraId="3908A066" w14:textId="2B7B2911"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$11,614 </w:t>
            </w:r>
          </w:p>
        </w:tc>
        <w:tc>
          <w:tcPr>
            <w:tcW w:w="2020" w:type="dxa"/>
            <w:noWrap/>
          </w:tcPr>
          <w:p w14:paraId="1AFE2DD7" w14:textId="2EE34120"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$21,256 </w:t>
            </w:r>
          </w:p>
        </w:tc>
        <w:tc>
          <w:tcPr>
            <w:tcW w:w="2020" w:type="dxa"/>
            <w:noWrap/>
          </w:tcPr>
          <w:p w14:paraId="24316135" w14:textId="5F463B32"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$22,065 </w:t>
            </w:r>
          </w:p>
        </w:tc>
        <w:tc>
          <w:tcPr>
            <w:tcW w:w="2295" w:type="dxa"/>
            <w:noWrap/>
          </w:tcPr>
          <w:p w14:paraId="156AE867" w14:textId="2459CD73"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$12,730 </w:t>
            </w:r>
          </w:p>
        </w:tc>
        <w:tc>
          <w:tcPr>
            <w:tcW w:w="2070" w:type="dxa"/>
            <w:noWrap/>
          </w:tcPr>
          <w:p w14:paraId="41626918" w14:textId="242B77EA"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$14,546 </w:t>
            </w:r>
          </w:p>
        </w:tc>
      </w:tr>
      <w:tr w:rsidR="00DD7100" w:rsidRPr="00224B2D" w14:paraId="62AFD69C" w14:textId="77777777" w:rsidTr="002D3C9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0833B549" w14:textId="668D4232" w:rsidR="00DD7100" w:rsidRPr="00791241" w:rsidRDefault="00DD7100" w:rsidP="00DD7100">
            <w:pPr>
              <w:spacing w:after="0" w:line="240" w:lineRule="auto"/>
              <w:rPr>
                <w:rFonts w:eastAsia="Times New Roman" w:cs="Calibri"/>
                <w:b w:val="0"/>
                <w:bCs w:val="0"/>
              </w:rPr>
            </w:pPr>
            <w:r w:rsidRPr="00791241">
              <w:rPr>
                <w:b w:val="0"/>
                <w:bCs w:val="0"/>
              </w:rPr>
              <w:t>Cash Flow from Operations ($)</w:t>
            </w:r>
          </w:p>
        </w:tc>
        <w:tc>
          <w:tcPr>
            <w:tcW w:w="2020" w:type="dxa"/>
            <w:noWrap/>
          </w:tcPr>
          <w:p w14:paraId="42BE65AB" w14:textId="5CDCD80E"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$36,994 </w:t>
            </w:r>
          </w:p>
        </w:tc>
        <w:tc>
          <w:tcPr>
            <w:tcW w:w="2020" w:type="dxa"/>
            <w:noWrap/>
          </w:tcPr>
          <w:p w14:paraId="1D4F3B26" w14:textId="1F598740"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$36,649 </w:t>
            </w:r>
          </w:p>
        </w:tc>
        <w:tc>
          <w:tcPr>
            <w:tcW w:w="2020" w:type="dxa"/>
            <w:noWrap/>
          </w:tcPr>
          <w:p w14:paraId="039CD51C" w14:textId="48A666E2"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$38,986 </w:t>
            </w:r>
          </w:p>
        </w:tc>
        <w:tc>
          <w:tcPr>
            <w:tcW w:w="2295" w:type="dxa"/>
            <w:noWrap/>
          </w:tcPr>
          <w:p w14:paraId="32A83E68" w14:textId="32C5D4A1"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$26,375 </w:t>
            </w:r>
          </w:p>
        </w:tc>
        <w:tc>
          <w:tcPr>
            <w:tcW w:w="2070" w:type="dxa"/>
            <w:noWrap/>
          </w:tcPr>
          <w:p w14:paraId="7B6EEE33" w14:textId="6A7AE6DF"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$28,676 </w:t>
            </w:r>
          </w:p>
        </w:tc>
      </w:tr>
      <w:tr w:rsidR="00DD7100" w:rsidRPr="00224B2D" w14:paraId="4281C072" w14:textId="77777777" w:rsidTr="002D3C9E">
        <w:trPr>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0EC91B81" w14:textId="54317811" w:rsidR="00DD7100" w:rsidRPr="00791241" w:rsidRDefault="00DD7100" w:rsidP="00DD7100">
            <w:pPr>
              <w:spacing w:after="0" w:line="240" w:lineRule="auto"/>
              <w:rPr>
                <w:rFonts w:eastAsia="Times New Roman" w:cs="Calibri"/>
                <w:b w:val="0"/>
                <w:bCs w:val="0"/>
              </w:rPr>
            </w:pPr>
            <w:r w:rsidRPr="00791241">
              <w:rPr>
                <w:b w:val="0"/>
                <w:bCs w:val="0"/>
              </w:rPr>
              <w:t>Capital Expenditure ($)</w:t>
            </w:r>
          </w:p>
        </w:tc>
        <w:tc>
          <w:tcPr>
            <w:tcW w:w="2020" w:type="dxa"/>
            <w:noWrap/>
          </w:tcPr>
          <w:p w14:paraId="5430EEDE" w14:textId="4EBEC90C"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($18,767)</w:t>
            </w:r>
          </w:p>
        </w:tc>
        <w:tc>
          <w:tcPr>
            <w:tcW w:w="2020" w:type="dxa"/>
            <w:noWrap/>
          </w:tcPr>
          <w:p w14:paraId="74488DAB" w14:textId="0833C3C7"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($23,087)</w:t>
            </w:r>
          </w:p>
        </w:tc>
        <w:tc>
          <w:tcPr>
            <w:tcW w:w="2020" w:type="dxa"/>
            <w:noWrap/>
          </w:tcPr>
          <w:p w14:paraId="1E6FBCDA" w14:textId="44EA6AC8"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($20,286)</w:t>
            </w:r>
          </w:p>
        </w:tc>
        <w:tc>
          <w:tcPr>
            <w:tcW w:w="2295" w:type="dxa"/>
            <w:noWrap/>
          </w:tcPr>
          <w:p w14:paraId="3FACC80B" w14:textId="700F4B0D"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($12,019)</w:t>
            </w:r>
          </w:p>
        </w:tc>
        <w:tc>
          <w:tcPr>
            <w:tcW w:w="2070" w:type="dxa"/>
            <w:noWrap/>
          </w:tcPr>
          <w:p w14:paraId="62832775" w14:textId="15BF2E1B"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($14,164)</w:t>
            </w:r>
          </w:p>
        </w:tc>
      </w:tr>
      <w:tr w:rsidR="00DD7100" w:rsidRPr="00224B2D" w14:paraId="204E0695" w14:textId="77777777" w:rsidTr="002D3C9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06C0A1C5" w14:textId="08D80057" w:rsidR="00DD7100" w:rsidRPr="00791241" w:rsidRDefault="00DD7100" w:rsidP="00DD7100">
            <w:pPr>
              <w:spacing w:after="0" w:line="240" w:lineRule="auto"/>
              <w:rPr>
                <w:rFonts w:eastAsia="Times New Roman" w:cs="Calibri"/>
                <w:b w:val="0"/>
                <w:bCs w:val="0"/>
              </w:rPr>
            </w:pPr>
            <w:r w:rsidRPr="00791241">
              <w:rPr>
                <w:b w:val="0"/>
                <w:bCs w:val="0"/>
              </w:rPr>
              <w:t>Free Cash Flow ($)</w:t>
            </w:r>
          </w:p>
        </w:tc>
        <w:tc>
          <w:tcPr>
            <w:tcW w:w="2020" w:type="dxa"/>
            <w:noWrap/>
          </w:tcPr>
          <w:p w14:paraId="270AB991" w14:textId="799AA087"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$7,202 </w:t>
            </w:r>
          </w:p>
        </w:tc>
        <w:tc>
          <w:tcPr>
            <w:tcW w:w="2020" w:type="dxa"/>
            <w:noWrap/>
          </w:tcPr>
          <w:p w14:paraId="617DAF97" w14:textId="3C0D62E3"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$2,757 </w:t>
            </w:r>
          </w:p>
        </w:tc>
        <w:tc>
          <w:tcPr>
            <w:tcW w:w="2020" w:type="dxa"/>
            <w:noWrap/>
          </w:tcPr>
          <w:p w14:paraId="2DC60B60" w14:textId="68978471"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$8,255 </w:t>
            </w:r>
          </w:p>
        </w:tc>
        <w:tc>
          <w:tcPr>
            <w:tcW w:w="2295" w:type="dxa"/>
            <w:noWrap/>
          </w:tcPr>
          <w:p w14:paraId="21AF1B59" w14:textId="17C0C50F"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$5,957 </w:t>
            </w:r>
          </w:p>
        </w:tc>
        <w:tc>
          <w:tcPr>
            <w:tcW w:w="2070" w:type="dxa"/>
            <w:noWrap/>
          </w:tcPr>
          <w:p w14:paraId="55B8E505" w14:textId="59549A67"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$6,281 </w:t>
            </w:r>
          </w:p>
        </w:tc>
      </w:tr>
      <w:tr w:rsidR="00DD7100" w:rsidRPr="00224B2D" w14:paraId="3C3F86F5" w14:textId="77777777" w:rsidTr="002D3C9E">
        <w:trPr>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6C5F40B1" w14:textId="1DB445F9" w:rsidR="00DD7100" w:rsidRPr="00791241" w:rsidRDefault="00DD7100" w:rsidP="00DD7100">
            <w:pPr>
              <w:spacing w:after="0" w:line="240" w:lineRule="auto"/>
              <w:rPr>
                <w:rFonts w:eastAsia="Times New Roman" w:cs="Calibri"/>
                <w:b w:val="0"/>
                <w:bCs w:val="0"/>
              </w:rPr>
            </w:pPr>
            <w:r w:rsidRPr="00791241">
              <w:rPr>
                <w:b w:val="0"/>
                <w:bCs w:val="0"/>
              </w:rPr>
              <w:t>Total Assets ($)</w:t>
            </w:r>
          </w:p>
        </w:tc>
        <w:tc>
          <w:tcPr>
            <w:tcW w:w="2020" w:type="dxa"/>
            <w:noWrap/>
          </w:tcPr>
          <w:p w14:paraId="1D41B9D8" w14:textId="27ED3228"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$380,255 </w:t>
            </w:r>
          </w:p>
        </w:tc>
        <w:tc>
          <w:tcPr>
            <w:tcW w:w="2020" w:type="dxa"/>
            <w:noWrap/>
          </w:tcPr>
          <w:p w14:paraId="7D834A8A" w14:textId="51A9F40F"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$379,680 </w:t>
            </w:r>
          </w:p>
        </w:tc>
        <w:tc>
          <w:tcPr>
            <w:tcW w:w="2020" w:type="dxa"/>
            <w:noWrap/>
          </w:tcPr>
          <w:p w14:paraId="30CF7D61" w14:textId="0004C0E4"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$366,596 </w:t>
            </w:r>
          </w:p>
        </w:tc>
        <w:tc>
          <w:tcPr>
            <w:tcW w:w="2295" w:type="dxa"/>
            <w:noWrap/>
          </w:tcPr>
          <w:p w14:paraId="2309C5C9" w14:textId="51688B59"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$381,164 </w:t>
            </w:r>
          </w:p>
        </w:tc>
        <w:tc>
          <w:tcPr>
            <w:tcW w:w="2070" w:type="dxa"/>
            <w:noWrap/>
          </w:tcPr>
          <w:p w14:paraId="48F577CD" w14:textId="32B6A8BB"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$384,830 </w:t>
            </w:r>
          </w:p>
        </w:tc>
      </w:tr>
      <w:tr w:rsidR="00DD7100" w:rsidRPr="00224B2D" w14:paraId="234A6568" w14:textId="77777777" w:rsidTr="002D3C9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6C294C07" w14:textId="2473D5A4" w:rsidR="00DD7100" w:rsidRPr="00791241" w:rsidRDefault="00DD7100" w:rsidP="00DD7100">
            <w:pPr>
              <w:spacing w:after="0" w:line="240" w:lineRule="auto"/>
              <w:rPr>
                <w:rFonts w:eastAsia="Times New Roman" w:cs="Calibri"/>
                <w:b w:val="0"/>
                <w:bCs w:val="0"/>
              </w:rPr>
            </w:pPr>
            <w:r w:rsidRPr="00791241">
              <w:rPr>
                <w:b w:val="0"/>
                <w:bCs w:val="0"/>
              </w:rPr>
              <w:t>Cash ($)</w:t>
            </w:r>
          </w:p>
        </w:tc>
        <w:tc>
          <w:tcPr>
            <w:tcW w:w="2020" w:type="dxa"/>
            <w:noWrap/>
          </w:tcPr>
          <w:p w14:paraId="07569F62" w14:textId="0AD7C7E7"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$2,065 </w:t>
            </w:r>
          </w:p>
        </w:tc>
        <w:tc>
          <w:tcPr>
            <w:tcW w:w="2020" w:type="dxa"/>
            <w:noWrap/>
          </w:tcPr>
          <w:p w14:paraId="212D2960" w14:textId="131C9BCC"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$2,605 </w:t>
            </w:r>
          </w:p>
        </w:tc>
        <w:tc>
          <w:tcPr>
            <w:tcW w:w="2020" w:type="dxa"/>
            <w:noWrap/>
          </w:tcPr>
          <w:p w14:paraId="5C99193F" w14:textId="4B91A166"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$2,921 </w:t>
            </w:r>
          </w:p>
        </w:tc>
        <w:tc>
          <w:tcPr>
            <w:tcW w:w="2295" w:type="dxa"/>
            <w:noWrap/>
          </w:tcPr>
          <w:p w14:paraId="786A69C3" w14:textId="2CE99A0D"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$4,987 </w:t>
            </w:r>
          </w:p>
        </w:tc>
        <w:tc>
          <w:tcPr>
            <w:tcW w:w="2070" w:type="dxa"/>
            <w:noWrap/>
          </w:tcPr>
          <w:p w14:paraId="256862EA" w14:textId="18C7AFF4"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 xml:space="preserve">$4,210 </w:t>
            </w:r>
          </w:p>
        </w:tc>
      </w:tr>
      <w:tr w:rsidR="00DD7100" w:rsidRPr="00224B2D" w14:paraId="5B913182" w14:textId="77777777" w:rsidTr="002D3C9E">
        <w:trPr>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782106FE" w14:textId="6191CD1D" w:rsidR="00DD7100" w:rsidRPr="00791241" w:rsidRDefault="00DD7100" w:rsidP="00DD7100">
            <w:pPr>
              <w:spacing w:after="0" w:line="240" w:lineRule="auto"/>
              <w:rPr>
                <w:rFonts w:eastAsia="Times New Roman" w:cs="Calibri"/>
                <w:b w:val="0"/>
                <w:bCs w:val="0"/>
              </w:rPr>
            </w:pPr>
            <w:r w:rsidRPr="00791241">
              <w:rPr>
                <w:b w:val="0"/>
                <w:bCs w:val="0"/>
              </w:rPr>
              <w:t>Total Debt ($)</w:t>
            </w:r>
          </w:p>
        </w:tc>
        <w:tc>
          <w:tcPr>
            <w:tcW w:w="2020" w:type="dxa"/>
            <w:noWrap/>
          </w:tcPr>
          <w:p w14:paraId="261631AA" w14:textId="4026D342"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$174,942 </w:t>
            </w:r>
          </w:p>
        </w:tc>
        <w:tc>
          <w:tcPr>
            <w:tcW w:w="2020" w:type="dxa"/>
            <w:noWrap/>
          </w:tcPr>
          <w:p w14:paraId="3C7C161B" w14:textId="2C835CE0"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$176,331 </w:t>
            </w:r>
          </w:p>
        </w:tc>
        <w:tc>
          <w:tcPr>
            <w:tcW w:w="2020" w:type="dxa"/>
            <w:noWrap/>
          </w:tcPr>
          <w:p w14:paraId="7F68F15B" w14:textId="468EC54E"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$177,930 </w:t>
            </w:r>
          </w:p>
        </w:tc>
        <w:tc>
          <w:tcPr>
            <w:tcW w:w="2295" w:type="dxa"/>
            <w:noWrap/>
          </w:tcPr>
          <w:p w14:paraId="7800314F" w14:textId="6E34298F"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$174,200 </w:t>
            </w:r>
          </w:p>
        </w:tc>
        <w:tc>
          <w:tcPr>
            <w:tcW w:w="2070" w:type="dxa"/>
            <w:noWrap/>
          </w:tcPr>
          <w:p w14:paraId="3A708A47" w14:textId="622B4630"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$171,299 </w:t>
            </w:r>
          </w:p>
        </w:tc>
      </w:tr>
      <w:tr w:rsidR="00DD7100" w:rsidRPr="00224B2D" w14:paraId="76EB7D9B" w14:textId="77777777" w:rsidTr="002D3C9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6C252BA7" w14:textId="3176C4A0" w:rsidR="00DD7100" w:rsidRPr="00791241" w:rsidRDefault="00DD7100" w:rsidP="00DD7100">
            <w:pPr>
              <w:spacing w:after="0" w:line="240" w:lineRule="auto"/>
              <w:rPr>
                <w:rFonts w:eastAsia="Times New Roman" w:cs="Calibri"/>
                <w:b w:val="0"/>
                <w:bCs w:val="0"/>
              </w:rPr>
            </w:pPr>
            <w:r w:rsidRPr="00791241">
              <w:rPr>
                <w:b w:val="0"/>
                <w:bCs w:val="0"/>
              </w:rPr>
              <w:t>Tangible Net Worth ($)</w:t>
            </w:r>
          </w:p>
        </w:tc>
        <w:tc>
          <w:tcPr>
            <w:tcW w:w="2020" w:type="dxa"/>
          </w:tcPr>
          <w:p w14:paraId="6908A74B" w14:textId="2DC5D227"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($97,137)</w:t>
            </w:r>
          </w:p>
        </w:tc>
        <w:tc>
          <w:tcPr>
            <w:tcW w:w="2020" w:type="dxa"/>
          </w:tcPr>
          <w:p w14:paraId="0C06CB61" w14:textId="191BF411"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($98,784)</w:t>
            </w:r>
          </w:p>
        </w:tc>
        <w:tc>
          <w:tcPr>
            <w:tcW w:w="2020" w:type="dxa"/>
          </w:tcPr>
          <w:p w14:paraId="7BB507A0" w14:textId="606EF81B"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($106,109)</w:t>
            </w:r>
          </w:p>
        </w:tc>
        <w:tc>
          <w:tcPr>
            <w:tcW w:w="2295" w:type="dxa"/>
          </w:tcPr>
          <w:p w14:paraId="6AF27896" w14:textId="1C310C09"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($93,673)</w:t>
            </w:r>
          </w:p>
        </w:tc>
        <w:tc>
          <w:tcPr>
            <w:tcW w:w="2070" w:type="dxa"/>
          </w:tcPr>
          <w:p w14:paraId="73090F3F" w14:textId="20A78226"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($97,318)</w:t>
            </w:r>
          </w:p>
        </w:tc>
      </w:tr>
      <w:tr w:rsidR="00DD7100" w:rsidRPr="00224B2D" w14:paraId="3415F00A" w14:textId="77777777" w:rsidTr="002D3C9E">
        <w:trPr>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433E8983" w14:textId="346207F7" w:rsidR="00DD7100" w:rsidRPr="00791241" w:rsidRDefault="00DD7100" w:rsidP="00DD7100">
            <w:pPr>
              <w:spacing w:after="0" w:line="240" w:lineRule="auto"/>
              <w:rPr>
                <w:rFonts w:eastAsia="Times New Roman" w:cs="Calibri"/>
                <w:b w:val="0"/>
                <w:bCs w:val="0"/>
              </w:rPr>
            </w:pPr>
            <w:r w:rsidRPr="00791241">
              <w:rPr>
                <w:b w:val="0"/>
                <w:bCs w:val="0"/>
              </w:rPr>
              <w:t>Total Capitalization ($)</w:t>
            </w:r>
          </w:p>
        </w:tc>
        <w:tc>
          <w:tcPr>
            <w:tcW w:w="2020" w:type="dxa"/>
          </w:tcPr>
          <w:p w14:paraId="512E3723" w14:textId="7A5A06C5"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$268,741 </w:t>
            </w:r>
          </w:p>
        </w:tc>
        <w:tc>
          <w:tcPr>
            <w:tcW w:w="2020" w:type="dxa"/>
          </w:tcPr>
          <w:p w14:paraId="75061DAB" w14:textId="6AC2B411"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$268,794 </w:t>
            </w:r>
          </w:p>
        </w:tc>
        <w:tc>
          <w:tcPr>
            <w:tcW w:w="2020" w:type="dxa"/>
          </w:tcPr>
          <w:p w14:paraId="06AD0ECD" w14:textId="4A82DDCC"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$261,130 </w:t>
            </w:r>
          </w:p>
        </w:tc>
        <w:tc>
          <w:tcPr>
            <w:tcW w:w="2295" w:type="dxa"/>
          </w:tcPr>
          <w:p w14:paraId="381D94AE" w14:textId="1983AAFC"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$271,868 </w:t>
            </w:r>
          </w:p>
        </w:tc>
        <w:tc>
          <w:tcPr>
            <w:tcW w:w="2070" w:type="dxa"/>
          </w:tcPr>
          <w:p w14:paraId="61DDB89E" w14:textId="6B435126" w:rsidR="00DD7100" w:rsidRPr="00224B2D" w:rsidRDefault="00DD7100" w:rsidP="00DD710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8D0C89">
              <w:t xml:space="preserve">$270,387 </w:t>
            </w:r>
          </w:p>
        </w:tc>
      </w:tr>
      <w:tr w:rsidR="00DD7100" w:rsidRPr="00224B2D" w14:paraId="5832FE31" w14:textId="77777777" w:rsidTr="002D3C9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880" w:type="dxa"/>
            <w:noWrap/>
          </w:tcPr>
          <w:p w14:paraId="48A67D55" w14:textId="2FD86067" w:rsidR="00DD7100" w:rsidRPr="00791241" w:rsidRDefault="00DD7100" w:rsidP="00DD7100">
            <w:pPr>
              <w:spacing w:after="0" w:line="240" w:lineRule="auto"/>
              <w:rPr>
                <w:rFonts w:eastAsia="Times New Roman" w:cs="Calibri"/>
                <w:b w:val="0"/>
                <w:bCs w:val="0"/>
              </w:rPr>
            </w:pPr>
            <w:r w:rsidRPr="00791241">
              <w:rPr>
                <w:b w:val="0"/>
                <w:bCs w:val="0"/>
              </w:rPr>
              <w:t>Working Capital ($)</w:t>
            </w:r>
          </w:p>
        </w:tc>
        <w:tc>
          <w:tcPr>
            <w:tcW w:w="2020" w:type="dxa"/>
          </w:tcPr>
          <w:p w14:paraId="36230D95" w14:textId="0CC0F162"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($16,409)</w:t>
            </w:r>
          </w:p>
        </w:tc>
        <w:tc>
          <w:tcPr>
            <w:tcW w:w="2020" w:type="dxa"/>
          </w:tcPr>
          <w:p w14:paraId="79CCCF96" w14:textId="60F8EA02"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($12,314)</w:t>
            </w:r>
          </w:p>
        </w:tc>
        <w:tc>
          <w:tcPr>
            <w:tcW w:w="2020" w:type="dxa"/>
          </w:tcPr>
          <w:p w14:paraId="4144B21E" w14:textId="48362B6A"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($10,432)</w:t>
            </w:r>
          </w:p>
        </w:tc>
        <w:tc>
          <w:tcPr>
            <w:tcW w:w="2295" w:type="dxa"/>
          </w:tcPr>
          <w:p w14:paraId="0371EFDC" w14:textId="612C4F6E"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($21,175)</w:t>
            </w:r>
          </w:p>
        </w:tc>
        <w:tc>
          <w:tcPr>
            <w:tcW w:w="2070" w:type="dxa"/>
          </w:tcPr>
          <w:p w14:paraId="450B7EEC" w14:textId="7BF02B90" w:rsidR="00DD7100" w:rsidRPr="00224B2D" w:rsidRDefault="00DD7100" w:rsidP="00DD710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8D0C89">
              <w:t>($21,464)</w:t>
            </w:r>
          </w:p>
        </w:tc>
      </w:tr>
    </w:tbl>
    <w:p w14:paraId="6CD5E7FC" w14:textId="77777777" w:rsidR="000E2A17" w:rsidRDefault="000E2A17" w:rsidP="00881DFB">
      <w:pPr>
        <w:tabs>
          <w:tab w:val="center" w:pos="7200"/>
          <w:tab w:val="right" w:pos="14400"/>
        </w:tabs>
        <w:spacing w:after="0" w:line="240" w:lineRule="auto"/>
        <w:rPr>
          <w:b/>
          <w:bCs/>
        </w:rPr>
      </w:pPr>
    </w:p>
    <w:p w14:paraId="3E548A22" w14:textId="77777777" w:rsidR="000E2A17" w:rsidRDefault="000E2A17" w:rsidP="00881DFB">
      <w:pPr>
        <w:tabs>
          <w:tab w:val="center" w:pos="7200"/>
          <w:tab w:val="right" w:pos="14400"/>
        </w:tabs>
        <w:spacing w:after="0" w:line="240" w:lineRule="auto"/>
        <w:rPr>
          <w:b/>
          <w:bCs/>
        </w:rPr>
      </w:pPr>
    </w:p>
    <w:p w14:paraId="45FB7F88" w14:textId="77777777" w:rsidR="004B5438" w:rsidRDefault="004B5438" w:rsidP="00881DFB">
      <w:pPr>
        <w:tabs>
          <w:tab w:val="center" w:pos="7200"/>
          <w:tab w:val="right" w:pos="14400"/>
        </w:tabs>
        <w:spacing w:after="0" w:line="240" w:lineRule="auto"/>
        <w:rPr>
          <w:b/>
          <w:bCs/>
        </w:rPr>
      </w:pPr>
    </w:p>
    <w:p w14:paraId="46C815AD" w14:textId="77777777" w:rsidR="004B5438" w:rsidRDefault="004B5438" w:rsidP="00881DFB">
      <w:pPr>
        <w:tabs>
          <w:tab w:val="center" w:pos="7200"/>
          <w:tab w:val="right" w:pos="14400"/>
        </w:tabs>
        <w:spacing w:after="0" w:line="240" w:lineRule="auto"/>
        <w:rPr>
          <w:b/>
          <w:bCs/>
        </w:rPr>
      </w:pPr>
    </w:p>
    <w:p w14:paraId="30FB0870" w14:textId="77777777" w:rsidR="004B5438" w:rsidRDefault="004B5438" w:rsidP="00881DFB">
      <w:pPr>
        <w:tabs>
          <w:tab w:val="center" w:pos="7200"/>
          <w:tab w:val="right" w:pos="14400"/>
        </w:tabs>
        <w:spacing w:after="0" w:line="240" w:lineRule="auto"/>
        <w:rPr>
          <w:b/>
          <w:bCs/>
        </w:rPr>
      </w:pPr>
    </w:p>
    <w:p w14:paraId="260C57AB" w14:textId="77777777" w:rsidR="006769FD" w:rsidRDefault="006769FD" w:rsidP="00881DFB">
      <w:pPr>
        <w:tabs>
          <w:tab w:val="center" w:pos="7200"/>
          <w:tab w:val="right" w:pos="14400"/>
        </w:tabs>
        <w:spacing w:after="0" w:line="240" w:lineRule="auto"/>
        <w:rPr>
          <w:b/>
          <w:bCs/>
        </w:rPr>
      </w:pPr>
    </w:p>
    <w:p w14:paraId="128B98DD" w14:textId="77777777" w:rsidR="006769FD" w:rsidRDefault="006769FD" w:rsidP="00881DFB">
      <w:pPr>
        <w:tabs>
          <w:tab w:val="center" w:pos="7200"/>
          <w:tab w:val="right" w:pos="14400"/>
        </w:tabs>
        <w:spacing w:after="0" w:line="240" w:lineRule="auto"/>
        <w:rPr>
          <w:b/>
          <w:bCs/>
        </w:rPr>
      </w:pPr>
    </w:p>
    <w:p w14:paraId="4DA1BB48" w14:textId="77777777" w:rsidR="006769FD" w:rsidRDefault="006769FD" w:rsidP="00881DFB">
      <w:pPr>
        <w:tabs>
          <w:tab w:val="center" w:pos="7200"/>
          <w:tab w:val="right" w:pos="14400"/>
        </w:tabs>
        <w:spacing w:after="0" w:line="240" w:lineRule="auto"/>
        <w:rPr>
          <w:b/>
          <w:bCs/>
        </w:rPr>
      </w:pPr>
    </w:p>
    <w:p w14:paraId="53AA41F5" w14:textId="77777777" w:rsidR="006769FD" w:rsidRDefault="006769FD" w:rsidP="00881DFB">
      <w:pPr>
        <w:tabs>
          <w:tab w:val="center" w:pos="7200"/>
          <w:tab w:val="right" w:pos="14400"/>
        </w:tabs>
        <w:spacing w:after="0" w:line="240" w:lineRule="auto"/>
        <w:rPr>
          <w:b/>
          <w:bCs/>
        </w:rPr>
      </w:pPr>
    </w:p>
    <w:p w14:paraId="39246A0C" w14:textId="77777777" w:rsidR="006769FD" w:rsidRDefault="006769FD" w:rsidP="00881DFB">
      <w:pPr>
        <w:tabs>
          <w:tab w:val="center" w:pos="7200"/>
          <w:tab w:val="right" w:pos="14400"/>
        </w:tabs>
        <w:spacing w:after="0" w:line="240" w:lineRule="auto"/>
        <w:rPr>
          <w:b/>
          <w:bCs/>
        </w:rPr>
      </w:pPr>
    </w:p>
    <w:p w14:paraId="7065AF66" w14:textId="77777777" w:rsidR="006769FD" w:rsidRDefault="006769FD" w:rsidP="00881DFB">
      <w:pPr>
        <w:tabs>
          <w:tab w:val="center" w:pos="7200"/>
          <w:tab w:val="right" w:pos="14400"/>
        </w:tabs>
        <w:spacing w:after="0" w:line="240" w:lineRule="auto"/>
        <w:rPr>
          <w:b/>
          <w:bCs/>
        </w:rPr>
      </w:pPr>
    </w:p>
    <w:p w14:paraId="1885A1AC" w14:textId="77777777" w:rsidR="004B5438" w:rsidRDefault="004B5438" w:rsidP="00881DFB">
      <w:pPr>
        <w:tabs>
          <w:tab w:val="center" w:pos="7200"/>
          <w:tab w:val="right" w:pos="14400"/>
        </w:tabs>
        <w:spacing w:after="0" w:line="240" w:lineRule="auto"/>
        <w:rPr>
          <w:b/>
          <w:bCs/>
        </w:rPr>
      </w:pPr>
    </w:p>
    <w:p w14:paraId="018D77A4" w14:textId="6531B0B2" w:rsidR="005B15AE" w:rsidRPr="008C7C3C" w:rsidRDefault="008C7C3C" w:rsidP="00881DFB">
      <w:pPr>
        <w:tabs>
          <w:tab w:val="center" w:pos="7200"/>
          <w:tab w:val="right" w:pos="14400"/>
        </w:tabs>
        <w:spacing w:after="0" w:line="240" w:lineRule="auto"/>
        <w:rPr>
          <w:b/>
          <w:bCs/>
        </w:rPr>
      </w:pPr>
      <w:r w:rsidRPr="008C7C3C">
        <w:rPr>
          <w:b/>
          <w:bCs/>
        </w:rPr>
        <w:lastRenderedPageBreak/>
        <w:t>Ratios</w:t>
      </w:r>
    </w:p>
    <w:p w14:paraId="6E72227A" w14:textId="77777777" w:rsidR="00A04716" w:rsidRDefault="00A04716" w:rsidP="00881DFB">
      <w:pPr>
        <w:tabs>
          <w:tab w:val="center" w:pos="7200"/>
          <w:tab w:val="right" w:pos="14400"/>
        </w:tabs>
        <w:spacing w:after="0" w:line="240" w:lineRule="auto"/>
        <w:rPr>
          <w:b/>
          <w:color w:val="FFFFFF" w:themeColor="background1"/>
          <w:sz w:val="28"/>
          <w:szCs w:val="28"/>
        </w:rPr>
      </w:pPr>
    </w:p>
    <w:tbl>
      <w:tblPr>
        <w:tblStyle w:val="PlainTable1"/>
        <w:tblW w:w="14035" w:type="dxa"/>
        <w:tblLook w:val="0480" w:firstRow="0" w:lastRow="0" w:firstColumn="1" w:lastColumn="0" w:noHBand="0" w:noVBand="1"/>
      </w:tblPr>
      <w:tblGrid>
        <w:gridCol w:w="4074"/>
        <w:gridCol w:w="1861"/>
        <w:gridCol w:w="1890"/>
        <w:gridCol w:w="1890"/>
        <w:gridCol w:w="2160"/>
        <w:gridCol w:w="2160"/>
      </w:tblGrid>
      <w:tr w:rsidR="00283256" w:rsidRPr="00283256" w14:paraId="78E57F50" w14:textId="77777777" w:rsidTr="0036224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074" w:type="dxa"/>
            <w:vMerge w:val="restart"/>
            <w:shd w:val="clear" w:color="auto" w:fill="auto"/>
            <w:noWrap/>
            <w:vAlign w:val="center"/>
            <w:hideMark/>
          </w:tcPr>
          <w:p w14:paraId="10FC5E47" w14:textId="77777777" w:rsidR="00283256" w:rsidRPr="00283256" w:rsidRDefault="00283256" w:rsidP="00283256">
            <w:pPr>
              <w:spacing w:after="0" w:line="240" w:lineRule="auto"/>
              <w:rPr>
                <w:rFonts w:eastAsia="Times New Roman" w:cs="Calibri"/>
                <w:color w:val="000000"/>
              </w:rPr>
            </w:pPr>
            <w:r w:rsidRPr="00283256">
              <w:rPr>
                <w:rFonts w:eastAsia="Times New Roman" w:cs="Calibri"/>
                <w:color w:val="000000"/>
              </w:rPr>
              <w:t>Financial Ratios</w:t>
            </w:r>
          </w:p>
        </w:tc>
        <w:tc>
          <w:tcPr>
            <w:tcW w:w="1861" w:type="dxa"/>
            <w:vMerge w:val="restart"/>
            <w:shd w:val="clear" w:color="auto" w:fill="auto"/>
            <w:noWrap/>
            <w:vAlign w:val="center"/>
            <w:hideMark/>
          </w:tcPr>
          <w:p w14:paraId="3CB98822" w14:textId="77777777" w:rsidR="00283256" w:rsidRPr="00D0236B" w:rsidRDefault="00283256" w:rsidP="002832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D0236B">
              <w:rPr>
                <w:rFonts w:eastAsia="Times New Roman" w:cs="Calibri"/>
                <w:b/>
                <w:bCs/>
                <w:color w:val="000000"/>
              </w:rPr>
              <w:t>FYE (12/31/2023)</w:t>
            </w:r>
          </w:p>
        </w:tc>
        <w:tc>
          <w:tcPr>
            <w:tcW w:w="1890" w:type="dxa"/>
            <w:vMerge w:val="restart"/>
            <w:shd w:val="clear" w:color="auto" w:fill="auto"/>
            <w:noWrap/>
            <w:vAlign w:val="center"/>
            <w:hideMark/>
          </w:tcPr>
          <w:p w14:paraId="34A85EFD" w14:textId="77777777" w:rsidR="00283256" w:rsidRPr="00D0236B" w:rsidRDefault="00283256" w:rsidP="002832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D0236B">
              <w:rPr>
                <w:rFonts w:eastAsia="Times New Roman" w:cs="Calibri"/>
                <w:b/>
                <w:bCs/>
                <w:color w:val="000000"/>
              </w:rPr>
              <w:t>FYE (12/31/2022)</w:t>
            </w:r>
          </w:p>
        </w:tc>
        <w:tc>
          <w:tcPr>
            <w:tcW w:w="1890" w:type="dxa"/>
            <w:vMerge w:val="restart"/>
            <w:shd w:val="clear" w:color="auto" w:fill="auto"/>
            <w:noWrap/>
            <w:vAlign w:val="center"/>
            <w:hideMark/>
          </w:tcPr>
          <w:p w14:paraId="3A50D332" w14:textId="77777777" w:rsidR="00283256" w:rsidRPr="00D0236B" w:rsidRDefault="00283256" w:rsidP="002832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D0236B">
              <w:rPr>
                <w:rFonts w:eastAsia="Times New Roman" w:cs="Calibri"/>
                <w:b/>
                <w:bCs/>
                <w:color w:val="000000"/>
              </w:rPr>
              <w:t>FYE (12/31/2021)</w:t>
            </w:r>
          </w:p>
        </w:tc>
        <w:tc>
          <w:tcPr>
            <w:tcW w:w="2160" w:type="dxa"/>
            <w:vMerge w:val="restart"/>
            <w:shd w:val="clear" w:color="auto" w:fill="auto"/>
            <w:noWrap/>
            <w:vAlign w:val="center"/>
            <w:hideMark/>
          </w:tcPr>
          <w:p w14:paraId="49C30359" w14:textId="77777777" w:rsidR="00283256" w:rsidRPr="00D0236B" w:rsidRDefault="00283256" w:rsidP="002832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D0236B">
              <w:rPr>
                <w:rFonts w:eastAsia="Times New Roman" w:cs="Calibri"/>
                <w:b/>
                <w:bCs/>
                <w:color w:val="000000"/>
              </w:rPr>
              <w:t>Interim (9/30/2024)</w:t>
            </w:r>
          </w:p>
        </w:tc>
        <w:tc>
          <w:tcPr>
            <w:tcW w:w="2160" w:type="dxa"/>
            <w:vMerge w:val="restart"/>
            <w:shd w:val="clear" w:color="auto" w:fill="auto"/>
            <w:noWrap/>
            <w:vAlign w:val="center"/>
            <w:hideMark/>
          </w:tcPr>
          <w:p w14:paraId="59645388" w14:textId="77777777" w:rsidR="00283256" w:rsidRPr="00D0236B" w:rsidRDefault="00283256" w:rsidP="002832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sidRPr="00D0236B">
              <w:rPr>
                <w:rFonts w:eastAsia="Times New Roman" w:cs="Calibri"/>
                <w:b/>
                <w:bCs/>
                <w:color w:val="000000"/>
              </w:rPr>
              <w:t>Interim (9/30/2023)</w:t>
            </w:r>
          </w:p>
        </w:tc>
      </w:tr>
      <w:tr w:rsidR="00283256" w:rsidRPr="00283256" w14:paraId="2D0F7FEA" w14:textId="77777777" w:rsidTr="0036224F">
        <w:trPr>
          <w:trHeight w:val="360"/>
        </w:trPr>
        <w:tc>
          <w:tcPr>
            <w:cnfStyle w:val="001000000000" w:firstRow="0" w:lastRow="0" w:firstColumn="1" w:lastColumn="0" w:oddVBand="0" w:evenVBand="0" w:oddHBand="0" w:evenHBand="0" w:firstRowFirstColumn="0" w:firstRowLastColumn="0" w:lastRowFirstColumn="0" w:lastRowLastColumn="0"/>
            <w:tcW w:w="4074" w:type="dxa"/>
            <w:vMerge/>
            <w:shd w:val="clear" w:color="auto" w:fill="auto"/>
            <w:vAlign w:val="center"/>
            <w:hideMark/>
          </w:tcPr>
          <w:p w14:paraId="17522A62" w14:textId="77777777" w:rsidR="00283256" w:rsidRPr="00283256" w:rsidRDefault="00283256" w:rsidP="00283256">
            <w:pPr>
              <w:spacing w:after="0" w:line="240" w:lineRule="auto"/>
              <w:rPr>
                <w:rFonts w:eastAsia="Times New Roman" w:cs="Calibri"/>
                <w:color w:val="000000"/>
              </w:rPr>
            </w:pPr>
          </w:p>
        </w:tc>
        <w:tc>
          <w:tcPr>
            <w:tcW w:w="1861" w:type="dxa"/>
            <w:vMerge/>
            <w:shd w:val="clear" w:color="auto" w:fill="auto"/>
            <w:vAlign w:val="center"/>
            <w:hideMark/>
          </w:tcPr>
          <w:p w14:paraId="4630B111" w14:textId="77777777" w:rsidR="00283256" w:rsidRPr="00283256" w:rsidRDefault="00283256" w:rsidP="002832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p>
        </w:tc>
        <w:tc>
          <w:tcPr>
            <w:tcW w:w="1890" w:type="dxa"/>
            <w:vMerge/>
            <w:shd w:val="clear" w:color="auto" w:fill="auto"/>
            <w:vAlign w:val="center"/>
            <w:hideMark/>
          </w:tcPr>
          <w:p w14:paraId="5505AD3F" w14:textId="77777777" w:rsidR="00283256" w:rsidRPr="00283256" w:rsidRDefault="00283256" w:rsidP="002832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p>
        </w:tc>
        <w:tc>
          <w:tcPr>
            <w:tcW w:w="1890" w:type="dxa"/>
            <w:vMerge/>
            <w:shd w:val="clear" w:color="auto" w:fill="auto"/>
            <w:vAlign w:val="center"/>
            <w:hideMark/>
          </w:tcPr>
          <w:p w14:paraId="55D41C15" w14:textId="77777777" w:rsidR="00283256" w:rsidRPr="00283256" w:rsidRDefault="00283256" w:rsidP="002832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p>
        </w:tc>
        <w:tc>
          <w:tcPr>
            <w:tcW w:w="2160" w:type="dxa"/>
            <w:vMerge/>
            <w:shd w:val="clear" w:color="auto" w:fill="auto"/>
            <w:vAlign w:val="center"/>
            <w:hideMark/>
          </w:tcPr>
          <w:p w14:paraId="4546356F" w14:textId="77777777" w:rsidR="00283256" w:rsidRPr="00283256" w:rsidRDefault="00283256" w:rsidP="002832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p>
        </w:tc>
        <w:tc>
          <w:tcPr>
            <w:tcW w:w="2160" w:type="dxa"/>
            <w:vMerge/>
            <w:shd w:val="clear" w:color="auto" w:fill="auto"/>
            <w:vAlign w:val="center"/>
            <w:hideMark/>
          </w:tcPr>
          <w:p w14:paraId="317CBB11" w14:textId="77777777" w:rsidR="00283256" w:rsidRPr="00283256" w:rsidRDefault="00283256" w:rsidP="002832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p>
        </w:tc>
      </w:tr>
      <w:tr w:rsidR="0036224F" w:rsidRPr="00283256" w14:paraId="1DAE0E6F" w14:textId="77777777" w:rsidTr="0036224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4074" w:type="dxa"/>
            <w:noWrap/>
          </w:tcPr>
          <w:p w14:paraId="46AAF7BE" w14:textId="225BB4D5" w:rsidR="0036224F" w:rsidRPr="00150909" w:rsidRDefault="0036224F" w:rsidP="0036224F">
            <w:pPr>
              <w:spacing w:after="0" w:line="240" w:lineRule="auto"/>
              <w:rPr>
                <w:rFonts w:eastAsia="Times New Roman" w:cs="Calibri"/>
                <w:b w:val="0"/>
                <w:bCs w:val="0"/>
              </w:rPr>
            </w:pPr>
            <w:r w:rsidRPr="00150909">
              <w:rPr>
                <w:b w:val="0"/>
                <w:bCs w:val="0"/>
              </w:rPr>
              <w:t xml:space="preserve">Gross </w:t>
            </w:r>
            <w:r w:rsidR="0080157E">
              <w:rPr>
                <w:b w:val="0"/>
                <w:bCs w:val="0"/>
              </w:rPr>
              <w:t>P</w:t>
            </w:r>
            <w:r w:rsidRPr="00150909">
              <w:rPr>
                <w:b w:val="0"/>
                <w:bCs w:val="0"/>
              </w:rPr>
              <w:t xml:space="preserve">rofit </w:t>
            </w:r>
            <w:r w:rsidR="0080157E">
              <w:rPr>
                <w:b w:val="0"/>
                <w:bCs w:val="0"/>
              </w:rPr>
              <w:t>M</w:t>
            </w:r>
            <w:r w:rsidRPr="00150909">
              <w:rPr>
                <w:b w:val="0"/>
                <w:bCs w:val="0"/>
              </w:rPr>
              <w:t>argin (%)</w:t>
            </w:r>
          </w:p>
        </w:tc>
        <w:tc>
          <w:tcPr>
            <w:tcW w:w="1861" w:type="dxa"/>
            <w:noWrap/>
          </w:tcPr>
          <w:p w14:paraId="27EF15A8" w14:textId="14105936"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59.0%</w:t>
            </w:r>
          </w:p>
        </w:tc>
        <w:tc>
          <w:tcPr>
            <w:tcW w:w="1890" w:type="dxa"/>
            <w:noWrap/>
          </w:tcPr>
          <w:p w14:paraId="1A1E9B82" w14:textId="523B1AFF"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56.8%</w:t>
            </w:r>
          </w:p>
        </w:tc>
        <w:tc>
          <w:tcPr>
            <w:tcW w:w="1890" w:type="dxa"/>
            <w:noWrap/>
          </w:tcPr>
          <w:p w14:paraId="23409D06" w14:textId="4087932F"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57.9%</w:t>
            </w:r>
          </w:p>
        </w:tc>
        <w:tc>
          <w:tcPr>
            <w:tcW w:w="2160" w:type="dxa"/>
            <w:noWrap/>
          </w:tcPr>
          <w:p w14:paraId="00D4BE02" w14:textId="2C265727"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61.1%</w:t>
            </w:r>
          </w:p>
        </w:tc>
        <w:tc>
          <w:tcPr>
            <w:tcW w:w="2160" w:type="dxa"/>
            <w:noWrap/>
          </w:tcPr>
          <w:p w14:paraId="7C8A097F" w14:textId="55EA4E48"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59.8%</w:t>
            </w:r>
          </w:p>
        </w:tc>
      </w:tr>
      <w:tr w:rsidR="0036224F" w:rsidRPr="00283256" w14:paraId="34B8BB4D" w14:textId="77777777" w:rsidTr="0036224F">
        <w:trPr>
          <w:trHeight w:val="310"/>
        </w:trPr>
        <w:tc>
          <w:tcPr>
            <w:cnfStyle w:val="001000000000" w:firstRow="0" w:lastRow="0" w:firstColumn="1" w:lastColumn="0" w:oddVBand="0" w:evenVBand="0" w:oddHBand="0" w:evenHBand="0" w:firstRowFirstColumn="0" w:firstRowLastColumn="0" w:lastRowFirstColumn="0" w:lastRowLastColumn="0"/>
            <w:tcW w:w="4074" w:type="dxa"/>
            <w:noWrap/>
          </w:tcPr>
          <w:p w14:paraId="396C6F9F" w14:textId="13C9BC96" w:rsidR="0036224F" w:rsidRPr="00150909" w:rsidRDefault="0036224F" w:rsidP="0036224F">
            <w:pPr>
              <w:spacing w:after="0" w:line="240" w:lineRule="auto"/>
              <w:rPr>
                <w:rFonts w:eastAsia="Times New Roman" w:cs="Calibri"/>
                <w:b w:val="0"/>
                <w:bCs w:val="0"/>
              </w:rPr>
            </w:pPr>
            <w:r w:rsidRPr="00150909">
              <w:rPr>
                <w:b w:val="0"/>
                <w:bCs w:val="0"/>
              </w:rPr>
              <w:t xml:space="preserve">Operating </w:t>
            </w:r>
            <w:r w:rsidR="0080157E">
              <w:rPr>
                <w:b w:val="0"/>
                <w:bCs w:val="0"/>
              </w:rPr>
              <w:t>M</w:t>
            </w:r>
            <w:r w:rsidRPr="00150909">
              <w:rPr>
                <w:b w:val="0"/>
                <w:bCs w:val="0"/>
              </w:rPr>
              <w:t>argin (%)</w:t>
            </w:r>
          </w:p>
        </w:tc>
        <w:tc>
          <w:tcPr>
            <w:tcW w:w="1861" w:type="dxa"/>
            <w:noWrap/>
          </w:tcPr>
          <w:p w14:paraId="1003028D" w14:textId="16D08597"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21.4%</w:t>
            </w:r>
          </w:p>
        </w:tc>
        <w:tc>
          <w:tcPr>
            <w:tcW w:w="1890" w:type="dxa"/>
            <w:noWrap/>
          </w:tcPr>
          <w:p w14:paraId="5E85A241" w14:textId="58A1A016"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22.3%</w:t>
            </w:r>
          </w:p>
        </w:tc>
        <w:tc>
          <w:tcPr>
            <w:tcW w:w="1890" w:type="dxa"/>
            <w:noWrap/>
          </w:tcPr>
          <w:p w14:paraId="47AE78F2" w14:textId="4B87489A"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24.3%</w:t>
            </w:r>
          </w:p>
        </w:tc>
        <w:tc>
          <w:tcPr>
            <w:tcW w:w="2160" w:type="dxa"/>
            <w:noWrap/>
          </w:tcPr>
          <w:p w14:paraId="0B62B3E2" w14:textId="1FF92945"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21.5%</w:t>
            </w:r>
          </w:p>
        </w:tc>
        <w:tc>
          <w:tcPr>
            <w:tcW w:w="2160" w:type="dxa"/>
            <w:noWrap/>
          </w:tcPr>
          <w:p w14:paraId="649BA204" w14:textId="34B0F011"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22.5%</w:t>
            </w:r>
          </w:p>
        </w:tc>
      </w:tr>
      <w:tr w:rsidR="0036224F" w:rsidRPr="00283256" w14:paraId="20B722B8" w14:textId="77777777" w:rsidTr="0036224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4074" w:type="dxa"/>
            <w:noWrap/>
          </w:tcPr>
          <w:p w14:paraId="5D696C05" w14:textId="6F6FF2E4" w:rsidR="0036224F" w:rsidRPr="00150909" w:rsidRDefault="0036224F" w:rsidP="0036224F">
            <w:pPr>
              <w:spacing w:after="0" w:line="240" w:lineRule="auto"/>
              <w:rPr>
                <w:rFonts w:eastAsia="Times New Roman" w:cs="Calibri"/>
                <w:b w:val="0"/>
                <w:bCs w:val="0"/>
              </w:rPr>
            </w:pPr>
            <w:r w:rsidRPr="00150909">
              <w:rPr>
                <w:b w:val="0"/>
                <w:bCs w:val="0"/>
              </w:rPr>
              <w:t xml:space="preserve">EBITDA </w:t>
            </w:r>
            <w:r w:rsidR="0080157E">
              <w:rPr>
                <w:b w:val="0"/>
                <w:bCs w:val="0"/>
              </w:rPr>
              <w:t>M</w:t>
            </w:r>
            <w:r w:rsidRPr="00150909">
              <w:rPr>
                <w:b w:val="0"/>
                <w:bCs w:val="0"/>
              </w:rPr>
              <w:t>argin (%)</w:t>
            </w:r>
          </w:p>
        </w:tc>
        <w:tc>
          <w:tcPr>
            <w:tcW w:w="1861" w:type="dxa"/>
            <w:noWrap/>
          </w:tcPr>
          <w:p w14:paraId="3061D43C" w14:textId="493C253F"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34.6%</w:t>
            </w:r>
          </w:p>
        </w:tc>
        <w:tc>
          <w:tcPr>
            <w:tcW w:w="1890" w:type="dxa"/>
            <w:noWrap/>
          </w:tcPr>
          <w:p w14:paraId="3417C229" w14:textId="236DB2BD"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34.8%</w:t>
            </w:r>
          </w:p>
        </w:tc>
        <w:tc>
          <w:tcPr>
            <w:tcW w:w="1890" w:type="dxa"/>
            <w:noWrap/>
          </w:tcPr>
          <w:p w14:paraId="0E8079DC" w14:textId="426EC6C4"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36.4%</w:t>
            </w:r>
          </w:p>
        </w:tc>
        <w:tc>
          <w:tcPr>
            <w:tcW w:w="2160" w:type="dxa"/>
            <w:noWrap/>
          </w:tcPr>
          <w:p w14:paraId="71CFB407" w14:textId="2ECC1955"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35.0%</w:t>
            </w:r>
          </w:p>
        </w:tc>
        <w:tc>
          <w:tcPr>
            <w:tcW w:w="2160" w:type="dxa"/>
            <w:noWrap/>
          </w:tcPr>
          <w:p w14:paraId="483A58D8" w14:textId="66F49A55"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35.8%</w:t>
            </w:r>
          </w:p>
        </w:tc>
      </w:tr>
      <w:tr w:rsidR="0036224F" w:rsidRPr="00283256" w14:paraId="6754505A" w14:textId="77777777" w:rsidTr="0036224F">
        <w:trPr>
          <w:trHeight w:val="310"/>
        </w:trPr>
        <w:tc>
          <w:tcPr>
            <w:cnfStyle w:val="001000000000" w:firstRow="0" w:lastRow="0" w:firstColumn="1" w:lastColumn="0" w:oddVBand="0" w:evenVBand="0" w:oddHBand="0" w:evenHBand="0" w:firstRowFirstColumn="0" w:firstRowLastColumn="0" w:lastRowFirstColumn="0" w:lastRowLastColumn="0"/>
            <w:tcW w:w="4074" w:type="dxa"/>
            <w:noWrap/>
          </w:tcPr>
          <w:p w14:paraId="2CBBB6A7" w14:textId="60F95EFC" w:rsidR="0036224F" w:rsidRPr="00150909" w:rsidRDefault="0036224F" w:rsidP="0036224F">
            <w:pPr>
              <w:spacing w:after="0" w:line="240" w:lineRule="auto"/>
              <w:rPr>
                <w:rFonts w:eastAsia="Times New Roman" w:cs="Calibri"/>
                <w:b w:val="0"/>
                <w:bCs w:val="0"/>
              </w:rPr>
            </w:pPr>
            <w:r w:rsidRPr="00150909">
              <w:rPr>
                <w:b w:val="0"/>
                <w:bCs w:val="0"/>
              </w:rPr>
              <w:t xml:space="preserve">Net </w:t>
            </w:r>
            <w:r w:rsidR="0080157E">
              <w:rPr>
                <w:b w:val="0"/>
                <w:bCs w:val="0"/>
              </w:rPr>
              <w:t>P</w:t>
            </w:r>
            <w:r w:rsidRPr="00150909">
              <w:rPr>
                <w:b w:val="0"/>
                <w:bCs w:val="0"/>
              </w:rPr>
              <w:t xml:space="preserve">rofit </w:t>
            </w:r>
            <w:r w:rsidR="0080157E">
              <w:rPr>
                <w:b w:val="0"/>
                <w:bCs w:val="0"/>
              </w:rPr>
              <w:t>M</w:t>
            </w:r>
            <w:r w:rsidRPr="00150909">
              <w:rPr>
                <w:b w:val="0"/>
                <w:bCs w:val="0"/>
              </w:rPr>
              <w:t>argin (%)</w:t>
            </w:r>
          </w:p>
        </w:tc>
        <w:tc>
          <w:tcPr>
            <w:tcW w:w="1861" w:type="dxa"/>
            <w:noWrap/>
          </w:tcPr>
          <w:p w14:paraId="385AE06D" w14:textId="152E41B6"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8.7%</w:t>
            </w:r>
          </w:p>
        </w:tc>
        <w:tc>
          <w:tcPr>
            <w:tcW w:w="1890" w:type="dxa"/>
            <w:noWrap/>
          </w:tcPr>
          <w:p w14:paraId="116076D3" w14:textId="2A9BA727"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15.5%</w:t>
            </w:r>
          </w:p>
        </w:tc>
        <w:tc>
          <w:tcPr>
            <w:tcW w:w="1890" w:type="dxa"/>
            <w:noWrap/>
          </w:tcPr>
          <w:p w14:paraId="3CBB47E2" w14:textId="30685A50"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16.5%</w:t>
            </w:r>
          </w:p>
        </w:tc>
        <w:tc>
          <w:tcPr>
            <w:tcW w:w="2160" w:type="dxa"/>
            <w:noWrap/>
          </w:tcPr>
          <w:p w14:paraId="77C16AA9" w14:textId="2E5D6C0E"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12.8%</w:t>
            </w:r>
          </w:p>
        </w:tc>
        <w:tc>
          <w:tcPr>
            <w:tcW w:w="2160" w:type="dxa"/>
            <w:noWrap/>
          </w:tcPr>
          <w:p w14:paraId="5225D320" w14:textId="51072961"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14.7%</w:t>
            </w:r>
          </w:p>
        </w:tc>
      </w:tr>
      <w:tr w:rsidR="0036224F" w:rsidRPr="00283256" w14:paraId="6DC668E8" w14:textId="77777777" w:rsidTr="0036224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4074" w:type="dxa"/>
            <w:noWrap/>
          </w:tcPr>
          <w:p w14:paraId="289B6CAE" w14:textId="344E357C" w:rsidR="0036224F" w:rsidRPr="00150909" w:rsidRDefault="0036224F" w:rsidP="0036224F">
            <w:pPr>
              <w:spacing w:after="0" w:line="240" w:lineRule="auto"/>
              <w:rPr>
                <w:rFonts w:eastAsia="Times New Roman" w:cs="Calibri"/>
                <w:b w:val="0"/>
                <w:bCs w:val="0"/>
              </w:rPr>
            </w:pPr>
            <w:r w:rsidRPr="00150909">
              <w:rPr>
                <w:b w:val="0"/>
                <w:bCs w:val="0"/>
              </w:rPr>
              <w:t>Return on Assets (ROA) (%)</w:t>
            </w:r>
          </w:p>
        </w:tc>
        <w:tc>
          <w:tcPr>
            <w:tcW w:w="1861" w:type="dxa"/>
            <w:noWrap/>
          </w:tcPr>
          <w:p w14:paraId="6DA51CD6" w14:textId="0595C20D"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3.1%</w:t>
            </w:r>
          </w:p>
        </w:tc>
        <w:tc>
          <w:tcPr>
            <w:tcW w:w="1890" w:type="dxa"/>
            <w:noWrap/>
          </w:tcPr>
          <w:p w14:paraId="72501E79" w14:textId="5D421F39"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5.6%</w:t>
            </w:r>
          </w:p>
        </w:tc>
        <w:tc>
          <w:tcPr>
            <w:tcW w:w="1890" w:type="dxa"/>
            <w:noWrap/>
          </w:tcPr>
          <w:p w14:paraId="06ADF4FB" w14:textId="4CB4B7E1"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6.0%</w:t>
            </w:r>
          </w:p>
        </w:tc>
        <w:tc>
          <w:tcPr>
            <w:tcW w:w="2160" w:type="dxa"/>
            <w:noWrap/>
          </w:tcPr>
          <w:p w14:paraId="5A9BFFBF" w14:textId="4BFF1B56"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3.3%</w:t>
            </w:r>
          </w:p>
        </w:tc>
        <w:tc>
          <w:tcPr>
            <w:tcW w:w="2160" w:type="dxa"/>
            <w:noWrap/>
          </w:tcPr>
          <w:p w14:paraId="2DAF35ED" w14:textId="14C8A1F7"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3.8%</w:t>
            </w:r>
          </w:p>
        </w:tc>
      </w:tr>
      <w:tr w:rsidR="0036224F" w:rsidRPr="00283256" w14:paraId="52F830DE" w14:textId="77777777" w:rsidTr="0036224F">
        <w:trPr>
          <w:trHeight w:val="310"/>
        </w:trPr>
        <w:tc>
          <w:tcPr>
            <w:cnfStyle w:val="001000000000" w:firstRow="0" w:lastRow="0" w:firstColumn="1" w:lastColumn="0" w:oddVBand="0" w:evenVBand="0" w:oddHBand="0" w:evenHBand="0" w:firstRowFirstColumn="0" w:firstRowLastColumn="0" w:lastRowFirstColumn="0" w:lastRowLastColumn="0"/>
            <w:tcW w:w="4074" w:type="dxa"/>
            <w:noWrap/>
          </w:tcPr>
          <w:p w14:paraId="6FB38E47" w14:textId="3766AAB7" w:rsidR="0036224F" w:rsidRPr="00150909" w:rsidRDefault="0036224F" w:rsidP="0036224F">
            <w:pPr>
              <w:spacing w:after="0" w:line="240" w:lineRule="auto"/>
              <w:rPr>
                <w:rFonts w:eastAsia="Times New Roman" w:cs="Calibri"/>
                <w:b w:val="0"/>
                <w:bCs w:val="0"/>
              </w:rPr>
            </w:pPr>
            <w:r w:rsidRPr="00150909">
              <w:rPr>
                <w:b w:val="0"/>
                <w:bCs w:val="0"/>
              </w:rPr>
              <w:t>Return on Equity (ROE) (%)</w:t>
            </w:r>
          </w:p>
        </w:tc>
        <w:tc>
          <w:tcPr>
            <w:tcW w:w="1861" w:type="dxa"/>
            <w:noWrap/>
          </w:tcPr>
          <w:p w14:paraId="56663FB0" w14:textId="6BB1D26F"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12.6%</w:t>
            </w:r>
          </w:p>
        </w:tc>
        <w:tc>
          <w:tcPr>
            <w:tcW w:w="1890" w:type="dxa"/>
            <w:noWrap/>
          </w:tcPr>
          <w:p w14:paraId="2BA6338E" w14:textId="1FE2DB4C"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23.3%</w:t>
            </w:r>
          </w:p>
        </w:tc>
        <w:tc>
          <w:tcPr>
            <w:tcW w:w="1890" w:type="dxa"/>
            <w:noWrap/>
          </w:tcPr>
          <w:p w14:paraId="2214A8A7" w14:textId="5D03A689"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27.0%</w:t>
            </w:r>
          </w:p>
        </w:tc>
        <w:tc>
          <w:tcPr>
            <w:tcW w:w="2160" w:type="dxa"/>
            <w:noWrap/>
          </w:tcPr>
          <w:p w14:paraId="0D96CEE3" w14:textId="7018AAE3"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10.2%</w:t>
            </w:r>
          </w:p>
        </w:tc>
        <w:tc>
          <w:tcPr>
            <w:tcW w:w="2160" w:type="dxa"/>
            <w:noWrap/>
          </w:tcPr>
          <w:p w14:paraId="6D8B8120" w14:textId="7D60AD7D"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21.4%</w:t>
            </w:r>
          </w:p>
        </w:tc>
      </w:tr>
      <w:tr w:rsidR="0036224F" w:rsidRPr="00283256" w14:paraId="39C4B76F" w14:textId="77777777" w:rsidTr="0036224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4074" w:type="dxa"/>
            <w:noWrap/>
          </w:tcPr>
          <w:p w14:paraId="16779682" w14:textId="78B0120F" w:rsidR="0036224F" w:rsidRPr="00150909" w:rsidRDefault="0036224F" w:rsidP="0036224F">
            <w:pPr>
              <w:spacing w:after="0" w:line="240" w:lineRule="auto"/>
              <w:rPr>
                <w:rFonts w:eastAsia="Times New Roman" w:cs="Calibri"/>
                <w:b w:val="0"/>
                <w:bCs w:val="0"/>
              </w:rPr>
            </w:pPr>
            <w:r w:rsidRPr="00150909">
              <w:rPr>
                <w:b w:val="0"/>
                <w:bCs w:val="0"/>
              </w:rPr>
              <w:t>Cash Ratio (%)</w:t>
            </w:r>
          </w:p>
        </w:tc>
        <w:tc>
          <w:tcPr>
            <w:tcW w:w="1861" w:type="dxa"/>
            <w:noWrap/>
          </w:tcPr>
          <w:p w14:paraId="04D5B540" w14:textId="0DA9ACD2"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0.5%</w:t>
            </w:r>
          </w:p>
        </w:tc>
        <w:tc>
          <w:tcPr>
            <w:tcW w:w="1890" w:type="dxa"/>
            <w:noWrap/>
          </w:tcPr>
          <w:p w14:paraId="1596F852" w14:textId="4157BA93"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0.7%</w:t>
            </w:r>
          </w:p>
        </w:tc>
        <w:tc>
          <w:tcPr>
            <w:tcW w:w="1890" w:type="dxa"/>
            <w:noWrap/>
          </w:tcPr>
          <w:p w14:paraId="5BC131BC" w14:textId="5D9D66EA"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0.8%</w:t>
            </w:r>
          </w:p>
        </w:tc>
        <w:tc>
          <w:tcPr>
            <w:tcW w:w="2160" w:type="dxa"/>
            <w:noWrap/>
          </w:tcPr>
          <w:p w14:paraId="1D9DF23C" w14:textId="7A820881"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1.3%</w:t>
            </w:r>
          </w:p>
        </w:tc>
        <w:tc>
          <w:tcPr>
            <w:tcW w:w="2160" w:type="dxa"/>
            <w:noWrap/>
          </w:tcPr>
          <w:p w14:paraId="4F62A1B7" w14:textId="698D3379"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1.1%</w:t>
            </w:r>
          </w:p>
        </w:tc>
      </w:tr>
      <w:tr w:rsidR="0036224F" w:rsidRPr="00283256" w14:paraId="6C485313" w14:textId="77777777" w:rsidTr="0036224F">
        <w:trPr>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4ABDE568" w14:textId="15B1B2A7" w:rsidR="0036224F" w:rsidRPr="00150909" w:rsidRDefault="0036224F" w:rsidP="0036224F">
            <w:pPr>
              <w:spacing w:after="0" w:line="240" w:lineRule="auto"/>
              <w:rPr>
                <w:rFonts w:eastAsia="Times New Roman" w:cs="Calibri"/>
                <w:b w:val="0"/>
                <w:bCs w:val="0"/>
              </w:rPr>
            </w:pPr>
            <w:r w:rsidRPr="00150909">
              <w:rPr>
                <w:b w:val="0"/>
                <w:bCs w:val="0"/>
              </w:rPr>
              <w:t>Quick Ratio (x)</w:t>
            </w:r>
          </w:p>
        </w:tc>
        <w:tc>
          <w:tcPr>
            <w:tcW w:w="1861" w:type="dxa"/>
            <w:noWrap/>
          </w:tcPr>
          <w:p w14:paraId="72169694" w14:textId="3D4BFA16"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0.5 </w:t>
            </w:r>
          </w:p>
        </w:tc>
        <w:tc>
          <w:tcPr>
            <w:tcW w:w="1890" w:type="dxa"/>
            <w:noWrap/>
          </w:tcPr>
          <w:p w14:paraId="679B96C3" w14:textId="26C604DF"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0.5 </w:t>
            </w:r>
          </w:p>
        </w:tc>
        <w:tc>
          <w:tcPr>
            <w:tcW w:w="1890" w:type="dxa"/>
            <w:noWrap/>
          </w:tcPr>
          <w:p w14:paraId="56F39F5D" w14:textId="15B5A18D"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0.6 </w:t>
            </w:r>
          </w:p>
        </w:tc>
        <w:tc>
          <w:tcPr>
            <w:tcW w:w="2160" w:type="dxa"/>
            <w:noWrap/>
          </w:tcPr>
          <w:p w14:paraId="5B359B89" w14:textId="74035D16"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0.5 </w:t>
            </w:r>
          </w:p>
        </w:tc>
        <w:tc>
          <w:tcPr>
            <w:tcW w:w="2160" w:type="dxa"/>
            <w:noWrap/>
          </w:tcPr>
          <w:p w14:paraId="329CAE10" w14:textId="4016FE0B"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0.5 </w:t>
            </w:r>
          </w:p>
        </w:tc>
      </w:tr>
      <w:tr w:rsidR="0036224F" w:rsidRPr="00283256" w14:paraId="7A94B92C" w14:textId="77777777" w:rsidTr="0036224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1D72A7AA" w14:textId="5D1F650B" w:rsidR="0036224F" w:rsidRPr="00150909" w:rsidRDefault="0036224F" w:rsidP="0036224F">
            <w:pPr>
              <w:spacing w:after="0" w:line="240" w:lineRule="auto"/>
              <w:rPr>
                <w:rFonts w:eastAsia="Times New Roman" w:cs="Calibri"/>
                <w:b w:val="0"/>
                <w:bCs w:val="0"/>
              </w:rPr>
            </w:pPr>
            <w:r w:rsidRPr="00150909">
              <w:rPr>
                <w:b w:val="0"/>
                <w:bCs w:val="0"/>
              </w:rPr>
              <w:t>Current Ratio (x)</w:t>
            </w:r>
          </w:p>
        </w:tc>
        <w:tc>
          <w:tcPr>
            <w:tcW w:w="1861" w:type="dxa"/>
          </w:tcPr>
          <w:p w14:paraId="5296E259" w14:textId="61F00AA8"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0.7 </w:t>
            </w:r>
          </w:p>
        </w:tc>
        <w:tc>
          <w:tcPr>
            <w:tcW w:w="1890" w:type="dxa"/>
          </w:tcPr>
          <w:p w14:paraId="01765604" w14:textId="50D5BAB4"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0.8 </w:t>
            </w:r>
          </w:p>
        </w:tc>
        <w:tc>
          <w:tcPr>
            <w:tcW w:w="1890" w:type="dxa"/>
          </w:tcPr>
          <w:p w14:paraId="33CE7739" w14:textId="326865E8"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0.8 </w:t>
            </w:r>
          </w:p>
        </w:tc>
        <w:tc>
          <w:tcPr>
            <w:tcW w:w="2160" w:type="dxa"/>
          </w:tcPr>
          <w:p w14:paraId="12C0A026" w14:textId="6A1A38F0"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0.7 </w:t>
            </w:r>
          </w:p>
        </w:tc>
        <w:tc>
          <w:tcPr>
            <w:tcW w:w="2160" w:type="dxa"/>
          </w:tcPr>
          <w:p w14:paraId="02CC9A01" w14:textId="0B075038"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0.6 </w:t>
            </w:r>
          </w:p>
        </w:tc>
      </w:tr>
      <w:tr w:rsidR="0036224F" w:rsidRPr="00283256" w14:paraId="5379413C" w14:textId="77777777" w:rsidTr="0036224F">
        <w:trPr>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3690CD30" w14:textId="329D1F94" w:rsidR="0036224F" w:rsidRPr="00150909" w:rsidRDefault="0036224F" w:rsidP="0036224F">
            <w:pPr>
              <w:spacing w:after="0" w:line="240" w:lineRule="auto"/>
              <w:rPr>
                <w:rFonts w:eastAsia="Times New Roman" w:cs="Calibri"/>
                <w:b w:val="0"/>
                <w:bCs w:val="0"/>
              </w:rPr>
            </w:pPr>
            <w:r w:rsidRPr="00150909">
              <w:rPr>
                <w:b w:val="0"/>
                <w:bCs w:val="0"/>
              </w:rPr>
              <w:t>Debt to Capital (%)</w:t>
            </w:r>
          </w:p>
        </w:tc>
        <w:tc>
          <w:tcPr>
            <w:tcW w:w="1861" w:type="dxa"/>
            <w:noWrap/>
          </w:tcPr>
          <w:p w14:paraId="6C1C7C2F" w14:textId="50D14330"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65.1%</w:t>
            </w:r>
          </w:p>
        </w:tc>
        <w:tc>
          <w:tcPr>
            <w:tcW w:w="1890" w:type="dxa"/>
            <w:noWrap/>
          </w:tcPr>
          <w:p w14:paraId="1BD4F76F" w14:textId="070B5ACA"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65.6%</w:t>
            </w:r>
          </w:p>
        </w:tc>
        <w:tc>
          <w:tcPr>
            <w:tcW w:w="1890" w:type="dxa"/>
            <w:noWrap/>
          </w:tcPr>
          <w:p w14:paraId="54252794" w14:textId="59A69C65"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68.1%</w:t>
            </w:r>
          </w:p>
        </w:tc>
        <w:tc>
          <w:tcPr>
            <w:tcW w:w="2160" w:type="dxa"/>
            <w:noWrap/>
          </w:tcPr>
          <w:p w14:paraId="306C32D5" w14:textId="67CAC48D"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64.1%</w:t>
            </w:r>
          </w:p>
        </w:tc>
        <w:tc>
          <w:tcPr>
            <w:tcW w:w="2160" w:type="dxa"/>
            <w:noWrap/>
          </w:tcPr>
          <w:p w14:paraId="41E6D598" w14:textId="68E34AB5"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63.4%</w:t>
            </w:r>
          </w:p>
        </w:tc>
      </w:tr>
      <w:tr w:rsidR="0036224F" w:rsidRPr="00283256" w14:paraId="147AEB9D" w14:textId="77777777" w:rsidTr="0036224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6DC88258" w14:textId="18742F90" w:rsidR="0036224F" w:rsidRPr="00150909" w:rsidRDefault="0036224F" w:rsidP="0036224F">
            <w:pPr>
              <w:spacing w:after="0" w:line="240" w:lineRule="auto"/>
              <w:rPr>
                <w:rFonts w:eastAsia="Times New Roman" w:cs="Calibri"/>
                <w:b w:val="0"/>
                <w:bCs w:val="0"/>
              </w:rPr>
            </w:pPr>
            <w:r w:rsidRPr="00150909">
              <w:rPr>
                <w:b w:val="0"/>
                <w:bCs w:val="0"/>
              </w:rPr>
              <w:t>Debt to Net Worth (%)</w:t>
            </w:r>
          </w:p>
        </w:tc>
        <w:tc>
          <w:tcPr>
            <w:tcW w:w="1861" w:type="dxa"/>
            <w:noWrap/>
          </w:tcPr>
          <w:p w14:paraId="403D6B38" w14:textId="4A61F217"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189.3%</w:t>
            </w:r>
          </w:p>
        </w:tc>
        <w:tc>
          <w:tcPr>
            <w:tcW w:w="1890" w:type="dxa"/>
            <w:noWrap/>
          </w:tcPr>
          <w:p w14:paraId="0F4729ED" w14:textId="2A9141E3"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193.5%</w:t>
            </w:r>
          </w:p>
        </w:tc>
        <w:tc>
          <w:tcPr>
            <w:tcW w:w="1890" w:type="dxa"/>
            <w:noWrap/>
          </w:tcPr>
          <w:p w14:paraId="38200FC3" w14:textId="219959AA"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217.5%</w:t>
            </w:r>
          </w:p>
        </w:tc>
        <w:tc>
          <w:tcPr>
            <w:tcW w:w="2160" w:type="dxa"/>
            <w:noWrap/>
          </w:tcPr>
          <w:p w14:paraId="41097B30" w14:textId="13118B14"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180.8%</w:t>
            </w:r>
          </w:p>
        </w:tc>
        <w:tc>
          <w:tcPr>
            <w:tcW w:w="2160" w:type="dxa"/>
            <w:noWrap/>
          </w:tcPr>
          <w:p w14:paraId="23C7C7FE" w14:textId="23113A36"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175.3%</w:t>
            </w:r>
          </w:p>
        </w:tc>
      </w:tr>
      <w:tr w:rsidR="0036224F" w:rsidRPr="00283256" w14:paraId="2A5AC497" w14:textId="77777777" w:rsidTr="0036224F">
        <w:trPr>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4CADA0CE" w14:textId="3C51759D" w:rsidR="0036224F" w:rsidRPr="00150909" w:rsidRDefault="0036224F" w:rsidP="0036224F">
            <w:pPr>
              <w:spacing w:after="0" w:line="240" w:lineRule="auto"/>
              <w:rPr>
                <w:rFonts w:eastAsia="Times New Roman" w:cs="Calibri"/>
                <w:b w:val="0"/>
                <w:bCs w:val="0"/>
              </w:rPr>
            </w:pPr>
            <w:r w:rsidRPr="00150909">
              <w:rPr>
                <w:b w:val="0"/>
                <w:bCs w:val="0"/>
              </w:rPr>
              <w:t>Debt to LTM EBITDA (x)</w:t>
            </w:r>
          </w:p>
        </w:tc>
        <w:tc>
          <w:tcPr>
            <w:tcW w:w="1861" w:type="dxa"/>
            <w:noWrap/>
          </w:tcPr>
          <w:p w14:paraId="3BFEDEBF" w14:textId="0FE49EB4"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3.8 </w:t>
            </w:r>
          </w:p>
        </w:tc>
        <w:tc>
          <w:tcPr>
            <w:tcW w:w="1890" w:type="dxa"/>
            <w:noWrap/>
          </w:tcPr>
          <w:p w14:paraId="3BB40C0B" w14:textId="50A90B39"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3.7 </w:t>
            </w:r>
          </w:p>
        </w:tc>
        <w:tc>
          <w:tcPr>
            <w:tcW w:w="1890" w:type="dxa"/>
            <w:noWrap/>
          </w:tcPr>
          <w:p w14:paraId="053EE6DA" w14:textId="00206D84"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3.7 </w:t>
            </w:r>
          </w:p>
        </w:tc>
        <w:tc>
          <w:tcPr>
            <w:tcW w:w="2160" w:type="dxa"/>
            <w:noWrap/>
          </w:tcPr>
          <w:p w14:paraId="592AFF67" w14:textId="77161254"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3.8 </w:t>
            </w:r>
          </w:p>
        </w:tc>
        <w:tc>
          <w:tcPr>
            <w:tcW w:w="2160" w:type="dxa"/>
            <w:noWrap/>
          </w:tcPr>
          <w:p w14:paraId="6194F3D3" w14:textId="24CA1542"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3.7 </w:t>
            </w:r>
          </w:p>
        </w:tc>
      </w:tr>
      <w:tr w:rsidR="0036224F" w:rsidRPr="00283256" w14:paraId="346DFE8F" w14:textId="77777777" w:rsidTr="0036224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6215518E" w14:textId="1C19DAC2" w:rsidR="0036224F" w:rsidRPr="00150909" w:rsidRDefault="0036224F" w:rsidP="0036224F">
            <w:pPr>
              <w:spacing w:after="0" w:line="240" w:lineRule="auto"/>
              <w:rPr>
                <w:rFonts w:eastAsia="Times New Roman" w:cs="Calibri"/>
                <w:b w:val="0"/>
                <w:bCs w:val="0"/>
              </w:rPr>
            </w:pPr>
            <w:r w:rsidRPr="00150909">
              <w:rPr>
                <w:b w:val="0"/>
                <w:bCs w:val="0"/>
              </w:rPr>
              <w:t>EBITDA Int. Coverage (x)</w:t>
            </w:r>
          </w:p>
        </w:tc>
        <w:tc>
          <w:tcPr>
            <w:tcW w:w="1861" w:type="dxa"/>
            <w:noWrap/>
          </w:tcPr>
          <w:p w14:paraId="66E695EA" w14:textId="0E0AB33E"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8.4 </w:t>
            </w:r>
          </w:p>
        </w:tc>
        <w:tc>
          <w:tcPr>
            <w:tcW w:w="1890" w:type="dxa"/>
            <w:noWrap/>
          </w:tcPr>
          <w:p w14:paraId="37123056" w14:textId="4B8B1B2D"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13.2 </w:t>
            </w:r>
          </w:p>
        </w:tc>
        <w:tc>
          <w:tcPr>
            <w:tcW w:w="1890" w:type="dxa"/>
            <w:noWrap/>
          </w:tcPr>
          <w:p w14:paraId="4FD53686" w14:textId="329E7C64"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14.0 </w:t>
            </w:r>
          </w:p>
        </w:tc>
        <w:tc>
          <w:tcPr>
            <w:tcW w:w="2160" w:type="dxa"/>
            <w:noWrap/>
          </w:tcPr>
          <w:p w14:paraId="41998002" w14:textId="0516E984"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6.9 </w:t>
            </w:r>
          </w:p>
        </w:tc>
        <w:tc>
          <w:tcPr>
            <w:tcW w:w="2160" w:type="dxa"/>
            <w:noWrap/>
          </w:tcPr>
          <w:p w14:paraId="38D09196" w14:textId="5B09109E"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9.0 </w:t>
            </w:r>
          </w:p>
        </w:tc>
      </w:tr>
      <w:tr w:rsidR="0036224F" w:rsidRPr="00283256" w14:paraId="79019A3C" w14:textId="77777777" w:rsidTr="0036224F">
        <w:trPr>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0AE7D66E" w14:textId="26EA0C56" w:rsidR="0036224F" w:rsidRPr="00150909" w:rsidRDefault="0036224F" w:rsidP="0036224F">
            <w:pPr>
              <w:spacing w:after="0" w:line="240" w:lineRule="auto"/>
              <w:rPr>
                <w:rFonts w:eastAsia="Times New Roman" w:cs="Calibri"/>
                <w:b w:val="0"/>
                <w:bCs w:val="0"/>
              </w:rPr>
            </w:pPr>
            <w:r w:rsidRPr="00150909">
              <w:rPr>
                <w:b w:val="0"/>
                <w:bCs w:val="0"/>
              </w:rPr>
              <w:t>Debt Service Coverage (x)</w:t>
            </w:r>
          </w:p>
        </w:tc>
        <w:tc>
          <w:tcPr>
            <w:tcW w:w="1861" w:type="dxa"/>
            <w:noWrap/>
          </w:tcPr>
          <w:p w14:paraId="7B19F3BA" w14:textId="00F8F251"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2.0 </w:t>
            </w:r>
          </w:p>
        </w:tc>
        <w:tc>
          <w:tcPr>
            <w:tcW w:w="1890" w:type="dxa"/>
            <w:noWrap/>
          </w:tcPr>
          <w:p w14:paraId="2DA8287F" w14:textId="6974B2F6"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2.7 </w:t>
            </w:r>
          </w:p>
        </w:tc>
        <w:tc>
          <w:tcPr>
            <w:tcW w:w="1890" w:type="dxa"/>
            <w:noWrap/>
          </w:tcPr>
          <w:p w14:paraId="272668C7" w14:textId="3D0287A5"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3.3 </w:t>
            </w:r>
          </w:p>
        </w:tc>
        <w:tc>
          <w:tcPr>
            <w:tcW w:w="2160" w:type="dxa"/>
            <w:noWrap/>
          </w:tcPr>
          <w:p w14:paraId="078E6F91" w14:textId="251AA90C"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1.5 </w:t>
            </w:r>
          </w:p>
        </w:tc>
        <w:tc>
          <w:tcPr>
            <w:tcW w:w="2160" w:type="dxa"/>
            <w:noWrap/>
          </w:tcPr>
          <w:p w14:paraId="7E5AB5E9" w14:textId="0AD3FE9D"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2.3 </w:t>
            </w:r>
          </w:p>
        </w:tc>
      </w:tr>
      <w:tr w:rsidR="0036224F" w:rsidRPr="00283256" w14:paraId="02908495" w14:textId="77777777" w:rsidTr="0036224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599DC32F" w14:textId="01DB8AEE" w:rsidR="0036224F" w:rsidRPr="00150909" w:rsidRDefault="0036224F" w:rsidP="0036224F">
            <w:pPr>
              <w:spacing w:after="0" w:line="240" w:lineRule="auto"/>
              <w:rPr>
                <w:rFonts w:eastAsia="Times New Roman" w:cs="Calibri"/>
                <w:b w:val="0"/>
                <w:bCs w:val="0"/>
              </w:rPr>
            </w:pPr>
            <w:r w:rsidRPr="00150909">
              <w:rPr>
                <w:b w:val="0"/>
                <w:bCs w:val="0"/>
              </w:rPr>
              <w:t>AR Turnover (x)</w:t>
            </w:r>
          </w:p>
        </w:tc>
        <w:tc>
          <w:tcPr>
            <w:tcW w:w="1861" w:type="dxa"/>
            <w:noWrap/>
          </w:tcPr>
          <w:p w14:paraId="1455BD91" w14:textId="5E6D8149"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5.3 </w:t>
            </w:r>
          </w:p>
        </w:tc>
        <w:tc>
          <w:tcPr>
            <w:tcW w:w="1890" w:type="dxa"/>
            <w:noWrap/>
          </w:tcPr>
          <w:p w14:paraId="38560ED6" w14:textId="2A05A989"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5.6 </w:t>
            </w:r>
          </w:p>
        </w:tc>
        <w:tc>
          <w:tcPr>
            <w:tcW w:w="1890" w:type="dxa"/>
            <w:noWrap/>
          </w:tcPr>
          <w:p w14:paraId="5883F332" w14:textId="3645B959"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5.6 </w:t>
            </w:r>
          </w:p>
        </w:tc>
        <w:tc>
          <w:tcPr>
            <w:tcW w:w="2160" w:type="dxa"/>
            <w:noWrap/>
          </w:tcPr>
          <w:p w14:paraId="59159BA1" w14:textId="2BE4573C"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3.8 </w:t>
            </w:r>
          </w:p>
        </w:tc>
        <w:tc>
          <w:tcPr>
            <w:tcW w:w="2160" w:type="dxa"/>
            <w:noWrap/>
          </w:tcPr>
          <w:p w14:paraId="2D0060DB" w14:textId="71F372B5"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4.2 </w:t>
            </w:r>
          </w:p>
        </w:tc>
      </w:tr>
      <w:tr w:rsidR="0036224F" w:rsidRPr="00283256" w14:paraId="19403509" w14:textId="77777777" w:rsidTr="0036224F">
        <w:trPr>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7EC0BC91" w14:textId="238488C2" w:rsidR="0036224F" w:rsidRPr="00150909" w:rsidRDefault="0036224F" w:rsidP="0036224F">
            <w:pPr>
              <w:spacing w:after="0" w:line="240" w:lineRule="auto"/>
              <w:rPr>
                <w:rFonts w:eastAsia="Times New Roman" w:cs="Calibri"/>
                <w:b w:val="0"/>
                <w:bCs w:val="0"/>
              </w:rPr>
            </w:pPr>
            <w:r w:rsidRPr="00150909">
              <w:rPr>
                <w:b w:val="0"/>
                <w:bCs w:val="0"/>
              </w:rPr>
              <w:t>A/R Turnover (days)</w:t>
            </w:r>
          </w:p>
        </w:tc>
        <w:tc>
          <w:tcPr>
            <w:tcW w:w="1861" w:type="dxa"/>
            <w:noWrap/>
          </w:tcPr>
          <w:p w14:paraId="430F0EE5" w14:textId="2E7F4FD2"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68.3 </w:t>
            </w:r>
          </w:p>
        </w:tc>
        <w:tc>
          <w:tcPr>
            <w:tcW w:w="1890" w:type="dxa"/>
            <w:noWrap/>
          </w:tcPr>
          <w:p w14:paraId="33BB49B9" w14:textId="652600DB"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65.4 </w:t>
            </w:r>
          </w:p>
        </w:tc>
        <w:tc>
          <w:tcPr>
            <w:tcW w:w="1890" w:type="dxa"/>
            <w:noWrap/>
          </w:tcPr>
          <w:p w14:paraId="33081294" w14:textId="7DFBBC07"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65.1 </w:t>
            </w:r>
          </w:p>
        </w:tc>
        <w:tc>
          <w:tcPr>
            <w:tcW w:w="2160" w:type="dxa"/>
            <w:noWrap/>
          </w:tcPr>
          <w:p w14:paraId="57BD7F79" w14:textId="3D695D04"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70.7 </w:t>
            </w:r>
          </w:p>
        </w:tc>
        <w:tc>
          <w:tcPr>
            <w:tcW w:w="2160" w:type="dxa"/>
            <w:noWrap/>
          </w:tcPr>
          <w:p w14:paraId="1BD01848" w14:textId="0E2241B1"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64.5 </w:t>
            </w:r>
          </w:p>
        </w:tc>
      </w:tr>
      <w:tr w:rsidR="0036224F" w:rsidRPr="00283256" w14:paraId="79BBA534" w14:textId="77777777" w:rsidTr="0036224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27442A50" w14:textId="533ED19B" w:rsidR="0036224F" w:rsidRPr="00150909" w:rsidRDefault="0036224F" w:rsidP="0036224F">
            <w:pPr>
              <w:spacing w:after="0" w:line="240" w:lineRule="auto"/>
              <w:rPr>
                <w:rFonts w:eastAsia="Times New Roman" w:cs="Calibri"/>
                <w:b w:val="0"/>
                <w:bCs w:val="0"/>
              </w:rPr>
            </w:pPr>
            <w:r w:rsidRPr="00150909">
              <w:rPr>
                <w:b w:val="0"/>
                <w:bCs w:val="0"/>
              </w:rPr>
              <w:t>AP Turnover (x)</w:t>
            </w:r>
          </w:p>
        </w:tc>
        <w:tc>
          <w:tcPr>
            <w:tcW w:w="1861" w:type="dxa"/>
            <w:noWrap/>
          </w:tcPr>
          <w:p w14:paraId="7D1800EC" w14:textId="2BFC0AE4"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5.5 </w:t>
            </w:r>
          </w:p>
        </w:tc>
        <w:tc>
          <w:tcPr>
            <w:tcW w:w="1890" w:type="dxa"/>
            <w:noWrap/>
          </w:tcPr>
          <w:p w14:paraId="1CE850FA" w14:textId="7F3A8FA9"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6.8 </w:t>
            </w:r>
          </w:p>
        </w:tc>
        <w:tc>
          <w:tcPr>
            <w:tcW w:w="1890" w:type="dxa"/>
            <w:noWrap/>
          </w:tcPr>
          <w:p w14:paraId="17774863" w14:textId="04A64780"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7.0 </w:t>
            </w:r>
          </w:p>
        </w:tc>
        <w:tc>
          <w:tcPr>
            <w:tcW w:w="2160" w:type="dxa"/>
            <w:noWrap/>
          </w:tcPr>
          <w:p w14:paraId="5620AEF8" w14:textId="7A11ABC6"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1.7 </w:t>
            </w:r>
          </w:p>
        </w:tc>
        <w:tc>
          <w:tcPr>
            <w:tcW w:w="2160" w:type="dxa"/>
            <w:noWrap/>
          </w:tcPr>
          <w:p w14:paraId="3EE531FE" w14:textId="12F7C691"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1.5 </w:t>
            </w:r>
          </w:p>
        </w:tc>
      </w:tr>
      <w:tr w:rsidR="0036224F" w:rsidRPr="00283256" w14:paraId="35DD24E9" w14:textId="77777777" w:rsidTr="0036224F">
        <w:trPr>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2C1BF812" w14:textId="46895110" w:rsidR="0036224F" w:rsidRPr="00150909" w:rsidRDefault="0036224F" w:rsidP="0036224F">
            <w:pPr>
              <w:spacing w:after="0" w:line="240" w:lineRule="auto"/>
              <w:rPr>
                <w:rFonts w:eastAsia="Times New Roman" w:cs="Calibri"/>
                <w:b w:val="0"/>
                <w:bCs w:val="0"/>
              </w:rPr>
            </w:pPr>
            <w:r w:rsidRPr="00150909">
              <w:rPr>
                <w:b w:val="0"/>
                <w:bCs w:val="0"/>
              </w:rPr>
              <w:t>A/P Turnover (days)</w:t>
            </w:r>
          </w:p>
        </w:tc>
        <w:tc>
          <w:tcPr>
            <w:tcW w:w="1861" w:type="dxa"/>
            <w:noWrap/>
          </w:tcPr>
          <w:p w14:paraId="48089C49" w14:textId="1CF7A8FC"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66.6 </w:t>
            </w:r>
          </w:p>
        </w:tc>
        <w:tc>
          <w:tcPr>
            <w:tcW w:w="1890" w:type="dxa"/>
            <w:noWrap/>
          </w:tcPr>
          <w:p w14:paraId="0D607CE1" w14:textId="641A7AAD"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54.0 </w:t>
            </w:r>
          </w:p>
        </w:tc>
        <w:tc>
          <w:tcPr>
            <w:tcW w:w="1890" w:type="dxa"/>
            <w:noWrap/>
          </w:tcPr>
          <w:p w14:paraId="49A38DD8" w14:textId="66E1225A"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52.1 </w:t>
            </w:r>
          </w:p>
        </w:tc>
        <w:tc>
          <w:tcPr>
            <w:tcW w:w="2160" w:type="dxa"/>
            <w:noWrap/>
          </w:tcPr>
          <w:p w14:paraId="22856399" w14:textId="65EFB8ED"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155.5 </w:t>
            </w:r>
          </w:p>
        </w:tc>
        <w:tc>
          <w:tcPr>
            <w:tcW w:w="2160" w:type="dxa"/>
            <w:noWrap/>
          </w:tcPr>
          <w:p w14:paraId="724AAD09" w14:textId="38963AF5"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177.8 </w:t>
            </w:r>
          </w:p>
        </w:tc>
      </w:tr>
      <w:tr w:rsidR="0036224F" w:rsidRPr="00283256" w14:paraId="04D0840D" w14:textId="77777777" w:rsidTr="0036224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1BF2CBBF" w14:textId="7660A131" w:rsidR="0036224F" w:rsidRPr="00150909" w:rsidRDefault="0036224F" w:rsidP="0036224F">
            <w:pPr>
              <w:spacing w:after="0" w:line="240" w:lineRule="auto"/>
              <w:rPr>
                <w:rFonts w:eastAsia="Times New Roman" w:cs="Calibri"/>
                <w:b w:val="0"/>
                <w:bCs w:val="0"/>
              </w:rPr>
            </w:pPr>
            <w:r w:rsidRPr="00150909">
              <w:rPr>
                <w:b w:val="0"/>
                <w:bCs w:val="0"/>
              </w:rPr>
              <w:t>Inventory Turnover (x)</w:t>
            </w:r>
          </w:p>
        </w:tc>
        <w:tc>
          <w:tcPr>
            <w:tcW w:w="1861" w:type="dxa"/>
            <w:noWrap/>
          </w:tcPr>
          <w:p w14:paraId="4C7F2305" w14:textId="7414CCFC"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60.3 </w:t>
            </w:r>
          </w:p>
        </w:tc>
        <w:tc>
          <w:tcPr>
            <w:tcW w:w="1890" w:type="dxa"/>
            <w:noWrap/>
          </w:tcPr>
          <w:p w14:paraId="446F5F57" w14:textId="5D08C6DF"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50.3 </w:t>
            </w:r>
          </w:p>
        </w:tc>
        <w:tc>
          <w:tcPr>
            <w:tcW w:w="1890" w:type="dxa"/>
            <w:noWrap/>
          </w:tcPr>
          <w:p w14:paraId="7FA9755A" w14:textId="34C2456F"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47.9 </w:t>
            </w:r>
          </w:p>
        </w:tc>
        <w:tc>
          <w:tcPr>
            <w:tcW w:w="2160" w:type="dxa"/>
            <w:noWrap/>
          </w:tcPr>
          <w:p w14:paraId="2307FB5A" w14:textId="1BEE86CC"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41.6 </w:t>
            </w:r>
          </w:p>
        </w:tc>
        <w:tc>
          <w:tcPr>
            <w:tcW w:w="2160" w:type="dxa"/>
            <w:noWrap/>
          </w:tcPr>
          <w:p w14:paraId="044276B4" w14:textId="28B600ED" w:rsidR="0036224F" w:rsidRPr="00283256" w:rsidRDefault="0036224F" w:rsidP="0036224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rPr>
            </w:pPr>
            <w:r w:rsidRPr="000E707F">
              <w:t xml:space="preserve">44.1 </w:t>
            </w:r>
          </w:p>
        </w:tc>
      </w:tr>
      <w:tr w:rsidR="0036224F" w:rsidRPr="00283256" w14:paraId="4E5B2C4D" w14:textId="77777777" w:rsidTr="0036224F">
        <w:trPr>
          <w:trHeight w:val="290"/>
        </w:trPr>
        <w:tc>
          <w:tcPr>
            <w:cnfStyle w:val="001000000000" w:firstRow="0" w:lastRow="0" w:firstColumn="1" w:lastColumn="0" w:oddVBand="0" w:evenVBand="0" w:oddHBand="0" w:evenHBand="0" w:firstRowFirstColumn="0" w:firstRowLastColumn="0" w:lastRowFirstColumn="0" w:lastRowLastColumn="0"/>
            <w:tcW w:w="4074" w:type="dxa"/>
            <w:noWrap/>
          </w:tcPr>
          <w:p w14:paraId="1E4DE1F7" w14:textId="3B7C7820" w:rsidR="0036224F" w:rsidRPr="00150909" w:rsidRDefault="0036224F" w:rsidP="0036224F">
            <w:pPr>
              <w:spacing w:after="0" w:line="240" w:lineRule="auto"/>
              <w:rPr>
                <w:rFonts w:eastAsia="Times New Roman" w:cs="Calibri"/>
                <w:b w:val="0"/>
                <w:bCs w:val="0"/>
              </w:rPr>
            </w:pPr>
            <w:r w:rsidRPr="00150909">
              <w:rPr>
                <w:b w:val="0"/>
                <w:bCs w:val="0"/>
              </w:rPr>
              <w:t xml:space="preserve">Inventory </w:t>
            </w:r>
            <w:r w:rsidR="00F123BC">
              <w:rPr>
                <w:b w:val="0"/>
                <w:bCs w:val="0"/>
              </w:rPr>
              <w:t>T</w:t>
            </w:r>
            <w:r w:rsidRPr="00150909">
              <w:rPr>
                <w:b w:val="0"/>
                <w:bCs w:val="0"/>
              </w:rPr>
              <w:t>urnover (days)</w:t>
            </w:r>
          </w:p>
        </w:tc>
        <w:tc>
          <w:tcPr>
            <w:tcW w:w="1861" w:type="dxa"/>
            <w:noWrap/>
          </w:tcPr>
          <w:p w14:paraId="2CE291A8" w14:textId="79662C2F"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6.1 </w:t>
            </w:r>
          </w:p>
        </w:tc>
        <w:tc>
          <w:tcPr>
            <w:tcW w:w="1890" w:type="dxa"/>
            <w:noWrap/>
          </w:tcPr>
          <w:p w14:paraId="0AFA941B" w14:textId="5FB9F19F"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7.3 </w:t>
            </w:r>
          </w:p>
        </w:tc>
        <w:tc>
          <w:tcPr>
            <w:tcW w:w="1890" w:type="dxa"/>
            <w:noWrap/>
          </w:tcPr>
          <w:p w14:paraId="4A107A84" w14:textId="7B7745FD"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7.6 </w:t>
            </w:r>
          </w:p>
        </w:tc>
        <w:tc>
          <w:tcPr>
            <w:tcW w:w="2160" w:type="dxa"/>
            <w:noWrap/>
          </w:tcPr>
          <w:p w14:paraId="75390852" w14:textId="29C4E3F6"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6.5 </w:t>
            </w:r>
          </w:p>
        </w:tc>
        <w:tc>
          <w:tcPr>
            <w:tcW w:w="2160" w:type="dxa"/>
            <w:noWrap/>
          </w:tcPr>
          <w:p w14:paraId="280120FC" w14:textId="016A2153" w:rsidR="0036224F" w:rsidRPr="00283256" w:rsidRDefault="0036224F" w:rsidP="0036224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rPr>
            </w:pPr>
            <w:r w:rsidRPr="000E707F">
              <w:t xml:space="preserve">6.1 </w:t>
            </w:r>
          </w:p>
        </w:tc>
      </w:tr>
    </w:tbl>
    <w:p w14:paraId="6FFF21CA" w14:textId="77777777" w:rsidR="00A04716" w:rsidRDefault="00A04716" w:rsidP="00881DFB">
      <w:pPr>
        <w:tabs>
          <w:tab w:val="center" w:pos="7200"/>
          <w:tab w:val="right" w:pos="14400"/>
        </w:tabs>
        <w:spacing w:after="0" w:line="240" w:lineRule="auto"/>
        <w:rPr>
          <w:b/>
          <w:color w:val="FFFFFF" w:themeColor="background1"/>
          <w:sz w:val="28"/>
          <w:szCs w:val="28"/>
        </w:rPr>
      </w:pPr>
    </w:p>
    <w:p w14:paraId="094FEA47" w14:textId="77777777" w:rsidR="0029605D" w:rsidRDefault="0029605D" w:rsidP="00881DFB">
      <w:pPr>
        <w:tabs>
          <w:tab w:val="center" w:pos="7200"/>
          <w:tab w:val="right" w:pos="14400"/>
        </w:tabs>
        <w:spacing w:after="0" w:line="240" w:lineRule="auto"/>
        <w:rPr>
          <w:b/>
          <w:color w:val="FFFFFF" w:themeColor="background1"/>
          <w:sz w:val="28"/>
          <w:szCs w:val="28"/>
        </w:rPr>
      </w:pPr>
    </w:p>
    <w:p w14:paraId="6040D424" w14:textId="2D4B6470" w:rsidR="0029605D" w:rsidRPr="00AB5B51" w:rsidRDefault="00C227BB" w:rsidP="00881DFB">
      <w:pPr>
        <w:tabs>
          <w:tab w:val="center" w:pos="7200"/>
          <w:tab w:val="right" w:pos="14400"/>
        </w:tabs>
        <w:spacing w:after="0" w:line="240" w:lineRule="auto"/>
        <w:rPr>
          <w:b/>
          <w:bCs/>
        </w:rPr>
      </w:pPr>
      <w:r w:rsidRPr="00AB5B51">
        <w:rPr>
          <w:b/>
          <w:bCs/>
        </w:rPr>
        <w:t>Profitability Analysis</w:t>
      </w:r>
    </w:p>
    <w:p w14:paraId="5D316326" w14:textId="744B02FD" w:rsidR="00C32532" w:rsidRDefault="00C32532" w:rsidP="00C32532">
      <w:pPr>
        <w:pStyle w:val="ListParagraph"/>
        <w:numPr>
          <w:ilvl w:val="0"/>
          <w:numId w:val="44"/>
        </w:numPr>
        <w:tabs>
          <w:tab w:val="center" w:pos="7200"/>
          <w:tab w:val="right" w:pos="14400"/>
        </w:tabs>
        <w:spacing w:after="0" w:line="240" w:lineRule="auto"/>
      </w:pPr>
      <w:r>
        <w:t xml:space="preserve">Revenue decreased by 2.1% y-o-y during FY’23 </w:t>
      </w:r>
      <w:proofErr w:type="gramStart"/>
      <w:r>
        <w:t>as a result of</w:t>
      </w:r>
      <w:proofErr w:type="gramEnd"/>
      <w:r>
        <w:t xml:space="preserve"> decline in Wireless equipment revenue, driven by a lower volume of wireless devices sold primarily related to a decrease in upgrades. By product segment, revenues were largely obtained through services and allied activities (81.8%) with the </w:t>
      </w:r>
      <w:r>
        <w:lastRenderedPageBreak/>
        <w:t xml:space="preserve">rest being formed by wireless equipment sales. By business segment, Verizon consumer contributed 75.8% towards total revenue, followed by Verizon Business (22.4%) and Corporate &amp; Other (1.8%). </w:t>
      </w:r>
    </w:p>
    <w:p w14:paraId="4AB5953A" w14:textId="6B663B76" w:rsidR="00C32532" w:rsidRDefault="00C32532" w:rsidP="00C32532">
      <w:pPr>
        <w:pStyle w:val="ListParagraph"/>
        <w:numPr>
          <w:ilvl w:val="1"/>
          <w:numId w:val="44"/>
        </w:numPr>
        <w:tabs>
          <w:tab w:val="center" w:pos="7200"/>
          <w:tab w:val="right" w:pos="14400"/>
        </w:tabs>
        <w:spacing w:after="0" w:line="240" w:lineRule="auto"/>
      </w:pPr>
      <w:r>
        <w:t>Revenue remained largely stable y-o-y during 9ME’24 as growth in service revenue (+1.7% y-o-y) was largely cancelled out by decline in wireless equipment revenue (-6.8% y-o-y). By product segment, revenues were chiefly derived from services provided (84.2%).</w:t>
      </w:r>
    </w:p>
    <w:p w14:paraId="332AA58B" w14:textId="5386FB5B" w:rsidR="00C32532" w:rsidRDefault="00C32532" w:rsidP="00C32532">
      <w:pPr>
        <w:pStyle w:val="ListParagraph"/>
        <w:numPr>
          <w:ilvl w:val="0"/>
          <w:numId w:val="44"/>
        </w:numPr>
        <w:tabs>
          <w:tab w:val="center" w:pos="7200"/>
          <w:tab w:val="right" w:pos="14400"/>
        </w:tabs>
        <w:spacing w:after="0" w:line="240" w:lineRule="auto"/>
      </w:pPr>
      <w:r>
        <w:t xml:space="preserve">However, gross profit increased by 1.7% y-o-y during FY'23 and 2.3% y-o-y during 9ME’24, driven by lower access costs primarily </w:t>
      </w:r>
      <w:proofErr w:type="gramStart"/>
      <w:r>
        <w:t>as a result of</w:t>
      </w:r>
      <w:proofErr w:type="gramEnd"/>
      <w:r>
        <w:t xml:space="preserve"> pricing changes and usage declines largely related to the shutdown of 3G networks. Gross margins marginally improved in both FY'23 and 9M'24 as ARPA (average retail postpaid service revenue per account) for postpaid increased helped by FWA (Fixed Wireless Access) expansion and targeted price actions.</w:t>
      </w:r>
    </w:p>
    <w:p w14:paraId="061D8650" w14:textId="6582F113" w:rsidR="00C32532" w:rsidRDefault="00C32532" w:rsidP="00C32532">
      <w:pPr>
        <w:pStyle w:val="ListParagraph"/>
        <w:numPr>
          <w:ilvl w:val="0"/>
          <w:numId w:val="44"/>
        </w:numPr>
        <w:tabs>
          <w:tab w:val="center" w:pos="7200"/>
          <w:tab w:val="right" w:pos="14400"/>
        </w:tabs>
        <w:spacing w:after="0" w:line="240" w:lineRule="auto"/>
      </w:pPr>
      <w:r>
        <w:t>EBITDA marginally declined y-o-y to $46.3 billion in FY'23 largely owing to higher SG&amp;A expenses (+8.7% y-o-y) driven by higher provisions for bad debt and personnel costs. Consolidated adjusted EBITDA (adjusted by excluding effects of the following non-operational items: equity in earnings and losses of unconsolidated businesses and other income and expense, net, as well as the effect of certain special items) showed an improving trend and amounted to $47.8 billion with adjusted EBITDA margin reaching 35.7% in FY'23, aided by better margins in Consumer segment. EBITDA margin hovered around 35% in 9ME'24.</w:t>
      </w:r>
    </w:p>
    <w:p w14:paraId="67E613C3" w14:textId="77663B41" w:rsidR="00FB633C" w:rsidRPr="00C32532" w:rsidRDefault="00C32532" w:rsidP="00C32532">
      <w:pPr>
        <w:pStyle w:val="ListParagraph"/>
        <w:numPr>
          <w:ilvl w:val="0"/>
          <w:numId w:val="44"/>
        </w:numPr>
        <w:tabs>
          <w:tab w:val="center" w:pos="7200"/>
          <w:tab w:val="right" w:pos="14400"/>
        </w:tabs>
        <w:spacing w:after="0" w:line="240" w:lineRule="auto"/>
        <w:rPr>
          <w:b/>
          <w:bCs/>
          <w:sz w:val="28"/>
          <w:szCs w:val="28"/>
        </w:rPr>
      </w:pPr>
      <w:r>
        <w:t xml:space="preserve">Net profit declined by 44.4% y-o-y to $12.1 billion in FY'23, owing to </w:t>
      </w:r>
      <w:proofErr w:type="gramStart"/>
      <w:r>
        <w:t>aforementioned reasons</w:t>
      </w:r>
      <w:proofErr w:type="gramEnd"/>
      <w:r>
        <w:t xml:space="preserve"> as well as higher interest costs owing to rising interest rates as effective interest rates on debt rose to 4.9% as compared to 3.7% in FY'22. This caused all profitability ratios to decline on y-o-y basis. Similar trend can be observed for 9ME'24 period.</w:t>
      </w:r>
    </w:p>
    <w:p w14:paraId="1CF3DFEE" w14:textId="77777777" w:rsidR="00925284" w:rsidRDefault="00925284" w:rsidP="00881DFB">
      <w:pPr>
        <w:tabs>
          <w:tab w:val="center" w:pos="7200"/>
          <w:tab w:val="right" w:pos="14400"/>
        </w:tabs>
        <w:spacing w:after="0" w:line="240" w:lineRule="auto"/>
        <w:rPr>
          <w:b/>
          <w:bCs/>
        </w:rPr>
      </w:pPr>
    </w:p>
    <w:p w14:paraId="2B156CE8" w14:textId="668E0CE7" w:rsidR="009259AB" w:rsidRPr="00AB5B51" w:rsidRDefault="002F26BF" w:rsidP="00881DFB">
      <w:pPr>
        <w:tabs>
          <w:tab w:val="center" w:pos="7200"/>
          <w:tab w:val="right" w:pos="14400"/>
        </w:tabs>
        <w:spacing w:after="0" w:line="240" w:lineRule="auto"/>
        <w:rPr>
          <w:b/>
          <w:bCs/>
        </w:rPr>
      </w:pPr>
      <w:r w:rsidRPr="002F26BF">
        <w:rPr>
          <w:b/>
          <w:bCs/>
        </w:rPr>
        <w:t>Capital Structure and Leverage Analysis</w:t>
      </w:r>
    </w:p>
    <w:p w14:paraId="2037C21A" w14:textId="02B6008E" w:rsidR="002F26BF" w:rsidRDefault="002F26BF" w:rsidP="002F26BF">
      <w:pPr>
        <w:pStyle w:val="ListParagraph"/>
        <w:numPr>
          <w:ilvl w:val="0"/>
          <w:numId w:val="41"/>
        </w:numPr>
        <w:tabs>
          <w:tab w:val="center" w:pos="7200"/>
          <w:tab w:val="right" w:pos="14400"/>
        </w:tabs>
        <w:spacing w:after="0" w:line="240" w:lineRule="auto"/>
      </w:pPr>
      <w:r>
        <w:t xml:space="preserve">The large spectrum </w:t>
      </w:r>
      <w:proofErr w:type="gramStart"/>
      <w:r>
        <w:t>purchase</w:t>
      </w:r>
      <w:proofErr w:type="gramEnd"/>
      <w:r>
        <w:t xml:space="preserve"> increased leverage materially over the past few years, but Verizon more than doubled its existing license holdings of low- and mid-band spectrum, which bodes well for sustaining its market position over time. Verizon's debt-to-capitalization has ranged between 65-68% over a </w:t>
      </w:r>
      <w:proofErr w:type="gramStart"/>
      <w:r>
        <w:t>three year</w:t>
      </w:r>
      <w:proofErr w:type="gramEnd"/>
      <w:r>
        <w:t xml:space="preserve"> period. Debt-to-LTM EBITDA has also remained stable for the past three years. </w:t>
      </w:r>
    </w:p>
    <w:p w14:paraId="161E1A91" w14:textId="7E8FBD81" w:rsidR="002F26BF" w:rsidRDefault="002F26BF" w:rsidP="002F26BF">
      <w:pPr>
        <w:pStyle w:val="ListParagraph"/>
        <w:numPr>
          <w:ilvl w:val="0"/>
          <w:numId w:val="41"/>
        </w:numPr>
        <w:tabs>
          <w:tab w:val="center" w:pos="7200"/>
          <w:tab w:val="right" w:pos="14400"/>
        </w:tabs>
        <w:spacing w:after="0" w:line="240" w:lineRule="auto"/>
      </w:pPr>
      <w:r>
        <w:t xml:space="preserve">As of Sep 2024, total debt remained stable and stood at $174.2 billion, primarily consisting of </w:t>
      </w:r>
      <w:proofErr w:type="gramStart"/>
      <w:r>
        <w:t>long term</w:t>
      </w:r>
      <w:proofErr w:type="gramEnd"/>
      <w:r>
        <w:t xml:space="preserve"> debt (85.0%). Gross unsecured debt amounted to $126.4 billion, while net unsecured debt was $121.4 billion. Unsecured debt to net income (LTM) was 12.3x as of Sep 2024. Net unsecured debt to EBITDA was 2.6x. If adjusted EBITDA is considered, the ratio was 2.5x, which is considered acceptable. </w:t>
      </w:r>
    </w:p>
    <w:p w14:paraId="0C13809E" w14:textId="41245744" w:rsidR="009259AB" w:rsidRPr="00AB5B51" w:rsidRDefault="002F26BF" w:rsidP="002F26BF">
      <w:pPr>
        <w:pStyle w:val="ListParagraph"/>
        <w:numPr>
          <w:ilvl w:val="0"/>
          <w:numId w:val="41"/>
        </w:numPr>
        <w:tabs>
          <w:tab w:val="center" w:pos="7200"/>
          <w:tab w:val="right" w:pos="14400"/>
        </w:tabs>
        <w:spacing w:after="0" w:line="240" w:lineRule="auto"/>
      </w:pPr>
      <w:r>
        <w:t xml:space="preserve">EBITDA Interest coverage ratio fell owing to higher interest costs amid higher reference rates in 2024. This is expected to improve as the company focuses on operational efficiencies to improve EBITDA, while interest costs are also expected to drop as the Federal reserve recently announced a </w:t>
      </w:r>
      <w:proofErr w:type="gramStart"/>
      <w:r>
        <w:t>50 basis</w:t>
      </w:r>
      <w:proofErr w:type="gramEnd"/>
      <w:r>
        <w:t xml:space="preserve"> cut, an aggressive start to its expected rate cuts. Further, the company has guided to de-lever its balance sheet considerably by FY'26 as capex tapers down, which should also aid leverage profile.</w:t>
      </w:r>
    </w:p>
    <w:p w14:paraId="0C636D40" w14:textId="166CCCE9" w:rsidR="00860139" w:rsidRDefault="009259AB" w:rsidP="00860139">
      <w:pPr>
        <w:tabs>
          <w:tab w:val="center" w:pos="7200"/>
          <w:tab w:val="right" w:pos="14400"/>
        </w:tabs>
        <w:spacing w:after="0" w:line="240" w:lineRule="auto"/>
        <w:rPr>
          <w:b/>
          <w:bCs/>
        </w:rPr>
      </w:pPr>
      <w:r w:rsidRPr="00AB5B51">
        <w:rPr>
          <w:b/>
          <w:bCs/>
        </w:rPr>
        <w:br/>
      </w:r>
      <w:r w:rsidR="009F2CBB" w:rsidRPr="009F2CBB">
        <w:rPr>
          <w:b/>
          <w:bCs/>
        </w:rPr>
        <w:br/>
        <w:t>Liquidity and Cash Flows Analysis</w:t>
      </w:r>
    </w:p>
    <w:p w14:paraId="4D1319B5" w14:textId="62470AEA" w:rsidR="009F2CBB" w:rsidRDefault="009F2CBB" w:rsidP="009F2CBB">
      <w:pPr>
        <w:pStyle w:val="ListParagraph"/>
        <w:numPr>
          <w:ilvl w:val="0"/>
          <w:numId w:val="42"/>
        </w:numPr>
        <w:tabs>
          <w:tab w:val="center" w:pos="7200"/>
          <w:tab w:val="right" w:pos="14400"/>
        </w:tabs>
        <w:spacing w:after="0" w:line="240" w:lineRule="auto"/>
      </w:pPr>
      <w:r>
        <w:t xml:space="preserve">Strong liquidity profile is supported by cash and cash equivalents (excluding restricted) of $5.0 billion as of Sep 2024 and an undrawn facility of $12.0 billion that has a maturity in 2028 (as of June 2024) under the revolving credit facility and access to commercial papers and other sources of capital </w:t>
      </w:r>
      <w:r>
        <w:lastRenderedPageBreak/>
        <w:t>through markets. In addition, Verizon had various export credit facilities worth $11.0 billion (as of June 2024) which was partially drawn and utilized to fund purchase of equipment.</w:t>
      </w:r>
    </w:p>
    <w:p w14:paraId="26F1A5DD" w14:textId="77777777" w:rsidR="009F2CBB" w:rsidRDefault="009F2CBB" w:rsidP="009F2CBB">
      <w:pPr>
        <w:pStyle w:val="ListParagraph"/>
        <w:numPr>
          <w:ilvl w:val="0"/>
          <w:numId w:val="42"/>
        </w:numPr>
        <w:tabs>
          <w:tab w:val="center" w:pos="7200"/>
          <w:tab w:val="right" w:pos="14400"/>
        </w:tabs>
        <w:spacing w:after="0" w:line="240" w:lineRule="auto"/>
      </w:pPr>
      <w:r>
        <w:t xml:space="preserve">Verizon has reported positive but volatile free cash flow (FCF) surplus over the last three years, Further, its FCF as a percentage of revenue has declined post 2021 owing to large capex incurred by the company related to scaling of 5G network. FCF is expected to improve as the company's capex is expected to decline in the near term. However, given the </w:t>
      </w:r>
      <w:proofErr w:type="gramStart"/>
      <w:r>
        <w:t>capital intensive</w:t>
      </w:r>
      <w:proofErr w:type="gramEnd"/>
      <w:r>
        <w:t xml:space="preserve"> nature of the industry, capital requirements is expected to remain relatively high.</w:t>
      </w:r>
    </w:p>
    <w:p w14:paraId="2E4335AC" w14:textId="5D587E49" w:rsidR="009F2CBB" w:rsidRDefault="009F2CBB" w:rsidP="009F2CBB">
      <w:pPr>
        <w:pStyle w:val="ListParagraph"/>
        <w:numPr>
          <w:ilvl w:val="1"/>
          <w:numId w:val="42"/>
        </w:numPr>
        <w:tabs>
          <w:tab w:val="center" w:pos="7200"/>
          <w:tab w:val="right" w:pos="14400"/>
        </w:tabs>
        <w:spacing w:after="0" w:line="240" w:lineRule="auto"/>
      </w:pPr>
      <w:r>
        <w:t>The Company reported free cash flow (dividend adjusted) surplus of $6.1 billion during 9ME’24 (vs. surplus of $6.4 billion during 9ME'23) on account of lower cash from operation, offset by lower capex. During FY'23, FCF surplus amounted to $7.7 billion (vs. surplus of $3.2 billion in FY'22) owing to lower capex and dividend payout.</w:t>
      </w:r>
    </w:p>
    <w:p w14:paraId="40581C28" w14:textId="62A787BA" w:rsidR="00860139" w:rsidRPr="00860139" w:rsidRDefault="009F2CBB" w:rsidP="009F2CBB">
      <w:pPr>
        <w:pStyle w:val="ListParagraph"/>
        <w:numPr>
          <w:ilvl w:val="0"/>
          <w:numId w:val="42"/>
        </w:numPr>
        <w:tabs>
          <w:tab w:val="center" w:pos="7200"/>
          <w:tab w:val="right" w:pos="14400"/>
        </w:tabs>
        <w:spacing w:after="0" w:line="240" w:lineRule="auto"/>
      </w:pPr>
      <w:r>
        <w:t>Projected Capex: Verizon expects FY'2024 capex to be in the range of $17-$17.5 billion.</w:t>
      </w:r>
    </w:p>
    <w:p w14:paraId="626CAA53" w14:textId="77777777" w:rsidR="00860139" w:rsidRPr="00860139" w:rsidRDefault="00860139" w:rsidP="00881DFB">
      <w:pPr>
        <w:tabs>
          <w:tab w:val="center" w:pos="7200"/>
          <w:tab w:val="right" w:pos="14400"/>
        </w:tabs>
        <w:spacing w:after="0" w:line="240" w:lineRule="auto"/>
      </w:pPr>
    </w:p>
    <w:p w14:paraId="30A2E2F5" w14:textId="77777777" w:rsidR="00DE2182" w:rsidRDefault="00DE2182" w:rsidP="00881DFB">
      <w:pPr>
        <w:tabs>
          <w:tab w:val="center" w:pos="7200"/>
          <w:tab w:val="right" w:pos="14400"/>
        </w:tabs>
        <w:spacing w:after="0" w:line="240" w:lineRule="auto"/>
        <w:rPr>
          <w:b/>
          <w:bCs/>
        </w:rPr>
      </w:pPr>
    </w:p>
    <w:p w14:paraId="3654B0CB" w14:textId="7DEB44D0" w:rsidR="00881DFB" w:rsidRDefault="009259AB" w:rsidP="00881DFB">
      <w:pPr>
        <w:spacing w:line="240" w:lineRule="auto"/>
        <w:jc w:val="both"/>
        <w:rPr>
          <w:bCs/>
        </w:rPr>
      </w:pPr>
      <w:r w:rsidRPr="00D51846">
        <w:rPr>
          <w:b/>
        </w:rPr>
        <w:t xml:space="preserve">Company’s </w:t>
      </w:r>
      <w:r w:rsidR="00881DFB" w:rsidRPr="00D51846">
        <w:rPr>
          <w:b/>
        </w:rPr>
        <w:t>Earnings Guidance:</w:t>
      </w:r>
      <w:r w:rsidR="00881DFB" w:rsidRPr="0083742C">
        <w:rPr>
          <w:b/>
        </w:rPr>
        <w:t xml:space="preserve"> </w:t>
      </w:r>
      <w:r w:rsidR="00A55CB0">
        <w:t>Verizon</w:t>
      </w:r>
      <w:r w:rsidR="00A55CB0" w:rsidRPr="0083742C">
        <w:t xml:space="preserve"> </w:t>
      </w:r>
      <w:r w:rsidR="00A55CB0">
        <w:t xml:space="preserve">maintained its earning guidance for FY24 </w:t>
      </w:r>
      <w:r w:rsidR="00A55CB0" w:rsidRPr="00343E25">
        <w:t xml:space="preserve">with both </w:t>
      </w:r>
      <w:r w:rsidR="00A55CB0">
        <w:t>w</w:t>
      </w:r>
      <w:r w:rsidR="00A55CB0" w:rsidRPr="00343E25">
        <w:t>ireless service revenue and Adjusted EBITDA growth trending at or above the midpoint of guided ranges</w:t>
      </w:r>
      <w:r w:rsidR="00A55CB0">
        <w:t xml:space="preserve">. </w:t>
      </w:r>
      <w:r w:rsidR="00A55CB0" w:rsidRPr="00766E1D">
        <w:t>Verizon reiterated a 2.0%–3.5% wireless service revenue growth</w:t>
      </w:r>
      <w:r w:rsidR="00A55CB0">
        <w:t xml:space="preserve"> and </w:t>
      </w:r>
      <w:r w:rsidR="00A55CB0" w:rsidRPr="00766E1D">
        <w:t>maintained an adjusted EPS of $4.50 – $4.70</w:t>
      </w:r>
      <w:r w:rsidR="00A55CB0">
        <w:t>. F</w:t>
      </w:r>
      <w:r w:rsidR="00A55CB0" w:rsidRPr="00343E25">
        <w:t xml:space="preserve">ull-year guidance for </w:t>
      </w:r>
      <w:r w:rsidR="00A55CB0">
        <w:t>capital expenditure</w:t>
      </w:r>
      <w:r w:rsidR="00A55CB0" w:rsidRPr="00343E25">
        <w:t xml:space="preserve"> </w:t>
      </w:r>
      <w:r w:rsidR="00A55CB0">
        <w:t xml:space="preserve">also </w:t>
      </w:r>
      <w:r w:rsidR="00A55CB0" w:rsidRPr="00343E25">
        <w:t>remain</w:t>
      </w:r>
      <w:r w:rsidR="00A55CB0">
        <w:t>ed</w:t>
      </w:r>
      <w:r w:rsidR="00A55CB0" w:rsidRPr="00343E25">
        <w:t xml:space="preserve"> unchanged at a range of </w:t>
      </w:r>
      <w:r w:rsidR="00A55CB0">
        <w:t>$</w:t>
      </w:r>
      <w:r w:rsidR="00A55CB0" w:rsidRPr="00343E25">
        <w:t xml:space="preserve">17 </w:t>
      </w:r>
      <w:r w:rsidR="00A55CB0">
        <w:t>- $</w:t>
      </w:r>
      <w:r w:rsidR="00A55CB0" w:rsidRPr="00343E25">
        <w:t>17.5 billion</w:t>
      </w:r>
      <w:r w:rsidR="00A55CB0">
        <w:t>. S</w:t>
      </w:r>
      <w:r w:rsidR="00A55CB0" w:rsidRPr="00343E25">
        <w:t>equential growth</w:t>
      </w:r>
      <w:r w:rsidR="00A55CB0">
        <w:t xml:space="preserve"> is expected in Q4</w:t>
      </w:r>
      <w:r w:rsidR="00A55CB0" w:rsidRPr="00343E25">
        <w:t xml:space="preserve"> </w:t>
      </w:r>
      <w:r w:rsidR="00A55CB0">
        <w:t>within</w:t>
      </w:r>
      <w:r w:rsidR="00A55CB0" w:rsidRPr="00343E25">
        <w:t xml:space="preserve"> wireless service </w:t>
      </w:r>
      <w:r w:rsidR="00A55CB0">
        <w:t>segment,</w:t>
      </w:r>
      <w:r w:rsidR="00A55CB0" w:rsidRPr="00343E25">
        <w:t xml:space="preserve"> driven by volume improvements, increased contributions from FWA</w:t>
      </w:r>
      <w:r w:rsidR="00A55CB0">
        <w:t xml:space="preserve"> (fixed wireless access)</w:t>
      </w:r>
      <w:r w:rsidR="00A55CB0" w:rsidRPr="00343E25">
        <w:t xml:space="preserve">, and recently </w:t>
      </w:r>
      <w:r w:rsidR="00A55CB0">
        <w:t xml:space="preserve">targeted </w:t>
      </w:r>
      <w:r w:rsidR="00A55CB0" w:rsidRPr="00343E25">
        <w:t>pricing actions. This will partially be offset by the continued promo amortization headwind</w:t>
      </w:r>
      <w:r w:rsidR="00A55CB0">
        <w:t>. Further, the company has implemented its voluntary separation program and over</w:t>
      </w:r>
      <w:r w:rsidR="00A55CB0" w:rsidRPr="00450CF5">
        <w:t xml:space="preserve"> 50 percent of the approximately 4,800 impacted employees have already exited the business. The savings from the program are expected to begin to materialize in fourth quarter results and beyond</w:t>
      </w:r>
      <w:r w:rsidR="00881DFB">
        <w:rPr>
          <w:bCs/>
        </w:rPr>
        <w:t xml:space="preserve"> </w:t>
      </w:r>
    </w:p>
    <w:p w14:paraId="64479B19" w14:textId="2E226627" w:rsidR="0078049E" w:rsidRDefault="00E9149D" w:rsidP="00881DFB">
      <w:pPr>
        <w:spacing w:line="240" w:lineRule="auto"/>
        <w:jc w:val="both"/>
        <w:rPr>
          <w:bCs/>
          <w:i/>
          <w:iCs/>
        </w:rPr>
      </w:pPr>
      <w:r w:rsidRPr="00E211AB">
        <w:rPr>
          <w:b/>
          <w:i/>
          <w:iCs/>
        </w:rPr>
        <w:t>Citation</w:t>
      </w:r>
      <w:r w:rsidR="0078049E" w:rsidRPr="00E211AB">
        <w:rPr>
          <w:b/>
          <w:i/>
          <w:iCs/>
        </w:rPr>
        <w:t>:</w:t>
      </w:r>
      <w:r w:rsidR="0078049E" w:rsidRPr="00E211AB">
        <w:rPr>
          <w:bCs/>
          <w:i/>
          <w:iCs/>
        </w:rPr>
        <w:t xml:space="preserve"> </w:t>
      </w:r>
      <w:r w:rsidR="00931D47" w:rsidRPr="00931D47">
        <w:rPr>
          <w:bCs/>
          <w:i/>
          <w:iCs/>
        </w:rPr>
        <w:t>Annual report 10K Verizon</w:t>
      </w:r>
      <w:r w:rsidR="00931D47">
        <w:rPr>
          <w:bCs/>
          <w:i/>
          <w:iCs/>
        </w:rPr>
        <w:t>,</w:t>
      </w:r>
      <w:r w:rsidR="0051569A">
        <w:rPr>
          <w:bCs/>
          <w:i/>
          <w:iCs/>
        </w:rPr>
        <w:t xml:space="preserve"> </w:t>
      </w:r>
      <w:r w:rsidR="0051569A" w:rsidRPr="006C46CA">
        <w:rPr>
          <w:rStyle w:val="IntenseEmphasis"/>
          <w:b w:val="0"/>
          <w:bCs w:val="0"/>
          <w:color w:val="auto"/>
        </w:rPr>
        <w:t>Verizon Financials 3QFY24</w:t>
      </w:r>
      <w:r w:rsidR="0051569A">
        <w:rPr>
          <w:rStyle w:val="IntenseEmphasis"/>
          <w:b w:val="0"/>
          <w:bCs w:val="0"/>
          <w:color w:val="auto"/>
        </w:rPr>
        <w:t>,</w:t>
      </w:r>
      <w:r w:rsidR="00931D47">
        <w:rPr>
          <w:bCs/>
          <w:i/>
          <w:iCs/>
        </w:rPr>
        <w:t xml:space="preserve"> </w:t>
      </w:r>
      <w:r w:rsidR="00E32CA0" w:rsidRPr="00E32CA0">
        <w:rPr>
          <w:bCs/>
          <w:i/>
          <w:iCs/>
        </w:rPr>
        <w:t>Transcript 3Q24VZ. verizon.com/about/news/verizon-delivers-strong-</w:t>
      </w:r>
      <w:proofErr w:type="gramStart"/>
      <w:r w:rsidR="00E32CA0" w:rsidRPr="00E32CA0">
        <w:rPr>
          <w:bCs/>
          <w:i/>
          <w:iCs/>
        </w:rPr>
        <w:t>third-quarter</w:t>
      </w:r>
      <w:proofErr w:type="gramEnd"/>
      <w:r w:rsidR="00E32CA0" w:rsidRPr="00E32CA0">
        <w:rPr>
          <w:bCs/>
          <w:i/>
          <w:iCs/>
        </w:rPr>
        <w:t>-results-customer-growth-mobility-extending-industry</w:t>
      </w:r>
    </w:p>
    <w:p w14:paraId="4F93CF44" w14:textId="77777777" w:rsidR="00C22F88" w:rsidRPr="00C22F88" w:rsidRDefault="00C22F88" w:rsidP="00881DFB">
      <w:pPr>
        <w:spacing w:line="240" w:lineRule="auto"/>
        <w:jc w:val="both"/>
        <w:rPr>
          <w:bCs/>
        </w:rPr>
      </w:pPr>
    </w:p>
    <w:p w14:paraId="6BB1B8C0" w14:textId="77777777" w:rsidR="00AF2620" w:rsidRPr="00892881" w:rsidRDefault="00AF2620" w:rsidP="00AF2620">
      <w:pPr>
        <w:tabs>
          <w:tab w:val="center" w:pos="7200"/>
          <w:tab w:val="right" w:pos="14400"/>
        </w:tabs>
        <w:spacing w:after="0" w:line="240" w:lineRule="auto"/>
        <w:rPr>
          <w:b/>
          <w:color w:val="FFFFFF" w:themeColor="background1"/>
          <w:sz w:val="28"/>
          <w:szCs w:val="28"/>
        </w:rPr>
      </w:pPr>
      <w:r w:rsidRPr="00892881">
        <w:rPr>
          <w:b/>
          <w:color w:val="FFFFFF" w:themeColor="background1"/>
          <w:sz w:val="28"/>
          <w:szCs w:val="28"/>
          <w:highlight w:val="darkGray"/>
        </w:rPr>
        <w:tab/>
      </w:r>
      <w:r>
        <w:rPr>
          <w:b/>
          <w:color w:val="FFFFFF" w:themeColor="background1"/>
          <w:sz w:val="28"/>
          <w:szCs w:val="28"/>
          <w:highlight w:val="darkGray"/>
        </w:rPr>
        <w:t>Industry Analysis</w:t>
      </w:r>
      <w:r w:rsidRPr="00892881">
        <w:rPr>
          <w:b/>
          <w:color w:val="FFFFFF" w:themeColor="background1"/>
          <w:sz w:val="28"/>
          <w:szCs w:val="28"/>
          <w:highlight w:val="darkGray"/>
        </w:rPr>
        <w:tab/>
      </w:r>
    </w:p>
    <w:p w14:paraId="1C09908B" w14:textId="77777777" w:rsidR="00AF2620" w:rsidRDefault="00AF2620" w:rsidP="00AF2620">
      <w:pPr>
        <w:spacing w:line="240" w:lineRule="auto"/>
        <w:jc w:val="both"/>
      </w:pPr>
    </w:p>
    <w:p w14:paraId="7643E097" w14:textId="77777777" w:rsidR="00E844C9" w:rsidRDefault="00E844C9" w:rsidP="00E844C9">
      <w:pPr>
        <w:numPr>
          <w:ilvl w:val="0"/>
          <w:numId w:val="34"/>
        </w:numPr>
        <w:spacing w:after="0" w:line="240" w:lineRule="auto"/>
        <w:jc w:val="both"/>
        <w:rPr>
          <w:bCs/>
        </w:rPr>
      </w:pPr>
      <w:r w:rsidRPr="00940A12">
        <w:rPr>
          <w:bCs/>
        </w:rPr>
        <w:t xml:space="preserve">According to </w:t>
      </w:r>
      <w:r>
        <w:rPr>
          <w:bCs/>
        </w:rPr>
        <w:t>Deloitte telecom industry report published recently</w:t>
      </w:r>
      <w:r w:rsidRPr="00976DBE">
        <w:rPr>
          <w:bCs/>
        </w:rPr>
        <w:t xml:space="preserve"> telecom is already being impacted by generative AI</w:t>
      </w:r>
      <w:r>
        <w:rPr>
          <w:bCs/>
        </w:rPr>
        <w:t>.</w:t>
      </w:r>
      <w:r w:rsidRPr="00976DBE">
        <w:rPr>
          <w:bCs/>
        </w:rPr>
        <w:t xml:space="preserve"> </w:t>
      </w:r>
      <w:r>
        <w:rPr>
          <w:bCs/>
        </w:rPr>
        <w:t>Communication service providers</w:t>
      </w:r>
      <w:r w:rsidRPr="00976DBE">
        <w:rPr>
          <w:bCs/>
        </w:rPr>
        <w:t xml:space="preserve"> are evaluating and experimenting to understand what it takes to implement generative AI</w:t>
      </w:r>
      <w:r>
        <w:rPr>
          <w:bCs/>
        </w:rPr>
        <w:t xml:space="preserve">. </w:t>
      </w:r>
      <w:r w:rsidRPr="00976DBE">
        <w:rPr>
          <w:bCs/>
        </w:rPr>
        <w:t xml:space="preserve">Generative AI offers </w:t>
      </w:r>
      <w:r>
        <w:rPr>
          <w:bCs/>
        </w:rPr>
        <w:t>communication service providers (CSP)</w:t>
      </w:r>
      <w:r w:rsidRPr="00976DBE">
        <w:rPr>
          <w:bCs/>
        </w:rPr>
        <w:t xml:space="preserve"> pathways to make sense of the unstructured data they have across various parts of the business</w:t>
      </w:r>
      <w:r>
        <w:rPr>
          <w:bCs/>
        </w:rPr>
        <w:t xml:space="preserve">. This can help potentially </w:t>
      </w:r>
      <w:r w:rsidRPr="00976DBE">
        <w:rPr>
          <w:bCs/>
        </w:rPr>
        <w:t>empower productivity across data-driven parts of the business</w:t>
      </w:r>
      <w:r>
        <w:rPr>
          <w:bCs/>
        </w:rPr>
        <w:t>.</w:t>
      </w:r>
    </w:p>
    <w:p w14:paraId="250C027C" w14:textId="77777777" w:rsidR="00E844C9" w:rsidRDefault="00E844C9" w:rsidP="00E844C9">
      <w:pPr>
        <w:numPr>
          <w:ilvl w:val="0"/>
          <w:numId w:val="34"/>
        </w:numPr>
        <w:spacing w:after="0" w:line="240" w:lineRule="auto"/>
        <w:jc w:val="both"/>
        <w:rPr>
          <w:bCs/>
        </w:rPr>
      </w:pPr>
      <w:r w:rsidRPr="00976DBE">
        <w:rPr>
          <w:bCs/>
        </w:rPr>
        <w:t xml:space="preserve">CSPs have large cost burdens and larger responsibilities to deliver reliable connectivity and quality of service. In 2024, their investments could be challenged to pay off, and the businesses they once held dominion over will </w:t>
      </w:r>
      <w:r>
        <w:rPr>
          <w:bCs/>
        </w:rPr>
        <w:t xml:space="preserve">likely </w:t>
      </w:r>
      <w:r w:rsidRPr="00976DBE">
        <w:rPr>
          <w:bCs/>
        </w:rPr>
        <w:t>face strong competition from multiple quarters, especially in home broadband</w:t>
      </w:r>
      <w:r>
        <w:rPr>
          <w:bCs/>
        </w:rPr>
        <w:t>.</w:t>
      </w:r>
    </w:p>
    <w:p w14:paraId="58C80BD0" w14:textId="77777777" w:rsidR="00E844C9" w:rsidRDefault="00E844C9" w:rsidP="00E844C9">
      <w:pPr>
        <w:numPr>
          <w:ilvl w:val="0"/>
          <w:numId w:val="34"/>
        </w:numPr>
        <w:spacing w:after="0" w:line="240" w:lineRule="auto"/>
        <w:jc w:val="both"/>
        <w:rPr>
          <w:bCs/>
        </w:rPr>
      </w:pPr>
      <w:r w:rsidRPr="00976DBE">
        <w:rPr>
          <w:bCs/>
        </w:rPr>
        <w:lastRenderedPageBreak/>
        <w:t xml:space="preserve">Households in the United States are adopting more wireless solutions. Deloitte’s 2023 Connected Consumer Survey reported that 12% of home internet users said they have a fixed wireless connection, up from 6% in the 2022 survey. The majority of these surveyed (52%) indicated that their fixed wireless connection is powered by 5G technology. This represents a considerable increase from 2022, when only 32% of the fixed wireless access (FWA) users in </w:t>
      </w:r>
      <w:r>
        <w:rPr>
          <w:bCs/>
        </w:rPr>
        <w:t>the</w:t>
      </w:r>
      <w:r w:rsidRPr="00976DBE">
        <w:rPr>
          <w:bCs/>
        </w:rPr>
        <w:t xml:space="preserve"> survey reported 5G connections. Indeed, 5G FWA has been capturing broadband share rapidly, accounting for 90% of net additional broadband internet subscribers in 2022, and is expected to continue at 80% to 90% through 2024</w:t>
      </w:r>
      <w:r>
        <w:rPr>
          <w:bCs/>
        </w:rPr>
        <w:t>.</w:t>
      </w:r>
    </w:p>
    <w:p w14:paraId="0D7A1052" w14:textId="77777777" w:rsidR="00E844C9" w:rsidRDefault="00E844C9" w:rsidP="00E844C9">
      <w:pPr>
        <w:numPr>
          <w:ilvl w:val="0"/>
          <w:numId w:val="34"/>
        </w:numPr>
        <w:spacing w:after="0" w:line="240" w:lineRule="auto"/>
        <w:jc w:val="both"/>
        <w:rPr>
          <w:bCs/>
        </w:rPr>
      </w:pPr>
      <w:r w:rsidRPr="006C24F5">
        <w:rPr>
          <w:bCs/>
        </w:rPr>
        <w:t xml:space="preserve">Both </w:t>
      </w:r>
      <w:r>
        <w:rPr>
          <w:bCs/>
        </w:rPr>
        <w:t>low earth orbit (</w:t>
      </w:r>
      <w:r w:rsidRPr="006C24F5">
        <w:rPr>
          <w:bCs/>
        </w:rPr>
        <w:t>LEO</w:t>
      </w:r>
      <w:r>
        <w:rPr>
          <w:bCs/>
        </w:rPr>
        <w:t>) satellite</w:t>
      </w:r>
      <w:r w:rsidRPr="006C24F5">
        <w:rPr>
          <w:bCs/>
        </w:rPr>
        <w:t xml:space="preserve"> and </w:t>
      </w:r>
      <w:r>
        <w:rPr>
          <w:bCs/>
        </w:rPr>
        <w:t>fixed wireless access (</w:t>
      </w:r>
      <w:r w:rsidRPr="006C24F5">
        <w:rPr>
          <w:bCs/>
        </w:rPr>
        <w:t>FWA</w:t>
      </w:r>
      <w:r>
        <w:rPr>
          <w:bCs/>
        </w:rPr>
        <w:t>)</w:t>
      </w:r>
      <w:r w:rsidRPr="006C24F5">
        <w:rPr>
          <w:bCs/>
        </w:rPr>
        <w:t xml:space="preserve"> are adding subscribers (millions of homes per year in the United States), but they may be gaining more share from additional markets than was originally thought</w:t>
      </w:r>
      <w:r>
        <w:rPr>
          <w:bCs/>
        </w:rPr>
        <w:t xml:space="preserve"> at the expense of Digital subscriber line (DSL), which have lower speeds.</w:t>
      </w:r>
    </w:p>
    <w:p w14:paraId="1ED0C088" w14:textId="77777777" w:rsidR="00E844C9" w:rsidRDefault="00E844C9" w:rsidP="00E844C9">
      <w:pPr>
        <w:numPr>
          <w:ilvl w:val="0"/>
          <w:numId w:val="34"/>
        </w:numPr>
        <w:spacing w:after="0" w:line="240" w:lineRule="auto"/>
        <w:jc w:val="both"/>
        <w:rPr>
          <w:bCs/>
        </w:rPr>
      </w:pPr>
      <w:r w:rsidRPr="006C24F5">
        <w:rPr>
          <w:bCs/>
        </w:rPr>
        <w:t>The shape of enterprise connectivity has evolved, calling for more integration across provider ecosystems and yielding more connectivity offerings from cloud providers. Cloud providers have taken a stronger role in providing connectivity solutions that reinforce performance for their cloud offerings, drawing them into closer competition with CSPs. As some buyers of connectivity services could see cloud companies as alternatives to CSPs, 2024 may add more pressure on CSPs to further differentiate their offerings while reinforcing their strengths in the modern enterprise</w:t>
      </w:r>
      <w:r>
        <w:rPr>
          <w:bCs/>
        </w:rPr>
        <w:t>.</w:t>
      </w:r>
    </w:p>
    <w:p w14:paraId="12E9B6D7" w14:textId="4976D15C" w:rsidR="0078049E" w:rsidRDefault="00E844C9" w:rsidP="00E844C9">
      <w:pPr>
        <w:pStyle w:val="ListParagraph"/>
        <w:numPr>
          <w:ilvl w:val="0"/>
          <w:numId w:val="34"/>
        </w:numPr>
        <w:spacing w:line="240" w:lineRule="auto"/>
        <w:jc w:val="both"/>
        <w:rPr>
          <w:bCs/>
        </w:rPr>
      </w:pPr>
      <w:r w:rsidRPr="006C24F5">
        <w:rPr>
          <w:bCs/>
        </w:rPr>
        <w:t xml:space="preserve">Although 5G networks are still being launched in new geographies, and networks are being made denser with more towers and antennas, the bulk of CSP spending on 5G equipment and spectrum seems to be </w:t>
      </w:r>
      <w:r>
        <w:rPr>
          <w:bCs/>
        </w:rPr>
        <w:t>over</w:t>
      </w:r>
      <w:r w:rsidRPr="006C24F5">
        <w:rPr>
          <w:bCs/>
        </w:rPr>
        <w:t>, and there are few signs that the trend will reverse. This has positive implications for CSPs that may have higher free cash flow as 5G build-out settles</w:t>
      </w:r>
      <w:r w:rsidR="00AF2620">
        <w:rPr>
          <w:bCs/>
        </w:rPr>
        <w:t>.</w:t>
      </w:r>
    </w:p>
    <w:p w14:paraId="19ADAB7A" w14:textId="5F4BCA3E" w:rsidR="0078049E" w:rsidRPr="00764C8F" w:rsidRDefault="00E9149D" w:rsidP="0078049E">
      <w:pPr>
        <w:spacing w:line="240" w:lineRule="auto"/>
        <w:jc w:val="both"/>
        <w:rPr>
          <w:rStyle w:val="Hyperlink"/>
          <w:bCs/>
          <w:i/>
          <w:iCs/>
        </w:rPr>
      </w:pPr>
      <w:r w:rsidRPr="00764C8F">
        <w:rPr>
          <w:b/>
          <w:i/>
          <w:iCs/>
        </w:rPr>
        <w:t>Citation</w:t>
      </w:r>
      <w:r w:rsidR="0078049E" w:rsidRPr="00764C8F">
        <w:rPr>
          <w:b/>
          <w:i/>
          <w:iCs/>
        </w:rPr>
        <w:t>:</w:t>
      </w:r>
      <w:r w:rsidR="0078049E" w:rsidRPr="00764C8F">
        <w:rPr>
          <w:bCs/>
          <w:i/>
          <w:iCs/>
        </w:rPr>
        <w:t xml:space="preserve"> </w:t>
      </w:r>
      <w:r w:rsidR="005D6862" w:rsidRPr="00B62126">
        <w:rPr>
          <w:bCs/>
          <w:i/>
          <w:iCs/>
        </w:rPr>
        <w:t>2024 Telecom Industry Outlook</w:t>
      </w:r>
    </w:p>
    <w:p w14:paraId="5A1AFFF9" w14:textId="77777777" w:rsidR="00D51846" w:rsidRPr="00D51846" w:rsidRDefault="00AF2620" w:rsidP="00764C8F">
      <w:pPr>
        <w:spacing w:after="0" w:line="240" w:lineRule="auto"/>
        <w:jc w:val="both"/>
      </w:pPr>
      <w:r w:rsidRPr="00D51846">
        <w:rPr>
          <w:b/>
        </w:rPr>
        <w:t>Peer Analysis:</w:t>
      </w:r>
      <w:r w:rsidRPr="00D51846">
        <w:t xml:space="preserve">  </w:t>
      </w:r>
    </w:p>
    <w:p w14:paraId="59067C71" w14:textId="11ECB681" w:rsidR="00AF2620" w:rsidRDefault="00FD57E7" w:rsidP="00764C8F">
      <w:pPr>
        <w:spacing w:after="0" w:line="240" w:lineRule="auto"/>
        <w:jc w:val="both"/>
      </w:pPr>
      <w:r>
        <w:t>Verizon</w:t>
      </w:r>
      <w:r w:rsidRPr="00FB2D86">
        <w:t xml:space="preserve"> has</w:t>
      </w:r>
      <w:r>
        <w:t xml:space="preserve"> a</w:t>
      </w:r>
      <w:r w:rsidRPr="00FB2D86">
        <w:t xml:space="preserve"> </w:t>
      </w:r>
      <w:r>
        <w:t xml:space="preserve">mixed </w:t>
      </w:r>
      <w:r w:rsidRPr="00FB2D86">
        <w:t>leverage profile; reflected by debt-to-capitalization ratio of 6</w:t>
      </w:r>
      <w:r>
        <w:t>4</w:t>
      </w:r>
      <w:r w:rsidRPr="00FB2D86">
        <w:t>% (vs. industry aver</w:t>
      </w:r>
      <w:r>
        <w:t xml:space="preserve">age of 61%). Operating metrics </w:t>
      </w:r>
      <w:r w:rsidRPr="00FB2D86">
        <w:t xml:space="preserve">was </w:t>
      </w:r>
      <w:r>
        <w:t>in line with</w:t>
      </w:r>
      <w:r w:rsidRPr="00FB2D86">
        <w:t xml:space="preserve"> its peers as evidenced by operating margin of </w:t>
      </w:r>
      <w:r>
        <w:t>16</w:t>
      </w:r>
      <w:r w:rsidRPr="00FB2D86">
        <w:t xml:space="preserve">% (vs. </w:t>
      </w:r>
      <w:r>
        <w:t>peer</w:t>
      </w:r>
      <w:r w:rsidRPr="00FB2D86">
        <w:t xml:space="preserve"> </w:t>
      </w:r>
      <w:r>
        <w:t xml:space="preserve">group </w:t>
      </w:r>
      <w:r w:rsidRPr="00FB2D86">
        <w:t xml:space="preserve">average of </w:t>
      </w:r>
      <w:r>
        <w:t>17.7</w:t>
      </w:r>
      <w:r w:rsidRPr="00FB2D86">
        <w:t xml:space="preserve">%) </w:t>
      </w:r>
      <w:r>
        <w:t>and</w:t>
      </w:r>
      <w:r w:rsidRPr="00FB2D86">
        <w:t xml:space="preserve"> EBITDA margin of </w:t>
      </w:r>
      <w:r>
        <w:t>34</w:t>
      </w:r>
      <w:r w:rsidRPr="00FB2D86">
        <w:t xml:space="preserve">% (vs. </w:t>
      </w:r>
      <w:r>
        <w:t>peer group</w:t>
      </w:r>
      <w:r w:rsidRPr="00FB2D86">
        <w:t xml:space="preserve"> average of </w:t>
      </w:r>
      <w:r>
        <w:t>34</w:t>
      </w:r>
      <w:r w:rsidRPr="00FB2D86">
        <w:t>%).</w:t>
      </w:r>
      <w:r>
        <w:t xml:space="preserve"> Given its position as a market leader, its revenue, operating profit, and EBITDA in absolute terms was the highest amongst its peers.</w:t>
      </w:r>
    </w:p>
    <w:p w14:paraId="3E096F24" w14:textId="77777777" w:rsidR="00C521D4" w:rsidRDefault="00C521D4" w:rsidP="00764C8F">
      <w:pPr>
        <w:spacing w:after="0" w:line="240" w:lineRule="auto"/>
        <w:jc w:val="both"/>
      </w:pPr>
    </w:p>
    <w:tbl>
      <w:tblPr>
        <w:tblStyle w:val="PlainTable1"/>
        <w:tblW w:w="11605" w:type="dxa"/>
        <w:tblLook w:val="04A0" w:firstRow="1" w:lastRow="0" w:firstColumn="1" w:lastColumn="0" w:noHBand="0" w:noVBand="1"/>
      </w:tblPr>
      <w:tblGrid>
        <w:gridCol w:w="2875"/>
        <w:gridCol w:w="2160"/>
        <w:gridCol w:w="2160"/>
        <w:gridCol w:w="2250"/>
        <w:gridCol w:w="2160"/>
      </w:tblGrid>
      <w:tr w:rsidR="009176F3" w:rsidRPr="00593DDF" w14:paraId="4C47F134" w14:textId="77777777" w:rsidTr="00EE24C1">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875" w:type="dxa"/>
            <w:vAlign w:val="center"/>
            <w:hideMark/>
          </w:tcPr>
          <w:p w14:paraId="13A07A01" w14:textId="77777777" w:rsidR="009176F3" w:rsidRPr="00612968" w:rsidRDefault="009176F3" w:rsidP="00406B46">
            <w:pPr>
              <w:spacing w:after="0" w:line="240" w:lineRule="auto"/>
              <w:rPr>
                <w:rFonts w:eastAsia="Times New Roman" w:cs="Calibri"/>
                <w:b w:val="0"/>
                <w:bCs w:val="0"/>
                <w:sz w:val="20"/>
                <w:szCs w:val="20"/>
              </w:rPr>
            </w:pPr>
            <w:r w:rsidRPr="00612968">
              <w:rPr>
                <w:rFonts w:eastAsia="Times New Roman" w:cs="Calibri"/>
                <w:sz w:val="20"/>
                <w:szCs w:val="20"/>
              </w:rPr>
              <w:t>Figures in USD (Millions)</w:t>
            </w:r>
          </w:p>
        </w:tc>
        <w:tc>
          <w:tcPr>
            <w:tcW w:w="2160" w:type="dxa"/>
            <w:hideMark/>
          </w:tcPr>
          <w:p w14:paraId="0E754398" w14:textId="07EBBB38" w:rsidR="009176F3" w:rsidRPr="00612968" w:rsidRDefault="009176F3" w:rsidP="00406B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sz w:val="20"/>
                <w:szCs w:val="20"/>
              </w:rPr>
            </w:pPr>
            <w:r w:rsidRPr="00612968">
              <w:rPr>
                <w:sz w:val="20"/>
                <w:szCs w:val="20"/>
              </w:rPr>
              <w:t>Verizon (NYSE: VZ)</w:t>
            </w:r>
          </w:p>
        </w:tc>
        <w:tc>
          <w:tcPr>
            <w:tcW w:w="2160" w:type="dxa"/>
            <w:hideMark/>
          </w:tcPr>
          <w:p w14:paraId="43AEDFC8" w14:textId="27659108" w:rsidR="009176F3" w:rsidRPr="00612968" w:rsidRDefault="009176F3" w:rsidP="00406B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sz w:val="20"/>
                <w:szCs w:val="20"/>
              </w:rPr>
            </w:pPr>
            <w:r w:rsidRPr="00612968">
              <w:rPr>
                <w:sz w:val="20"/>
                <w:szCs w:val="20"/>
              </w:rPr>
              <w:t>AT&amp;T (NYSE: T)</w:t>
            </w:r>
          </w:p>
        </w:tc>
        <w:tc>
          <w:tcPr>
            <w:tcW w:w="2250" w:type="dxa"/>
            <w:hideMark/>
          </w:tcPr>
          <w:p w14:paraId="26CBD306" w14:textId="14FC899D" w:rsidR="009176F3" w:rsidRPr="00612968" w:rsidRDefault="009176F3" w:rsidP="00406B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sz w:val="20"/>
                <w:szCs w:val="20"/>
              </w:rPr>
            </w:pPr>
            <w:r w:rsidRPr="00612968">
              <w:rPr>
                <w:sz w:val="20"/>
                <w:szCs w:val="20"/>
              </w:rPr>
              <w:t>T Mobile Us Inc (NASDAQ: TMUS)</w:t>
            </w:r>
          </w:p>
        </w:tc>
        <w:tc>
          <w:tcPr>
            <w:tcW w:w="2160" w:type="dxa"/>
            <w:vAlign w:val="center"/>
            <w:hideMark/>
          </w:tcPr>
          <w:p w14:paraId="55CA4863" w14:textId="77777777" w:rsidR="009176F3" w:rsidRPr="00612968" w:rsidRDefault="009176F3" w:rsidP="00406B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szCs w:val="20"/>
              </w:rPr>
            </w:pPr>
            <w:r w:rsidRPr="00612968">
              <w:rPr>
                <w:rFonts w:eastAsia="Times New Roman" w:cs="Calibri"/>
                <w:sz w:val="20"/>
                <w:szCs w:val="20"/>
              </w:rPr>
              <w:t>Peer Group Average</w:t>
            </w:r>
          </w:p>
        </w:tc>
      </w:tr>
      <w:tr w:rsidR="009176F3" w:rsidRPr="00593DDF" w14:paraId="08F90098" w14:textId="77777777" w:rsidTr="00EE24C1">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2875" w:type="dxa"/>
            <w:vAlign w:val="center"/>
            <w:hideMark/>
          </w:tcPr>
          <w:p w14:paraId="60A9C963" w14:textId="522587CA" w:rsidR="009176F3" w:rsidRPr="0006728B" w:rsidRDefault="009176F3" w:rsidP="000E68DD">
            <w:pPr>
              <w:spacing w:after="0" w:line="240" w:lineRule="auto"/>
              <w:rPr>
                <w:rFonts w:eastAsia="Times New Roman" w:cs="Calibri"/>
                <w:b w:val="0"/>
                <w:bCs w:val="0"/>
                <w:color w:val="000000"/>
                <w:sz w:val="20"/>
                <w:szCs w:val="20"/>
              </w:rPr>
            </w:pPr>
            <w:r w:rsidRPr="0006728B">
              <w:rPr>
                <w:rFonts w:eastAsia="Times New Roman" w:cs="Calibri"/>
                <w:b w:val="0"/>
                <w:bCs w:val="0"/>
                <w:color w:val="000000"/>
                <w:sz w:val="20"/>
                <w:szCs w:val="20"/>
              </w:rPr>
              <w:t xml:space="preserve">Moody's/S&amp;P </w:t>
            </w:r>
            <w:r>
              <w:rPr>
                <w:rFonts w:eastAsia="Times New Roman" w:cs="Calibri"/>
                <w:b w:val="0"/>
                <w:bCs w:val="0"/>
                <w:color w:val="000000"/>
                <w:sz w:val="20"/>
                <w:szCs w:val="20"/>
              </w:rPr>
              <w:t>R</w:t>
            </w:r>
            <w:r w:rsidRPr="0006728B">
              <w:rPr>
                <w:rFonts w:eastAsia="Times New Roman" w:cs="Calibri"/>
                <w:b w:val="0"/>
                <w:bCs w:val="0"/>
                <w:color w:val="000000"/>
                <w:sz w:val="20"/>
                <w:szCs w:val="20"/>
              </w:rPr>
              <w:t>atings</w:t>
            </w:r>
          </w:p>
        </w:tc>
        <w:tc>
          <w:tcPr>
            <w:tcW w:w="2160" w:type="dxa"/>
            <w:vAlign w:val="center"/>
            <w:hideMark/>
          </w:tcPr>
          <w:p w14:paraId="4BFB97AC" w14:textId="77777777" w:rsidR="00AA7FB3" w:rsidRPr="00AA7FB3" w:rsidRDefault="00AA7FB3" w:rsidP="009A222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AA7FB3">
              <w:rPr>
                <w:rFonts w:eastAsia="Times New Roman" w:cs="Calibri"/>
                <w:color w:val="000000"/>
                <w:sz w:val="20"/>
                <w:szCs w:val="20"/>
              </w:rPr>
              <w:t>Moody's: Baa1/Stable;</w:t>
            </w:r>
          </w:p>
          <w:p w14:paraId="0DF670D6" w14:textId="77777777" w:rsidR="00AA7FB3" w:rsidRPr="00AA7FB3" w:rsidRDefault="00AA7FB3" w:rsidP="009A222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AA7FB3">
              <w:rPr>
                <w:rFonts w:eastAsia="Times New Roman" w:cs="Calibri"/>
                <w:color w:val="000000"/>
                <w:sz w:val="20"/>
                <w:szCs w:val="20"/>
              </w:rPr>
              <w:t>S&amp;P: BBB+/Stable;</w:t>
            </w:r>
          </w:p>
          <w:p w14:paraId="6C9FD492" w14:textId="425382EE" w:rsidR="009176F3" w:rsidRPr="0006728B" w:rsidRDefault="00AA7FB3" w:rsidP="009A222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AA7FB3">
              <w:rPr>
                <w:rFonts w:eastAsia="Times New Roman" w:cs="Calibri"/>
                <w:color w:val="000000"/>
                <w:sz w:val="20"/>
                <w:szCs w:val="20"/>
              </w:rPr>
              <w:t>Fitch: A-/Stable</w:t>
            </w:r>
          </w:p>
        </w:tc>
        <w:tc>
          <w:tcPr>
            <w:tcW w:w="2160" w:type="dxa"/>
            <w:vAlign w:val="center"/>
            <w:hideMark/>
          </w:tcPr>
          <w:p w14:paraId="005EE2D8" w14:textId="77777777" w:rsidR="00C539C3" w:rsidRPr="00C539C3" w:rsidRDefault="00C539C3" w:rsidP="009A222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C539C3">
              <w:rPr>
                <w:rFonts w:eastAsia="Times New Roman" w:cs="Calibri"/>
                <w:color w:val="000000"/>
                <w:sz w:val="20"/>
                <w:szCs w:val="20"/>
              </w:rPr>
              <w:t xml:space="preserve">Moody's: Baa2/Stable; </w:t>
            </w:r>
          </w:p>
          <w:p w14:paraId="533135D6" w14:textId="77777777" w:rsidR="00C539C3" w:rsidRPr="00C539C3" w:rsidRDefault="00C539C3" w:rsidP="009A222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C539C3">
              <w:rPr>
                <w:rFonts w:eastAsia="Times New Roman" w:cs="Calibri"/>
                <w:color w:val="000000"/>
                <w:sz w:val="20"/>
                <w:szCs w:val="20"/>
              </w:rPr>
              <w:t>S&amp;P: BBB/Stable;</w:t>
            </w:r>
          </w:p>
          <w:p w14:paraId="4AAADDAC" w14:textId="21EB2385" w:rsidR="009176F3" w:rsidRPr="0006728B" w:rsidRDefault="00C539C3" w:rsidP="009A222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C539C3">
              <w:rPr>
                <w:rFonts w:eastAsia="Times New Roman" w:cs="Calibri"/>
                <w:color w:val="000000"/>
                <w:sz w:val="20"/>
                <w:szCs w:val="20"/>
              </w:rPr>
              <w:t>Fitch: BBB+/Stable</w:t>
            </w:r>
          </w:p>
        </w:tc>
        <w:tc>
          <w:tcPr>
            <w:tcW w:w="2250" w:type="dxa"/>
            <w:vAlign w:val="center"/>
            <w:hideMark/>
          </w:tcPr>
          <w:p w14:paraId="53BDBA55" w14:textId="77777777" w:rsidR="006F7DDD" w:rsidRPr="006F7DDD" w:rsidRDefault="006F7DDD" w:rsidP="009A222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6F7DDD">
              <w:rPr>
                <w:rFonts w:eastAsia="Times New Roman" w:cs="Calibri"/>
                <w:color w:val="000000"/>
                <w:sz w:val="20"/>
                <w:szCs w:val="20"/>
              </w:rPr>
              <w:t xml:space="preserve">Moody's: Baa2/Stable; </w:t>
            </w:r>
          </w:p>
          <w:p w14:paraId="30A22340" w14:textId="77777777" w:rsidR="006F7DDD" w:rsidRPr="006F7DDD" w:rsidRDefault="006F7DDD" w:rsidP="009A222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6F7DDD">
              <w:rPr>
                <w:rFonts w:eastAsia="Times New Roman" w:cs="Calibri"/>
                <w:color w:val="000000"/>
                <w:sz w:val="20"/>
                <w:szCs w:val="20"/>
              </w:rPr>
              <w:t>S&amp;P: BBB/Stable;</w:t>
            </w:r>
          </w:p>
          <w:p w14:paraId="1806FA69" w14:textId="572F15F5" w:rsidR="009176F3" w:rsidRPr="0006728B" w:rsidRDefault="006F7DDD" w:rsidP="009A222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6F7DDD">
              <w:rPr>
                <w:rFonts w:eastAsia="Times New Roman" w:cs="Calibri"/>
                <w:color w:val="000000"/>
                <w:sz w:val="20"/>
                <w:szCs w:val="20"/>
              </w:rPr>
              <w:t>Fitch: BBB+/Stable</w:t>
            </w:r>
          </w:p>
        </w:tc>
        <w:tc>
          <w:tcPr>
            <w:tcW w:w="2160" w:type="dxa"/>
            <w:vAlign w:val="center"/>
            <w:hideMark/>
          </w:tcPr>
          <w:p w14:paraId="57F91073" w14:textId="7FD4CA13" w:rsidR="009176F3" w:rsidRPr="0006728B" w:rsidRDefault="009176F3" w:rsidP="009A222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p>
        </w:tc>
      </w:tr>
      <w:tr w:rsidR="00D16030" w:rsidRPr="00593DDF" w14:paraId="5FC91E4C" w14:textId="77777777" w:rsidTr="00EE7C64">
        <w:trPr>
          <w:trHeight w:val="317"/>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16B774E" w14:textId="0DF3C6F1" w:rsidR="00D16030" w:rsidRPr="00EE24C1" w:rsidRDefault="00D16030" w:rsidP="00D16030">
            <w:pPr>
              <w:spacing w:after="0" w:line="240" w:lineRule="auto"/>
              <w:rPr>
                <w:rFonts w:eastAsia="Times New Roman" w:cs="Calibri"/>
                <w:b w:val="0"/>
                <w:bCs w:val="0"/>
                <w:color w:val="000000"/>
                <w:sz w:val="20"/>
                <w:szCs w:val="20"/>
              </w:rPr>
            </w:pPr>
            <w:r w:rsidRPr="00EE24C1">
              <w:rPr>
                <w:rFonts w:eastAsia="Times New Roman" w:cs="Calibri"/>
                <w:b w:val="0"/>
                <w:bCs w:val="0"/>
                <w:color w:val="000000"/>
                <w:sz w:val="20"/>
                <w:szCs w:val="20"/>
              </w:rPr>
              <w:t>Revenues ($M)</w:t>
            </w:r>
          </w:p>
        </w:tc>
        <w:tc>
          <w:tcPr>
            <w:tcW w:w="2160" w:type="dxa"/>
            <w:vAlign w:val="center"/>
          </w:tcPr>
          <w:p w14:paraId="72CCD595" w14:textId="5C23C7CB"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$134,237 </w:t>
            </w:r>
          </w:p>
        </w:tc>
        <w:tc>
          <w:tcPr>
            <w:tcW w:w="2160" w:type="dxa"/>
            <w:vAlign w:val="center"/>
          </w:tcPr>
          <w:p w14:paraId="372AA4B3" w14:textId="63B49215"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$122,060 </w:t>
            </w:r>
          </w:p>
        </w:tc>
        <w:tc>
          <w:tcPr>
            <w:tcW w:w="2250" w:type="dxa"/>
            <w:vAlign w:val="center"/>
          </w:tcPr>
          <w:p w14:paraId="79FD2C55" w14:textId="21551994"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$80,006 </w:t>
            </w:r>
          </w:p>
        </w:tc>
        <w:tc>
          <w:tcPr>
            <w:tcW w:w="2160" w:type="dxa"/>
            <w:vAlign w:val="center"/>
          </w:tcPr>
          <w:p w14:paraId="6A191861" w14:textId="58C31676"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$112,101 </w:t>
            </w:r>
          </w:p>
        </w:tc>
      </w:tr>
      <w:tr w:rsidR="00D16030" w:rsidRPr="00593DDF" w14:paraId="47EC454F" w14:textId="77777777" w:rsidTr="00EE7C6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19C3A60" w14:textId="4F418296" w:rsidR="00D16030" w:rsidRPr="00EE24C1" w:rsidRDefault="00D16030" w:rsidP="00D16030">
            <w:pPr>
              <w:spacing w:after="0" w:line="240" w:lineRule="auto"/>
              <w:rPr>
                <w:rFonts w:eastAsia="Times New Roman" w:cs="Calibri"/>
                <w:b w:val="0"/>
                <w:bCs w:val="0"/>
                <w:color w:val="000000"/>
                <w:sz w:val="20"/>
                <w:szCs w:val="20"/>
              </w:rPr>
            </w:pPr>
            <w:r w:rsidRPr="00EE24C1">
              <w:rPr>
                <w:rFonts w:eastAsia="Times New Roman" w:cs="Calibri"/>
                <w:b w:val="0"/>
                <w:bCs w:val="0"/>
                <w:color w:val="000000"/>
                <w:sz w:val="20"/>
                <w:szCs w:val="20"/>
              </w:rPr>
              <w:t>Y-o-Y Growth (%)</w:t>
            </w:r>
          </w:p>
        </w:tc>
        <w:tc>
          <w:tcPr>
            <w:tcW w:w="2160" w:type="dxa"/>
            <w:vAlign w:val="center"/>
          </w:tcPr>
          <w:p w14:paraId="21785CE1" w14:textId="1F3B868A"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sz w:val="20"/>
                <w:szCs w:val="20"/>
              </w:rPr>
              <w:t>0.11%</w:t>
            </w:r>
          </w:p>
        </w:tc>
        <w:tc>
          <w:tcPr>
            <w:tcW w:w="2160" w:type="dxa"/>
            <w:vAlign w:val="center"/>
          </w:tcPr>
          <w:p w14:paraId="218FDBB6" w14:textId="49A53200"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sz w:val="20"/>
                <w:szCs w:val="20"/>
              </w:rPr>
              <w:t>0.26%</w:t>
            </w:r>
          </w:p>
        </w:tc>
        <w:tc>
          <w:tcPr>
            <w:tcW w:w="2250" w:type="dxa"/>
            <w:vAlign w:val="center"/>
          </w:tcPr>
          <w:p w14:paraId="26ECA2E5" w14:textId="617C09FB"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sz w:val="20"/>
                <w:szCs w:val="20"/>
              </w:rPr>
              <w:t>2.11%</w:t>
            </w:r>
          </w:p>
        </w:tc>
        <w:tc>
          <w:tcPr>
            <w:tcW w:w="2160" w:type="dxa"/>
            <w:vAlign w:val="center"/>
          </w:tcPr>
          <w:p w14:paraId="1E6C9DBE" w14:textId="6E97D62C"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0.82%</w:t>
            </w:r>
          </w:p>
        </w:tc>
      </w:tr>
      <w:tr w:rsidR="00D16030" w:rsidRPr="00593DDF" w14:paraId="18CB5E7E" w14:textId="77777777" w:rsidTr="00EE7C64">
        <w:trPr>
          <w:trHeight w:val="317"/>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E2BC5E2" w14:textId="520036B7" w:rsidR="00D16030" w:rsidRPr="00EE24C1" w:rsidRDefault="00D16030" w:rsidP="00D16030">
            <w:pPr>
              <w:spacing w:after="0" w:line="240" w:lineRule="auto"/>
              <w:rPr>
                <w:rFonts w:eastAsia="Times New Roman" w:cs="Calibri"/>
                <w:b w:val="0"/>
                <w:bCs w:val="0"/>
                <w:color w:val="000000"/>
                <w:sz w:val="20"/>
                <w:szCs w:val="20"/>
              </w:rPr>
            </w:pPr>
            <w:r w:rsidRPr="00EE24C1">
              <w:rPr>
                <w:rFonts w:eastAsia="Times New Roman" w:cs="Calibri"/>
                <w:b w:val="0"/>
                <w:bCs w:val="0"/>
                <w:color w:val="000000"/>
                <w:sz w:val="20"/>
                <w:szCs w:val="20"/>
              </w:rPr>
              <w:t>Operating Profit ($)</w:t>
            </w:r>
          </w:p>
        </w:tc>
        <w:tc>
          <w:tcPr>
            <w:tcW w:w="2160" w:type="dxa"/>
            <w:vAlign w:val="center"/>
          </w:tcPr>
          <w:p w14:paraId="0053554F" w14:textId="6D3FF780"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sidRPr="00EE24C1">
              <w:rPr>
                <w:rFonts w:eastAsia="Times New Roman" w:cs="Calibri"/>
                <w:color w:val="000000"/>
                <w:sz w:val="20"/>
                <w:szCs w:val="20"/>
              </w:rPr>
              <w:t xml:space="preserve">$21,865 </w:t>
            </w:r>
          </w:p>
        </w:tc>
        <w:tc>
          <w:tcPr>
            <w:tcW w:w="2160" w:type="dxa"/>
            <w:vAlign w:val="center"/>
          </w:tcPr>
          <w:p w14:paraId="17FC61E3" w14:textId="4A06CE5A"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sidRPr="00EE24C1">
              <w:rPr>
                <w:rFonts w:eastAsia="Times New Roman" w:cs="Calibri"/>
                <w:sz w:val="20"/>
                <w:szCs w:val="20"/>
              </w:rPr>
              <w:t xml:space="preserve">$18,994 </w:t>
            </w:r>
          </w:p>
        </w:tc>
        <w:tc>
          <w:tcPr>
            <w:tcW w:w="2250" w:type="dxa"/>
            <w:vAlign w:val="center"/>
          </w:tcPr>
          <w:p w14:paraId="4843FF0F" w14:textId="02273F6C"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sidRPr="00EE24C1">
              <w:rPr>
                <w:rFonts w:eastAsia="Times New Roman" w:cs="Calibri"/>
                <w:sz w:val="20"/>
                <w:szCs w:val="20"/>
              </w:rPr>
              <w:t xml:space="preserve">$16,904 </w:t>
            </w:r>
          </w:p>
        </w:tc>
        <w:tc>
          <w:tcPr>
            <w:tcW w:w="2160" w:type="dxa"/>
            <w:vAlign w:val="center"/>
          </w:tcPr>
          <w:p w14:paraId="5BFD2042" w14:textId="36B8B4DA"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$19,254 </w:t>
            </w:r>
          </w:p>
        </w:tc>
      </w:tr>
      <w:tr w:rsidR="00D16030" w:rsidRPr="00593DDF" w14:paraId="6506311F" w14:textId="77777777" w:rsidTr="00EE7C6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CF4CB6F" w14:textId="66FEE5E3" w:rsidR="00D16030" w:rsidRPr="00EE24C1" w:rsidRDefault="00D16030" w:rsidP="00D16030">
            <w:pPr>
              <w:spacing w:after="0" w:line="240" w:lineRule="auto"/>
              <w:rPr>
                <w:rFonts w:eastAsia="Times New Roman" w:cs="Calibri"/>
                <w:b w:val="0"/>
                <w:bCs w:val="0"/>
                <w:color w:val="000000"/>
                <w:sz w:val="20"/>
                <w:szCs w:val="20"/>
              </w:rPr>
            </w:pPr>
            <w:r w:rsidRPr="00EE24C1">
              <w:rPr>
                <w:rFonts w:eastAsia="Times New Roman" w:cs="Calibri"/>
                <w:b w:val="0"/>
                <w:bCs w:val="0"/>
                <w:color w:val="000000"/>
                <w:sz w:val="20"/>
                <w:szCs w:val="20"/>
              </w:rPr>
              <w:t>Operating Margin (%)</w:t>
            </w:r>
          </w:p>
        </w:tc>
        <w:tc>
          <w:tcPr>
            <w:tcW w:w="2160" w:type="dxa"/>
            <w:vAlign w:val="center"/>
          </w:tcPr>
          <w:p w14:paraId="662D3BFC" w14:textId="5BC62C60"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sidRPr="00EE24C1">
              <w:rPr>
                <w:rFonts w:eastAsia="Times New Roman" w:cs="Calibri"/>
                <w:color w:val="000000"/>
                <w:sz w:val="20"/>
                <w:szCs w:val="20"/>
              </w:rPr>
              <w:t>16%</w:t>
            </w:r>
          </w:p>
        </w:tc>
        <w:tc>
          <w:tcPr>
            <w:tcW w:w="2160" w:type="dxa"/>
            <w:vAlign w:val="center"/>
          </w:tcPr>
          <w:p w14:paraId="70632A81" w14:textId="5CA142D4"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sidRPr="00EE24C1">
              <w:rPr>
                <w:rFonts w:eastAsia="Times New Roman" w:cs="Calibri"/>
                <w:color w:val="000000"/>
                <w:sz w:val="20"/>
                <w:szCs w:val="20"/>
              </w:rPr>
              <w:t>16%</w:t>
            </w:r>
          </w:p>
        </w:tc>
        <w:tc>
          <w:tcPr>
            <w:tcW w:w="2250" w:type="dxa"/>
            <w:vAlign w:val="center"/>
          </w:tcPr>
          <w:p w14:paraId="27628FA6" w14:textId="318DA4B2"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sidRPr="00EE24C1">
              <w:rPr>
                <w:rFonts w:eastAsia="Times New Roman" w:cs="Calibri"/>
                <w:color w:val="000000"/>
                <w:sz w:val="20"/>
                <w:szCs w:val="20"/>
              </w:rPr>
              <w:t>21%</w:t>
            </w:r>
          </w:p>
        </w:tc>
        <w:tc>
          <w:tcPr>
            <w:tcW w:w="2160" w:type="dxa"/>
            <w:vAlign w:val="center"/>
          </w:tcPr>
          <w:p w14:paraId="299F72DC" w14:textId="21F406CD"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17.66%</w:t>
            </w:r>
          </w:p>
        </w:tc>
      </w:tr>
      <w:tr w:rsidR="00D16030" w:rsidRPr="00593DDF" w14:paraId="26EAF961" w14:textId="77777777" w:rsidTr="00EE7C64">
        <w:trPr>
          <w:trHeight w:val="317"/>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9974BE0" w14:textId="29B59A8D" w:rsidR="00D16030" w:rsidRPr="00EE24C1" w:rsidRDefault="00D16030" w:rsidP="00D16030">
            <w:pPr>
              <w:spacing w:after="0" w:line="240" w:lineRule="auto"/>
              <w:rPr>
                <w:rFonts w:eastAsia="Times New Roman" w:cs="Calibri"/>
                <w:b w:val="0"/>
                <w:bCs w:val="0"/>
                <w:color w:val="000000"/>
                <w:sz w:val="20"/>
                <w:szCs w:val="20"/>
              </w:rPr>
            </w:pPr>
            <w:r w:rsidRPr="00EE24C1">
              <w:rPr>
                <w:rFonts w:eastAsia="Times New Roman" w:cs="Calibri"/>
                <w:b w:val="0"/>
                <w:bCs w:val="0"/>
                <w:color w:val="000000"/>
                <w:sz w:val="20"/>
                <w:szCs w:val="20"/>
              </w:rPr>
              <w:t>EBITDA ($)</w:t>
            </w:r>
          </w:p>
        </w:tc>
        <w:tc>
          <w:tcPr>
            <w:tcW w:w="2160" w:type="dxa"/>
            <w:vAlign w:val="center"/>
          </w:tcPr>
          <w:p w14:paraId="7C46B380" w14:textId="36F6CFEA"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$45,608 </w:t>
            </w:r>
          </w:p>
        </w:tc>
        <w:tc>
          <w:tcPr>
            <w:tcW w:w="2160" w:type="dxa"/>
            <w:vAlign w:val="center"/>
          </w:tcPr>
          <w:p w14:paraId="3F61419E" w14:textId="359322CB"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sidRPr="00EE24C1">
              <w:rPr>
                <w:rFonts w:eastAsia="Times New Roman" w:cs="Calibri"/>
                <w:color w:val="000000"/>
                <w:sz w:val="20"/>
                <w:szCs w:val="20"/>
              </w:rPr>
              <w:t xml:space="preserve">$38,966 </w:t>
            </w:r>
          </w:p>
        </w:tc>
        <w:tc>
          <w:tcPr>
            <w:tcW w:w="2250" w:type="dxa"/>
            <w:vAlign w:val="center"/>
          </w:tcPr>
          <w:p w14:paraId="111F17A7" w14:textId="68AA96F7"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sidRPr="00EE24C1">
              <w:rPr>
                <w:rFonts w:eastAsia="Times New Roman" w:cs="Calibri"/>
                <w:color w:val="000000"/>
                <w:sz w:val="20"/>
                <w:szCs w:val="20"/>
              </w:rPr>
              <w:t xml:space="preserve">$29,992 </w:t>
            </w:r>
          </w:p>
        </w:tc>
        <w:tc>
          <w:tcPr>
            <w:tcW w:w="2160" w:type="dxa"/>
            <w:vAlign w:val="center"/>
          </w:tcPr>
          <w:p w14:paraId="104AF6CE" w14:textId="736E7E09"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$38,189 </w:t>
            </w:r>
          </w:p>
        </w:tc>
      </w:tr>
      <w:tr w:rsidR="00D16030" w:rsidRPr="00593DDF" w14:paraId="62480446" w14:textId="77777777" w:rsidTr="00EE7C6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1F6DCF17" w14:textId="70E60638" w:rsidR="00D16030" w:rsidRPr="00EE24C1" w:rsidRDefault="00D16030" w:rsidP="00D16030">
            <w:pPr>
              <w:spacing w:after="0" w:line="240" w:lineRule="auto"/>
              <w:rPr>
                <w:rFonts w:eastAsia="Times New Roman" w:cs="Calibri"/>
                <w:b w:val="0"/>
                <w:bCs w:val="0"/>
                <w:color w:val="000000"/>
                <w:sz w:val="20"/>
                <w:szCs w:val="20"/>
              </w:rPr>
            </w:pPr>
            <w:r w:rsidRPr="00EE24C1">
              <w:rPr>
                <w:rFonts w:eastAsia="Times New Roman" w:cs="Calibri"/>
                <w:b w:val="0"/>
                <w:bCs w:val="0"/>
                <w:color w:val="000000"/>
                <w:sz w:val="20"/>
                <w:szCs w:val="20"/>
              </w:rPr>
              <w:lastRenderedPageBreak/>
              <w:t>EBITDA Margin (%)</w:t>
            </w:r>
          </w:p>
        </w:tc>
        <w:tc>
          <w:tcPr>
            <w:tcW w:w="2160" w:type="dxa"/>
            <w:vAlign w:val="center"/>
          </w:tcPr>
          <w:p w14:paraId="52AE5875" w14:textId="4389825D"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sidRPr="00EE24C1">
              <w:rPr>
                <w:rFonts w:eastAsia="Times New Roman" w:cs="Calibri"/>
                <w:color w:val="000000"/>
                <w:sz w:val="20"/>
                <w:szCs w:val="20"/>
              </w:rPr>
              <w:t>34%</w:t>
            </w:r>
          </w:p>
        </w:tc>
        <w:tc>
          <w:tcPr>
            <w:tcW w:w="2160" w:type="dxa"/>
            <w:vAlign w:val="center"/>
          </w:tcPr>
          <w:p w14:paraId="058455B4" w14:textId="0D5AF28B"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sidRPr="00EE24C1">
              <w:rPr>
                <w:rFonts w:eastAsia="Times New Roman" w:cs="Calibri"/>
                <w:color w:val="000000"/>
                <w:sz w:val="20"/>
                <w:szCs w:val="20"/>
              </w:rPr>
              <w:t>32%</w:t>
            </w:r>
          </w:p>
        </w:tc>
        <w:tc>
          <w:tcPr>
            <w:tcW w:w="2250" w:type="dxa"/>
            <w:vAlign w:val="center"/>
          </w:tcPr>
          <w:p w14:paraId="40D87BA9" w14:textId="75178048"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sidRPr="00EE24C1">
              <w:rPr>
                <w:rFonts w:eastAsia="Times New Roman" w:cs="Calibri"/>
                <w:color w:val="000000"/>
                <w:sz w:val="20"/>
                <w:szCs w:val="20"/>
              </w:rPr>
              <w:t>37%</w:t>
            </w:r>
          </w:p>
        </w:tc>
        <w:tc>
          <w:tcPr>
            <w:tcW w:w="2160" w:type="dxa"/>
            <w:vAlign w:val="center"/>
          </w:tcPr>
          <w:p w14:paraId="7DC74FA9" w14:textId="21A1366E"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34%</w:t>
            </w:r>
          </w:p>
        </w:tc>
      </w:tr>
      <w:tr w:rsidR="00D16030" w:rsidRPr="00593DDF" w14:paraId="76182D05" w14:textId="77777777" w:rsidTr="00EE7C64">
        <w:trPr>
          <w:trHeight w:val="317"/>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FD8D142" w14:textId="40B1DF92" w:rsidR="00D16030" w:rsidRPr="00EE24C1" w:rsidRDefault="00D16030" w:rsidP="00D16030">
            <w:pPr>
              <w:spacing w:after="0" w:line="240" w:lineRule="auto"/>
              <w:rPr>
                <w:rFonts w:eastAsia="Times New Roman" w:cs="Calibri"/>
                <w:b w:val="0"/>
                <w:bCs w:val="0"/>
                <w:color w:val="000000"/>
                <w:sz w:val="20"/>
                <w:szCs w:val="20"/>
              </w:rPr>
            </w:pPr>
            <w:r w:rsidRPr="00EE24C1">
              <w:rPr>
                <w:rFonts w:eastAsia="Times New Roman" w:cs="Calibri"/>
                <w:b w:val="0"/>
                <w:bCs w:val="0"/>
                <w:color w:val="000000"/>
                <w:sz w:val="20"/>
                <w:szCs w:val="20"/>
              </w:rPr>
              <w:t>Total Debt/Capitalization (%)</w:t>
            </w:r>
          </w:p>
        </w:tc>
        <w:tc>
          <w:tcPr>
            <w:tcW w:w="2160" w:type="dxa"/>
            <w:vAlign w:val="center"/>
          </w:tcPr>
          <w:p w14:paraId="3BE0DD65" w14:textId="02DAB411"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64%</w:t>
            </w:r>
          </w:p>
        </w:tc>
        <w:tc>
          <w:tcPr>
            <w:tcW w:w="2160" w:type="dxa"/>
            <w:vAlign w:val="center"/>
          </w:tcPr>
          <w:p w14:paraId="3C9A2E74" w14:textId="1B3AA35B"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56%</w:t>
            </w:r>
          </w:p>
        </w:tc>
        <w:tc>
          <w:tcPr>
            <w:tcW w:w="2250" w:type="dxa"/>
            <w:vAlign w:val="center"/>
          </w:tcPr>
          <w:p w14:paraId="01F4EBEA" w14:textId="33998FDC"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64%</w:t>
            </w:r>
          </w:p>
        </w:tc>
        <w:tc>
          <w:tcPr>
            <w:tcW w:w="2160" w:type="dxa"/>
            <w:vAlign w:val="center"/>
          </w:tcPr>
          <w:p w14:paraId="67BDC414" w14:textId="2530C570"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61%</w:t>
            </w:r>
          </w:p>
        </w:tc>
      </w:tr>
      <w:tr w:rsidR="00D16030" w:rsidRPr="00593DDF" w14:paraId="4DC5EA5F" w14:textId="77777777" w:rsidTr="00EE7C6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18841F64" w14:textId="5B131D59" w:rsidR="00D16030" w:rsidRPr="00EE24C1" w:rsidRDefault="00D16030" w:rsidP="00D16030">
            <w:pPr>
              <w:spacing w:after="0" w:line="240" w:lineRule="auto"/>
              <w:rPr>
                <w:rFonts w:eastAsia="Times New Roman" w:cs="Calibri"/>
                <w:b w:val="0"/>
                <w:bCs w:val="0"/>
                <w:color w:val="000000"/>
                <w:sz w:val="20"/>
                <w:szCs w:val="20"/>
              </w:rPr>
            </w:pPr>
            <w:r w:rsidRPr="00EE24C1">
              <w:rPr>
                <w:rFonts w:eastAsia="Times New Roman" w:cs="Calibri"/>
                <w:b w:val="0"/>
                <w:bCs w:val="0"/>
                <w:color w:val="000000"/>
                <w:sz w:val="20"/>
                <w:szCs w:val="20"/>
              </w:rPr>
              <w:t>Total Debt/LTM EBITDA (x)</w:t>
            </w:r>
          </w:p>
        </w:tc>
        <w:tc>
          <w:tcPr>
            <w:tcW w:w="2160" w:type="dxa"/>
            <w:vAlign w:val="center"/>
          </w:tcPr>
          <w:p w14:paraId="1FB4FB7F" w14:textId="0759BA00"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3.8</w:t>
            </w:r>
          </w:p>
        </w:tc>
        <w:tc>
          <w:tcPr>
            <w:tcW w:w="2160" w:type="dxa"/>
            <w:vAlign w:val="center"/>
          </w:tcPr>
          <w:p w14:paraId="7D210B81" w14:textId="18413D3D"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3.8</w:t>
            </w:r>
          </w:p>
        </w:tc>
        <w:tc>
          <w:tcPr>
            <w:tcW w:w="2250" w:type="dxa"/>
            <w:vAlign w:val="center"/>
          </w:tcPr>
          <w:p w14:paraId="77C341EE" w14:textId="19D6F938"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3.7</w:t>
            </w:r>
          </w:p>
        </w:tc>
        <w:tc>
          <w:tcPr>
            <w:tcW w:w="2160" w:type="dxa"/>
            <w:vAlign w:val="center"/>
          </w:tcPr>
          <w:p w14:paraId="2CD3A0A0" w14:textId="6723ABB0"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3.8</w:t>
            </w:r>
          </w:p>
        </w:tc>
      </w:tr>
      <w:tr w:rsidR="00D16030" w:rsidRPr="00593DDF" w14:paraId="68CDB4A4" w14:textId="77777777" w:rsidTr="00EE7C64">
        <w:trPr>
          <w:trHeight w:val="317"/>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CBD2CF5" w14:textId="5E7E70AD" w:rsidR="00D16030" w:rsidRPr="00EE24C1" w:rsidRDefault="00D16030" w:rsidP="00D16030">
            <w:pPr>
              <w:spacing w:after="0" w:line="240" w:lineRule="auto"/>
              <w:rPr>
                <w:rFonts w:eastAsia="Times New Roman" w:cs="Calibri"/>
                <w:b w:val="0"/>
                <w:bCs w:val="0"/>
                <w:color w:val="000000"/>
                <w:sz w:val="20"/>
                <w:szCs w:val="20"/>
              </w:rPr>
            </w:pPr>
            <w:r w:rsidRPr="00EE24C1">
              <w:rPr>
                <w:rFonts w:eastAsia="Times New Roman" w:cs="Calibri"/>
                <w:b w:val="0"/>
                <w:bCs w:val="0"/>
                <w:color w:val="000000"/>
                <w:sz w:val="20"/>
                <w:szCs w:val="20"/>
              </w:rPr>
              <w:t>Operating Cash Flows ($)</w:t>
            </w:r>
          </w:p>
        </w:tc>
        <w:tc>
          <w:tcPr>
            <w:tcW w:w="2160" w:type="dxa"/>
            <w:vAlign w:val="center"/>
          </w:tcPr>
          <w:p w14:paraId="407282CE" w14:textId="33B592B6"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$35,157 </w:t>
            </w:r>
          </w:p>
        </w:tc>
        <w:tc>
          <w:tcPr>
            <w:tcW w:w="2160" w:type="dxa"/>
            <w:vAlign w:val="center"/>
          </w:tcPr>
          <w:p w14:paraId="0410DD79" w14:textId="57CA1F3E"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$38,253 </w:t>
            </w:r>
          </w:p>
        </w:tc>
        <w:tc>
          <w:tcPr>
            <w:tcW w:w="2250" w:type="dxa"/>
            <w:vAlign w:val="center"/>
          </w:tcPr>
          <w:p w14:paraId="160D2D1F" w14:textId="001D602C"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sz w:val="20"/>
                <w:szCs w:val="20"/>
              </w:rPr>
              <w:t xml:space="preserve">$21,603 </w:t>
            </w:r>
          </w:p>
        </w:tc>
        <w:tc>
          <w:tcPr>
            <w:tcW w:w="2160" w:type="dxa"/>
            <w:vAlign w:val="center"/>
          </w:tcPr>
          <w:p w14:paraId="541FF382" w14:textId="01FF38E0" w:rsidR="00D16030" w:rsidRPr="00EE24C1" w:rsidRDefault="00D16030" w:rsidP="00D1603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$31,671 </w:t>
            </w:r>
          </w:p>
        </w:tc>
      </w:tr>
      <w:tr w:rsidR="00D16030" w:rsidRPr="00593DDF" w14:paraId="5AF7B0CD" w14:textId="77777777" w:rsidTr="00EE7C6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97DF6E" w14:textId="3735A864" w:rsidR="00D16030" w:rsidRPr="00EE24C1" w:rsidRDefault="00D16030" w:rsidP="00D16030">
            <w:pPr>
              <w:spacing w:after="0" w:line="240" w:lineRule="auto"/>
              <w:rPr>
                <w:rFonts w:eastAsia="Times New Roman" w:cs="Calibri"/>
                <w:b w:val="0"/>
                <w:bCs w:val="0"/>
                <w:color w:val="000000"/>
                <w:sz w:val="20"/>
                <w:szCs w:val="20"/>
              </w:rPr>
            </w:pPr>
            <w:r w:rsidRPr="00EE24C1">
              <w:rPr>
                <w:rFonts w:eastAsia="Times New Roman" w:cs="Calibri"/>
                <w:b w:val="0"/>
                <w:bCs w:val="0"/>
                <w:color w:val="000000"/>
                <w:sz w:val="20"/>
                <w:szCs w:val="20"/>
              </w:rPr>
              <w:t>Cash &amp; Cash Equivalents ($)</w:t>
            </w:r>
          </w:p>
        </w:tc>
        <w:tc>
          <w:tcPr>
            <w:tcW w:w="2160" w:type="dxa"/>
            <w:vAlign w:val="center"/>
          </w:tcPr>
          <w:p w14:paraId="7B634F5B" w14:textId="2089E354"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$4,987 </w:t>
            </w:r>
          </w:p>
        </w:tc>
        <w:tc>
          <w:tcPr>
            <w:tcW w:w="2160" w:type="dxa"/>
            <w:vAlign w:val="center"/>
          </w:tcPr>
          <w:p w14:paraId="2BE85271" w14:textId="64E2CD5A"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$2,586 </w:t>
            </w:r>
          </w:p>
        </w:tc>
        <w:tc>
          <w:tcPr>
            <w:tcW w:w="2250" w:type="dxa"/>
            <w:vAlign w:val="center"/>
          </w:tcPr>
          <w:p w14:paraId="0AAF809C" w14:textId="6BECEC9B"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$9,754 </w:t>
            </w:r>
          </w:p>
        </w:tc>
        <w:tc>
          <w:tcPr>
            <w:tcW w:w="2160" w:type="dxa"/>
            <w:vAlign w:val="center"/>
          </w:tcPr>
          <w:p w14:paraId="538CC894" w14:textId="7B3DDA42" w:rsidR="00D16030" w:rsidRPr="00EE24C1" w:rsidRDefault="00D16030" w:rsidP="00D1603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rPr>
            </w:pPr>
            <w:r w:rsidRPr="00EE24C1">
              <w:rPr>
                <w:rFonts w:eastAsia="Times New Roman" w:cs="Calibri"/>
                <w:color w:val="000000"/>
                <w:sz w:val="20"/>
                <w:szCs w:val="20"/>
              </w:rPr>
              <w:t xml:space="preserve">$5,776 </w:t>
            </w:r>
          </w:p>
        </w:tc>
      </w:tr>
    </w:tbl>
    <w:p w14:paraId="46DBEEE4" w14:textId="7B8E357E" w:rsidR="00C664A6" w:rsidRDefault="00C664A6">
      <w:pPr>
        <w:spacing w:after="0" w:line="240" w:lineRule="auto"/>
        <w:rPr>
          <w:b/>
          <w:u w:val="single"/>
        </w:rPr>
      </w:pPr>
    </w:p>
    <w:p w14:paraId="738B506D" w14:textId="52ED9056" w:rsidR="00ED22EE" w:rsidRPr="006C46CA" w:rsidRDefault="00ED22EE">
      <w:pPr>
        <w:spacing w:after="0" w:line="240" w:lineRule="auto"/>
        <w:rPr>
          <w:b/>
          <w:u w:val="single"/>
        </w:rPr>
      </w:pPr>
      <w:r w:rsidRPr="00BE0278">
        <w:rPr>
          <w:b/>
          <w:i/>
          <w:iCs/>
        </w:rPr>
        <w:t xml:space="preserve">Citation: </w:t>
      </w:r>
      <w:r w:rsidRPr="006C46CA">
        <w:rPr>
          <w:rStyle w:val="IntenseEmphasis"/>
          <w:b w:val="0"/>
          <w:bCs w:val="0"/>
          <w:color w:val="auto"/>
        </w:rPr>
        <w:t xml:space="preserve">Verizon Financials (3QFY24, FY’23), AT&amp;T and </w:t>
      </w:r>
      <w:proofErr w:type="spellStart"/>
      <w:r w:rsidRPr="006C46CA">
        <w:rPr>
          <w:rStyle w:val="IntenseEmphasis"/>
          <w:b w:val="0"/>
          <w:bCs w:val="0"/>
          <w:color w:val="auto"/>
        </w:rPr>
        <w:t>TMobile</w:t>
      </w:r>
      <w:proofErr w:type="spellEnd"/>
    </w:p>
    <w:p w14:paraId="1014701E" w14:textId="77777777" w:rsidR="00ED22EE" w:rsidRDefault="00ED22EE">
      <w:pPr>
        <w:spacing w:after="0" w:line="240" w:lineRule="auto"/>
        <w:rPr>
          <w:b/>
          <w:u w:val="single"/>
        </w:rPr>
      </w:pPr>
    </w:p>
    <w:p w14:paraId="7E68860E" w14:textId="77777777" w:rsidR="00C664A6" w:rsidRPr="00892881" w:rsidRDefault="00C664A6" w:rsidP="00C664A6">
      <w:pPr>
        <w:tabs>
          <w:tab w:val="center" w:pos="7200"/>
          <w:tab w:val="right" w:pos="14400"/>
        </w:tabs>
        <w:spacing w:after="0" w:line="240" w:lineRule="auto"/>
        <w:rPr>
          <w:b/>
          <w:color w:val="FFFFFF" w:themeColor="background1"/>
          <w:sz w:val="28"/>
          <w:szCs w:val="28"/>
        </w:rPr>
      </w:pPr>
      <w:r w:rsidRPr="00892881">
        <w:rPr>
          <w:b/>
          <w:color w:val="FFFFFF" w:themeColor="background1"/>
          <w:sz w:val="28"/>
          <w:szCs w:val="28"/>
          <w:highlight w:val="darkGray"/>
        </w:rPr>
        <w:tab/>
      </w:r>
      <w:r>
        <w:rPr>
          <w:b/>
          <w:color w:val="FFFFFF" w:themeColor="background1"/>
          <w:sz w:val="28"/>
          <w:szCs w:val="28"/>
          <w:highlight w:val="darkGray"/>
        </w:rPr>
        <w:t>Collateral Details</w:t>
      </w:r>
      <w:r w:rsidRPr="00892881">
        <w:rPr>
          <w:b/>
          <w:color w:val="FFFFFF" w:themeColor="background1"/>
          <w:sz w:val="28"/>
          <w:szCs w:val="28"/>
          <w:highlight w:val="darkGray"/>
        </w:rPr>
        <w:tab/>
      </w:r>
    </w:p>
    <w:p w14:paraId="0ED0FBAB" w14:textId="77777777" w:rsidR="00C664A6" w:rsidRDefault="00C664A6" w:rsidP="00C664A6">
      <w:pPr>
        <w:spacing w:after="0" w:line="240" w:lineRule="auto"/>
        <w:rPr>
          <w:rStyle w:val="IntenseEmphasis"/>
          <w:i w:val="0"/>
          <w:color w:val="FF0000"/>
          <w:u w:val="single"/>
        </w:rPr>
      </w:pPr>
    </w:p>
    <w:p w14:paraId="3EE35AC7" w14:textId="40354D59" w:rsidR="00E46A74" w:rsidRPr="000A40F6" w:rsidRDefault="00E46A74" w:rsidP="00C664A6">
      <w:pPr>
        <w:spacing w:after="0" w:line="240" w:lineRule="auto"/>
        <w:rPr>
          <w:rStyle w:val="IntenseEmphasis"/>
          <w:i w:val="0"/>
          <w:color w:val="auto"/>
        </w:rPr>
      </w:pPr>
      <w:r w:rsidRPr="000A40F6">
        <w:rPr>
          <w:rStyle w:val="IntenseEmphasis"/>
          <w:i w:val="0"/>
          <w:color w:val="auto"/>
        </w:rPr>
        <w:t>Collateral Details</w:t>
      </w:r>
    </w:p>
    <w:p w14:paraId="2B698100" w14:textId="77777777" w:rsidR="00E46A74" w:rsidRPr="000A40F6" w:rsidRDefault="00E46A74" w:rsidP="00C664A6">
      <w:pPr>
        <w:spacing w:after="0" w:line="240" w:lineRule="auto"/>
        <w:rPr>
          <w:rStyle w:val="IntenseEmphasis"/>
          <w:i w:val="0"/>
          <w:color w:val="auto"/>
        </w:rPr>
      </w:pPr>
    </w:p>
    <w:p w14:paraId="0EDF3644" w14:textId="1E5ACBD6" w:rsidR="00E46A74" w:rsidRPr="000A40F6" w:rsidRDefault="000A40F6" w:rsidP="00C664A6">
      <w:pPr>
        <w:spacing w:after="0" w:line="240" w:lineRule="auto"/>
        <w:rPr>
          <w:rStyle w:val="IntenseEmphasis"/>
          <w:i w:val="0"/>
          <w:color w:val="auto"/>
        </w:rPr>
      </w:pPr>
      <w:r w:rsidRPr="000A40F6">
        <w:rPr>
          <w:rStyle w:val="IntenseEmphasis"/>
          <w:i w:val="0"/>
          <w:color w:val="auto"/>
        </w:rPr>
        <w:t>Appraised Value</w:t>
      </w:r>
    </w:p>
    <w:p w14:paraId="37619268" w14:textId="77777777" w:rsidR="000A40F6" w:rsidRPr="000A40F6" w:rsidRDefault="000A40F6" w:rsidP="00C664A6">
      <w:pPr>
        <w:spacing w:after="0" w:line="240" w:lineRule="auto"/>
        <w:rPr>
          <w:rStyle w:val="IntenseEmphasis"/>
          <w:i w:val="0"/>
          <w:color w:val="auto"/>
        </w:rPr>
      </w:pPr>
    </w:p>
    <w:p w14:paraId="1DEBA1DD" w14:textId="6D26900E" w:rsidR="000A40F6" w:rsidRPr="000A40F6" w:rsidRDefault="000A40F6" w:rsidP="00C664A6">
      <w:pPr>
        <w:spacing w:after="0" w:line="240" w:lineRule="auto"/>
        <w:rPr>
          <w:rStyle w:val="IntenseEmphasis"/>
          <w:i w:val="0"/>
          <w:color w:val="auto"/>
        </w:rPr>
      </w:pPr>
      <w:r w:rsidRPr="000A40F6">
        <w:rPr>
          <w:rStyle w:val="IntenseEmphasis"/>
          <w:i w:val="0"/>
          <w:color w:val="auto"/>
        </w:rPr>
        <w:t>Lien Position</w:t>
      </w:r>
    </w:p>
    <w:p w14:paraId="626D3D5A" w14:textId="77777777" w:rsidR="005E5DCC" w:rsidRDefault="005E5DCC" w:rsidP="00C664A6">
      <w:pPr>
        <w:spacing w:after="0" w:line="240" w:lineRule="auto"/>
        <w:rPr>
          <w:b/>
          <w:u w:val="single"/>
        </w:rPr>
      </w:pPr>
    </w:p>
    <w:p w14:paraId="7D143AEA" w14:textId="77777777" w:rsidR="00C664A6" w:rsidRDefault="00C664A6" w:rsidP="00C664A6">
      <w:pPr>
        <w:spacing w:after="0" w:line="240" w:lineRule="auto"/>
        <w:rPr>
          <w:b/>
          <w:u w:val="single"/>
        </w:rPr>
      </w:pPr>
    </w:p>
    <w:p w14:paraId="30EC4A30" w14:textId="77777777" w:rsidR="00C664A6" w:rsidRPr="00892881" w:rsidRDefault="00C664A6" w:rsidP="00C664A6">
      <w:pPr>
        <w:tabs>
          <w:tab w:val="center" w:pos="7200"/>
          <w:tab w:val="right" w:pos="14400"/>
        </w:tabs>
        <w:spacing w:after="0" w:line="240" w:lineRule="auto"/>
        <w:rPr>
          <w:b/>
          <w:color w:val="FFFFFF" w:themeColor="background1"/>
          <w:sz w:val="28"/>
          <w:szCs w:val="28"/>
        </w:rPr>
      </w:pPr>
      <w:r w:rsidRPr="00892881">
        <w:rPr>
          <w:b/>
          <w:color w:val="FFFFFF" w:themeColor="background1"/>
          <w:sz w:val="28"/>
          <w:szCs w:val="28"/>
          <w:highlight w:val="darkGray"/>
        </w:rPr>
        <w:tab/>
      </w:r>
      <w:r>
        <w:rPr>
          <w:b/>
          <w:color w:val="FFFFFF" w:themeColor="background1"/>
          <w:sz w:val="28"/>
          <w:szCs w:val="28"/>
          <w:highlight w:val="darkGray"/>
        </w:rPr>
        <w:t>ESG Initiatives</w:t>
      </w:r>
      <w:r w:rsidRPr="00892881">
        <w:rPr>
          <w:b/>
          <w:color w:val="FFFFFF" w:themeColor="background1"/>
          <w:sz w:val="28"/>
          <w:szCs w:val="28"/>
          <w:highlight w:val="darkGray"/>
        </w:rPr>
        <w:tab/>
      </w:r>
    </w:p>
    <w:p w14:paraId="73E6E688" w14:textId="77777777" w:rsidR="00C664A6" w:rsidRDefault="00C664A6" w:rsidP="00C664A6">
      <w:pPr>
        <w:spacing w:after="0" w:line="240" w:lineRule="auto"/>
        <w:jc w:val="both"/>
        <w:rPr>
          <w:rStyle w:val="IntenseEmphasis"/>
          <w:i w:val="0"/>
          <w:color w:val="auto"/>
        </w:rPr>
      </w:pPr>
    </w:p>
    <w:p w14:paraId="1D74B8BB" w14:textId="77777777" w:rsidR="00747F15" w:rsidRDefault="00747F15" w:rsidP="00747F15">
      <w:pPr>
        <w:spacing w:after="0" w:line="240" w:lineRule="auto"/>
        <w:rPr>
          <w:rStyle w:val="IntenseEmphasis"/>
          <w:b w:val="0"/>
          <w:bCs w:val="0"/>
          <w:i w:val="0"/>
          <w:color w:val="auto"/>
        </w:rPr>
      </w:pPr>
      <w:r>
        <w:rPr>
          <w:rStyle w:val="IntenseEmphasis"/>
          <w:b w:val="0"/>
          <w:bCs w:val="0"/>
          <w:i w:val="0"/>
          <w:color w:val="auto"/>
        </w:rPr>
        <w:t>In its 2023 ESG report, Verizon highlighted several key ESG initiatives: -</w:t>
      </w:r>
    </w:p>
    <w:p w14:paraId="21DFAB1D" w14:textId="77777777" w:rsidR="00747F15" w:rsidRDefault="00747F15" w:rsidP="00747F15">
      <w:pPr>
        <w:spacing w:after="0" w:line="240" w:lineRule="auto"/>
        <w:rPr>
          <w:rStyle w:val="IntenseEmphasis"/>
          <w:b w:val="0"/>
          <w:bCs w:val="0"/>
          <w:i w:val="0"/>
          <w:color w:val="auto"/>
        </w:rPr>
      </w:pPr>
    </w:p>
    <w:p w14:paraId="1CB42E76" w14:textId="77777777" w:rsidR="00747F15" w:rsidRPr="00BD7BC0" w:rsidRDefault="00747F15" w:rsidP="00747F15">
      <w:pPr>
        <w:spacing w:after="0" w:line="240" w:lineRule="auto"/>
        <w:rPr>
          <w:rStyle w:val="IntenseEmphasis"/>
          <w:i w:val="0"/>
          <w:color w:val="auto"/>
        </w:rPr>
      </w:pPr>
      <w:r w:rsidRPr="00BD7BC0">
        <w:rPr>
          <w:rStyle w:val="IntenseEmphasis"/>
          <w:i w:val="0"/>
          <w:color w:val="auto"/>
        </w:rPr>
        <w:t>Environmental Initiatives</w:t>
      </w:r>
    </w:p>
    <w:p w14:paraId="47671DD0" w14:textId="77777777" w:rsidR="00747F15" w:rsidRDefault="00747F15" w:rsidP="00747F15">
      <w:pPr>
        <w:pStyle w:val="ListParagraph"/>
        <w:numPr>
          <w:ilvl w:val="0"/>
          <w:numId w:val="35"/>
        </w:numPr>
        <w:spacing w:after="0" w:line="240" w:lineRule="auto"/>
        <w:rPr>
          <w:rStyle w:val="IntenseEmphasis"/>
          <w:b w:val="0"/>
          <w:bCs w:val="0"/>
          <w:i w:val="0"/>
          <w:color w:val="auto"/>
        </w:rPr>
      </w:pPr>
      <w:r w:rsidRPr="00BD7BC0">
        <w:rPr>
          <w:rStyle w:val="IntenseEmphasis"/>
          <w:b w:val="0"/>
          <w:bCs w:val="0"/>
          <w:i w:val="0"/>
          <w:color w:val="auto"/>
        </w:rPr>
        <w:t xml:space="preserve">3.3% reduction in scopes 1 and 2 emissions and 15.1% reduction in scope </w:t>
      </w:r>
      <w:r>
        <w:rPr>
          <w:rStyle w:val="IntenseEmphasis"/>
          <w:b w:val="0"/>
          <w:bCs w:val="0"/>
          <w:i w:val="0"/>
          <w:color w:val="auto"/>
        </w:rPr>
        <w:t>3</w:t>
      </w:r>
      <w:r w:rsidRPr="00BD7BC0">
        <w:rPr>
          <w:rStyle w:val="IntenseEmphasis"/>
          <w:b w:val="0"/>
          <w:bCs w:val="0"/>
          <w:i w:val="0"/>
          <w:color w:val="auto"/>
        </w:rPr>
        <w:t xml:space="preserve"> emissions (2019 – 2022)</w:t>
      </w:r>
      <w:r>
        <w:rPr>
          <w:rStyle w:val="IntenseEmphasis"/>
          <w:b w:val="0"/>
          <w:bCs w:val="0"/>
          <w:i w:val="0"/>
          <w:color w:val="auto"/>
        </w:rPr>
        <w:t>.</w:t>
      </w:r>
    </w:p>
    <w:p w14:paraId="59EF9033" w14:textId="77777777" w:rsidR="00747F15" w:rsidRPr="00517DEA" w:rsidRDefault="00747F15" w:rsidP="00747F15">
      <w:pPr>
        <w:pStyle w:val="ListParagraph"/>
        <w:numPr>
          <w:ilvl w:val="0"/>
          <w:numId w:val="35"/>
        </w:numPr>
        <w:spacing w:after="0" w:line="240" w:lineRule="auto"/>
        <w:rPr>
          <w:iCs/>
        </w:rPr>
      </w:pPr>
      <w:r w:rsidRPr="00517DEA">
        <w:rPr>
          <w:iCs/>
        </w:rPr>
        <w:t>Completed enterprise climate risk</w:t>
      </w:r>
      <w:r>
        <w:rPr>
          <w:iCs/>
        </w:rPr>
        <w:t xml:space="preserve"> </w:t>
      </w:r>
      <w:r w:rsidRPr="00517DEA">
        <w:rPr>
          <w:iCs/>
        </w:rPr>
        <w:t xml:space="preserve">assessment and expanded </w:t>
      </w:r>
      <w:proofErr w:type="spellStart"/>
      <w:r w:rsidRPr="00517DEA">
        <w:rPr>
          <w:iCs/>
        </w:rPr>
        <w:t>bottomup</w:t>
      </w:r>
      <w:proofErr w:type="spellEnd"/>
      <w:r w:rsidRPr="00517DEA">
        <w:rPr>
          <w:iCs/>
        </w:rPr>
        <w:t xml:space="preserve"> client review for evaluation of climate-related risks and opportunities $6 billion in green bonds issued as of February 2024</w:t>
      </w:r>
      <w:r>
        <w:rPr>
          <w:iCs/>
        </w:rPr>
        <w:t>.</w:t>
      </w:r>
    </w:p>
    <w:p w14:paraId="567BD3FC" w14:textId="77777777" w:rsidR="00747F15" w:rsidRPr="00BD7BC0" w:rsidRDefault="00747F15" w:rsidP="00747F15">
      <w:pPr>
        <w:pStyle w:val="ListParagraph"/>
        <w:numPr>
          <w:ilvl w:val="0"/>
          <w:numId w:val="35"/>
        </w:numPr>
        <w:spacing w:after="0" w:line="240" w:lineRule="auto"/>
        <w:rPr>
          <w:rStyle w:val="IntenseEmphasis"/>
          <w:b w:val="0"/>
          <w:bCs w:val="0"/>
          <w:i w:val="0"/>
          <w:color w:val="auto"/>
        </w:rPr>
      </w:pPr>
      <w:r>
        <w:rPr>
          <w:iCs/>
        </w:rPr>
        <w:t>2</w:t>
      </w:r>
      <w:r w:rsidRPr="00BD7BC0">
        <w:rPr>
          <w:iCs/>
        </w:rPr>
        <w:t>0+ million trees planted since 2009</w:t>
      </w:r>
      <w:r>
        <w:rPr>
          <w:iCs/>
        </w:rPr>
        <w:t>.</w:t>
      </w:r>
    </w:p>
    <w:p w14:paraId="6780541E" w14:textId="77777777" w:rsidR="00747F15" w:rsidRDefault="00747F15" w:rsidP="00747F15">
      <w:pPr>
        <w:spacing w:after="0" w:line="240" w:lineRule="auto"/>
        <w:rPr>
          <w:rStyle w:val="IntenseEmphasis"/>
          <w:i w:val="0"/>
          <w:color w:val="auto"/>
        </w:rPr>
      </w:pPr>
    </w:p>
    <w:p w14:paraId="4128007A" w14:textId="77777777" w:rsidR="00747F15" w:rsidRDefault="00747F15" w:rsidP="00747F15">
      <w:pPr>
        <w:spacing w:after="0" w:line="240" w:lineRule="auto"/>
        <w:rPr>
          <w:rStyle w:val="IntenseEmphasis"/>
          <w:i w:val="0"/>
          <w:color w:val="auto"/>
        </w:rPr>
      </w:pPr>
      <w:r>
        <w:rPr>
          <w:rStyle w:val="IntenseEmphasis"/>
          <w:i w:val="0"/>
          <w:color w:val="auto"/>
        </w:rPr>
        <w:t>Social Initiatives</w:t>
      </w:r>
    </w:p>
    <w:p w14:paraId="36A732A5" w14:textId="77777777" w:rsidR="00747F15" w:rsidRPr="00BD7BC0" w:rsidRDefault="00747F15" w:rsidP="00747F15">
      <w:pPr>
        <w:pStyle w:val="ListParagraph"/>
        <w:numPr>
          <w:ilvl w:val="0"/>
          <w:numId w:val="37"/>
        </w:numPr>
        <w:spacing w:after="0" w:line="240" w:lineRule="auto"/>
        <w:rPr>
          <w:b/>
          <w:bCs/>
          <w:iCs/>
        </w:rPr>
      </w:pPr>
      <w:r w:rsidRPr="00BD7BC0">
        <w:rPr>
          <w:iCs/>
        </w:rPr>
        <w:t>2.1+ million hours volunteered since 2019</w:t>
      </w:r>
      <w:r>
        <w:rPr>
          <w:iCs/>
        </w:rPr>
        <w:t>.</w:t>
      </w:r>
    </w:p>
    <w:p w14:paraId="474EB41D" w14:textId="77777777" w:rsidR="00747F15" w:rsidRPr="00BD7BC0" w:rsidRDefault="00747F15" w:rsidP="00747F15">
      <w:pPr>
        <w:pStyle w:val="ListParagraph"/>
        <w:numPr>
          <w:ilvl w:val="0"/>
          <w:numId w:val="37"/>
        </w:numPr>
        <w:spacing w:after="0" w:line="240" w:lineRule="auto"/>
        <w:rPr>
          <w:b/>
          <w:bCs/>
          <w:iCs/>
        </w:rPr>
      </w:pPr>
      <w:r w:rsidRPr="00BD7BC0">
        <w:rPr>
          <w:iCs/>
        </w:rPr>
        <w:t>7+ million youths provided with digital skills training since 2012</w:t>
      </w:r>
      <w:r>
        <w:rPr>
          <w:iCs/>
        </w:rPr>
        <w:t>.</w:t>
      </w:r>
    </w:p>
    <w:p w14:paraId="3160A403" w14:textId="77777777" w:rsidR="00747F15" w:rsidRPr="00BD7BC0" w:rsidRDefault="00747F15" w:rsidP="00747F15">
      <w:pPr>
        <w:pStyle w:val="ListParagraph"/>
        <w:numPr>
          <w:ilvl w:val="0"/>
          <w:numId w:val="37"/>
        </w:numPr>
        <w:spacing w:after="0" w:line="240" w:lineRule="auto"/>
        <w:rPr>
          <w:b/>
          <w:bCs/>
          <w:iCs/>
        </w:rPr>
      </w:pPr>
      <w:r w:rsidRPr="00BD7BC0">
        <w:rPr>
          <w:iCs/>
        </w:rPr>
        <w:t>45,000+ individuals prepared for jobs of the future since 2019</w:t>
      </w:r>
      <w:r>
        <w:rPr>
          <w:iCs/>
        </w:rPr>
        <w:t>.</w:t>
      </w:r>
    </w:p>
    <w:p w14:paraId="6380DB02" w14:textId="77777777" w:rsidR="00747F15" w:rsidRPr="00BD7BC0" w:rsidRDefault="00747F15" w:rsidP="00747F15">
      <w:pPr>
        <w:pStyle w:val="ListParagraph"/>
        <w:numPr>
          <w:ilvl w:val="0"/>
          <w:numId w:val="37"/>
        </w:numPr>
        <w:spacing w:after="0" w:line="240" w:lineRule="auto"/>
        <w:rPr>
          <w:b/>
          <w:bCs/>
          <w:iCs/>
        </w:rPr>
      </w:pPr>
      <w:r w:rsidRPr="00BD7BC0">
        <w:rPr>
          <w:iCs/>
        </w:rPr>
        <w:lastRenderedPageBreak/>
        <w:t>273,000+ small businesses provided with resources to thrive in the digital economy since 2021</w:t>
      </w:r>
      <w:r>
        <w:rPr>
          <w:iCs/>
        </w:rPr>
        <w:t>.</w:t>
      </w:r>
    </w:p>
    <w:p w14:paraId="615EC659" w14:textId="77777777" w:rsidR="00747F15" w:rsidRDefault="00747F15" w:rsidP="00747F15">
      <w:pPr>
        <w:pStyle w:val="ListParagraph"/>
        <w:numPr>
          <w:ilvl w:val="0"/>
          <w:numId w:val="37"/>
        </w:numPr>
        <w:spacing w:after="0" w:line="240" w:lineRule="auto"/>
        <w:rPr>
          <w:iCs/>
        </w:rPr>
      </w:pPr>
      <w:r w:rsidRPr="00BD7BC0">
        <w:rPr>
          <w:iCs/>
        </w:rPr>
        <w:t xml:space="preserve">$173.8 million invested in learning and development initiatives for </w:t>
      </w:r>
      <w:r>
        <w:rPr>
          <w:iCs/>
        </w:rPr>
        <w:t>its</w:t>
      </w:r>
      <w:r w:rsidRPr="00BD7BC0">
        <w:rPr>
          <w:iCs/>
        </w:rPr>
        <w:t xml:space="preserve"> employees</w:t>
      </w:r>
      <w:r>
        <w:rPr>
          <w:iCs/>
        </w:rPr>
        <w:t>.</w:t>
      </w:r>
    </w:p>
    <w:p w14:paraId="0BEC3062" w14:textId="77777777" w:rsidR="00747F15" w:rsidRDefault="00747F15" w:rsidP="00747F15">
      <w:pPr>
        <w:pStyle w:val="ListParagraph"/>
        <w:numPr>
          <w:ilvl w:val="0"/>
          <w:numId w:val="37"/>
        </w:numPr>
        <w:spacing w:after="0" w:line="240" w:lineRule="auto"/>
        <w:rPr>
          <w:iCs/>
        </w:rPr>
      </w:pPr>
      <w:r w:rsidRPr="00BD7BC0">
        <w:rPr>
          <w:iCs/>
        </w:rPr>
        <w:t>60.3% of U.S.-based workforce composed of women and minorities</w:t>
      </w:r>
      <w:r>
        <w:rPr>
          <w:iCs/>
        </w:rPr>
        <w:t>.</w:t>
      </w:r>
    </w:p>
    <w:p w14:paraId="7F08D03A" w14:textId="77777777" w:rsidR="00747F15" w:rsidRDefault="00747F15" w:rsidP="00747F15">
      <w:pPr>
        <w:pStyle w:val="ListParagraph"/>
        <w:numPr>
          <w:ilvl w:val="0"/>
          <w:numId w:val="37"/>
        </w:numPr>
        <w:spacing w:after="0" w:line="240" w:lineRule="auto"/>
        <w:rPr>
          <w:iCs/>
        </w:rPr>
      </w:pPr>
      <w:r w:rsidRPr="00BD7BC0">
        <w:rPr>
          <w:iCs/>
        </w:rPr>
        <w:t>$2.6 billion invested in healthcare benefits and services</w:t>
      </w:r>
      <w:r>
        <w:rPr>
          <w:iCs/>
        </w:rPr>
        <w:t>.</w:t>
      </w:r>
    </w:p>
    <w:p w14:paraId="10293CDB" w14:textId="77777777" w:rsidR="00747F15" w:rsidRDefault="00747F15" w:rsidP="00747F15">
      <w:pPr>
        <w:spacing w:after="0" w:line="240" w:lineRule="auto"/>
        <w:rPr>
          <w:b/>
          <w:bCs/>
          <w:iCs/>
        </w:rPr>
      </w:pPr>
      <w:r>
        <w:rPr>
          <w:b/>
          <w:bCs/>
          <w:iCs/>
        </w:rPr>
        <w:t>Governance Initiatives</w:t>
      </w:r>
    </w:p>
    <w:p w14:paraId="191053BC" w14:textId="77777777" w:rsidR="00747F15" w:rsidRDefault="00747F15" w:rsidP="00747F15">
      <w:pPr>
        <w:pStyle w:val="ListParagraph"/>
        <w:numPr>
          <w:ilvl w:val="0"/>
          <w:numId w:val="38"/>
        </w:numPr>
        <w:spacing w:after="0" w:line="240" w:lineRule="auto"/>
        <w:rPr>
          <w:iCs/>
        </w:rPr>
      </w:pPr>
      <w:r w:rsidRPr="00BD7BC0">
        <w:rPr>
          <w:iCs/>
        </w:rPr>
        <w:t>100% pay equity in salary for women and men globally and with respect to race/ethnicity in the U.S.</w:t>
      </w:r>
    </w:p>
    <w:p w14:paraId="2269134A" w14:textId="77777777" w:rsidR="00747F15" w:rsidRPr="00BD7BC0" w:rsidRDefault="00747F15" w:rsidP="00747F15">
      <w:pPr>
        <w:pStyle w:val="ListParagraph"/>
        <w:numPr>
          <w:ilvl w:val="0"/>
          <w:numId w:val="38"/>
        </w:numPr>
        <w:spacing w:after="0" w:line="240" w:lineRule="auto"/>
        <w:rPr>
          <w:b/>
          <w:bCs/>
          <w:iCs/>
        </w:rPr>
      </w:pPr>
      <w:r w:rsidRPr="00BD7BC0">
        <w:rPr>
          <w:iCs/>
        </w:rPr>
        <w:t>15+ years of publishing our Data Breach Investigations</w:t>
      </w:r>
      <w:r w:rsidRPr="00BD7BC0">
        <w:rPr>
          <w:b/>
          <w:bCs/>
          <w:iCs/>
        </w:rPr>
        <w:t xml:space="preserve"> </w:t>
      </w:r>
      <w:r w:rsidRPr="00BD7BC0">
        <w:rPr>
          <w:iCs/>
        </w:rPr>
        <w:t>Report</w:t>
      </w:r>
    </w:p>
    <w:p w14:paraId="3415B601" w14:textId="77777777" w:rsidR="00747F15" w:rsidRDefault="00747F15" w:rsidP="00747F15">
      <w:pPr>
        <w:pStyle w:val="ListParagraph"/>
        <w:numPr>
          <w:ilvl w:val="0"/>
          <w:numId w:val="38"/>
        </w:numPr>
        <w:spacing w:after="0" w:line="240" w:lineRule="auto"/>
        <w:rPr>
          <w:iCs/>
        </w:rPr>
      </w:pPr>
      <w:r w:rsidRPr="00BD7BC0">
        <w:rPr>
          <w:iCs/>
        </w:rPr>
        <w:t>100% of employees trained on Code of Conduct</w:t>
      </w:r>
    </w:p>
    <w:p w14:paraId="3FF42013" w14:textId="77777777" w:rsidR="00747F15" w:rsidRDefault="00747F15" w:rsidP="00747F15">
      <w:pPr>
        <w:pStyle w:val="ListParagraph"/>
        <w:numPr>
          <w:ilvl w:val="0"/>
          <w:numId w:val="38"/>
        </w:numPr>
        <w:spacing w:after="0" w:line="240" w:lineRule="auto"/>
        <w:rPr>
          <w:iCs/>
        </w:rPr>
      </w:pPr>
      <w:r w:rsidRPr="00BD7BC0">
        <w:rPr>
          <w:iCs/>
        </w:rPr>
        <w:t>$54.3 billion spent with diverse suppliers over the past 10 years</w:t>
      </w:r>
      <w:r>
        <w:rPr>
          <w:iCs/>
        </w:rPr>
        <w:t>.</w:t>
      </w:r>
    </w:p>
    <w:p w14:paraId="137F5F55" w14:textId="77777777" w:rsidR="00747F15" w:rsidRDefault="00747F15" w:rsidP="00747F15">
      <w:pPr>
        <w:pStyle w:val="ListParagraph"/>
        <w:numPr>
          <w:ilvl w:val="0"/>
          <w:numId w:val="38"/>
        </w:numPr>
        <w:spacing w:after="0" w:line="240" w:lineRule="auto"/>
        <w:rPr>
          <w:iCs/>
        </w:rPr>
      </w:pPr>
      <w:r w:rsidRPr="00BD7BC0">
        <w:rPr>
          <w:iCs/>
        </w:rPr>
        <w:t xml:space="preserve">728 key suppliers assessed through </w:t>
      </w:r>
      <w:proofErr w:type="spellStart"/>
      <w:r w:rsidRPr="00BD7BC0">
        <w:rPr>
          <w:iCs/>
        </w:rPr>
        <w:t>EcoVadis</w:t>
      </w:r>
      <w:proofErr w:type="spellEnd"/>
      <w:r w:rsidRPr="00BD7BC0">
        <w:rPr>
          <w:iCs/>
        </w:rPr>
        <w:t xml:space="preserve"> since 2013</w:t>
      </w:r>
    </w:p>
    <w:p w14:paraId="1878FEF9" w14:textId="77777777" w:rsidR="00747F15" w:rsidRDefault="00747F15" w:rsidP="00747F15">
      <w:pPr>
        <w:spacing w:after="0" w:line="240" w:lineRule="auto"/>
        <w:rPr>
          <w:b/>
          <w:bCs/>
          <w:iCs/>
        </w:rPr>
      </w:pPr>
      <w:r>
        <w:rPr>
          <w:b/>
          <w:bCs/>
          <w:iCs/>
        </w:rPr>
        <w:t>Reporting and Transparency</w:t>
      </w:r>
    </w:p>
    <w:p w14:paraId="0FAF6AC5" w14:textId="11930633" w:rsidR="00646748" w:rsidRPr="00747F15" w:rsidRDefault="00747F15" w:rsidP="00747F15">
      <w:pPr>
        <w:numPr>
          <w:ilvl w:val="0"/>
          <w:numId w:val="39"/>
        </w:numPr>
        <w:tabs>
          <w:tab w:val="left" w:pos="720"/>
        </w:tabs>
        <w:spacing w:after="0" w:line="240" w:lineRule="auto"/>
        <w:rPr>
          <w:iCs/>
        </w:rPr>
      </w:pPr>
      <w:r w:rsidRPr="00BD7BC0">
        <w:rPr>
          <w:iCs/>
        </w:rPr>
        <w:t>Sustainability Reporting: Committed to transparent reporting of ESG performance to stakeholders.</w:t>
      </w:r>
    </w:p>
    <w:p w14:paraId="78A4AA80" w14:textId="77777777" w:rsidR="00646748" w:rsidRPr="00266824" w:rsidRDefault="00646748" w:rsidP="00C664A6">
      <w:pPr>
        <w:spacing w:after="0" w:line="240" w:lineRule="auto"/>
        <w:jc w:val="both"/>
        <w:rPr>
          <w:rStyle w:val="IntenseEmphasis"/>
          <w:i w:val="0"/>
          <w:color w:val="auto"/>
        </w:rPr>
      </w:pPr>
    </w:p>
    <w:p w14:paraId="2F4464D9" w14:textId="4824BD8A" w:rsidR="00C00DD8" w:rsidRPr="00517457" w:rsidRDefault="00E9149D" w:rsidP="00517457">
      <w:pPr>
        <w:spacing w:after="0" w:line="240" w:lineRule="auto"/>
        <w:rPr>
          <w:i/>
          <w:iCs/>
          <w:noProof/>
        </w:rPr>
      </w:pPr>
      <w:r w:rsidRPr="00517457">
        <w:rPr>
          <w:b/>
          <w:i/>
          <w:iCs/>
        </w:rPr>
        <w:t>Citation</w:t>
      </w:r>
      <w:r w:rsidR="00880A13" w:rsidRPr="00517457">
        <w:rPr>
          <w:b/>
          <w:i/>
          <w:iCs/>
        </w:rPr>
        <w:t>:</w:t>
      </w:r>
      <w:r w:rsidR="00880A13" w:rsidRPr="00517457">
        <w:rPr>
          <w:bCs/>
          <w:i/>
          <w:iCs/>
        </w:rPr>
        <w:t xml:space="preserve"> </w:t>
      </w:r>
      <w:r w:rsidR="00CD2B19" w:rsidRPr="00B62126">
        <w:rPr>
          <w:i/>
        </w:rPr>
        <w:t>Verizon 2023-ESG-Report</w:t>
      </w:r>
    </w:p>
    <w:sectPr w:rsidR="00C00DD8" w:rsidRPr="00517457" w:rsidSect="008F0CEA">
      <w:headerReference w:type="default" r:id="rId11"/>
      <w:footerReference w:type="default" r:id="rId12"/>
      <w:pgSz w:w="15840" w:h="12240" w:orient="landscape"/>
      <w:pgMar w:top="720"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E2AFA" w14:textId="77777777" w:rsidR="006C62D6" w:rsidRDefault="006C62D6" w:rsidP="001D0CD0">
      <w:pPr>
        <w:spacing w:after="0" w:line="240" w:lineRule="auto"/>
      </w:pPr>
      <w:r>
        <w:separator/>
      </w:r>
    </w:p>
  </w:endnote>
  <w:endnote w:type="continuationSeparator" w:id="0">
    <w:p w14:paraId="6CCBB6C4" w14:textId="77777777" w:rsidR="006C62D6" w:rsidRDefault="006C62D6" w:rsidP="001D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1EB4A" w14:textId="73BE6095" w:rsidR="00862338" w:rsidRDefault="00862338" w:rsidP="00862338">
    <w:pPr>
      <w:pStyle w:val="Footer"/>
      <w:jc w:val="right"/>
    </w:pPr>
    <w:r w:rsidRPr="00704DB0">
      <w:rPr>
        <w:b/>
        <w:i/>
        <w:noProof/>
        <w:color w:val="FF0000"/>
        <w:sz w:val="28"/>
        <w:szCs w:val="28"/>
      </w:rPr>
      <w:drawing>
        <wp:inline distT="0" distB="0" distL="0" distR="0" wp14:anchorId="698C2605" wp14:editId="48851273">
          <wp:extent cx="628650" cy="402981"/>
          <wp:effectExtent l="0" t="0" r="0" b="0"/>
          <wp:docPr id="19" name="Picture 18" descr="A close up of a logo&#10;&#10;Description automatically generated">
            <a:extLst xmlns:a="http://schemas.openxmlformats.org/drawingml/2006/main">
              <a:ext uri="{FF2B5EF4-FFF2-40B4-BE49-F238E27FC236}">
                <a16:creationId xmlns:a16="http://schemas.microsoft.com/office/drawing/2014/main" id="{ECC097AF-8898-DE4D-B869-55313A58DB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close up of a logo&#10;&#10;Description automatically generated">
                    <a:extLst>
                      <a:ext uri="{FF2B5EF4-FFF2-40B4-BE49-F238E27FC236}">
                        <a16:creationId xmlns:a16="http://schemas.microsoft.com/office/drawing/2014/main" id="{ECC097AF-8898-DE4D-B869-55313A58DB81}"/>
                      </a:ext>
                    </a:extLst>
                  </pic:cNvPr>
                  <pic:cNvPicPr>
                    <a:picLocks noChangeAspect="1"/>
                  </pic:cNvPicPr>
                </pic:nvPicPr>
                <pic:blipFill>
                  <a:blip r:embed="rId1" cstate="screen">
                    <a:extLst>
                      <a:ext uri="{28A0092B-C50C-407E-A947-70E740481C1C}">
                        <a14:useLocalDpi xmlns:a14="http://schemas.microsoft.com/office/drawing/2010/main"/>
                      </a:ext>
                    </a:extLst>
                  </a:blip>
                  <a:srcRect/>
                  <a:stretch/>
                </pic:blipFill>
                <pic:spPr>
                  <a:xfrm>
                    <a:off x="0" y="0"/>
                    <a:ext cx="658748" cy="4222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2E54E" w14:textId="77777777" w:rsidR="006C62D6" w:rsidRDefault="006C62D6" w:rsidP="001D0CD0">
      <w:pPr>
        <w:spacing w:after="0" w:line="240" w:lineRule="auto"/>
      </w:pPr>
      <w:r>
        <w:separator/>
      </w:r>
    </w:p>
  </w:footnote>
  <w:footnote w:type="continuationSeparator" w:id="0">
    <w:p w14:paraId="6953B415" w14:textId="77777777" w:rsidR="006C62D6" w:rsidRDefault="006C62D6" w:rsidP="001D0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E7DF9" w14:textId="3AB23C1F" w:rsidR="00FC5F6F" w:rsidRPr="00B67BC8" w:rsidRDefault="005372D5" w:rsidP="00FC5F6F">
    <w:pPr>
      <w:pStyle w:val="Header"/>
      <w:rPr>
        <w:rFonts w:asciiTheme="minorHAnsi" w:hAnsiTheme="minorHAnsi" w:cstheme="minorHAnsi"/>
        <w:iCs/>
        <w:color w:val="FF0000"/>
        <w:sz w:val="28"/>
        <w:szCs w:val="28"/>
      </w:rPr>
    </w:pPr>
    <w:r w:rsidRPr="005372D5">
      <w:rPr>
        <w:rFonts w:asciiTheme="minorHAnsi" w:hAnsiTheme="minorHAnsi" w:cstheme="minorHAnsi"/>
        <w:iCs/>
        <w:color w:val="FF0000"/>
        <w:sz w:val="28"/>
        <w:szCs w:val="28"/>
      </w:rPr>
      <w:t>Verizon Communications Inc</w:t>
    </w:r>
    <w:r>
      <w:rPr>
        <w:rFonts w:asciiTheme="minorHAnsi" w:hAnsiTheme="minorHAnsi" w:cstheme="minorHAnsi"/>
        <w:iCs/>
        <w:color w:val="FF0000"/>
        <w:sz w:val="28"/>
        <w:szCs w:val="28"/>
      </w:rPr>
      <w:t>.</w:t>
    </w:r>
  </w:p>
  <w:p w14:paraId="6994B05F" w14:textId="77777777" w:rsidR="00FC5F6F" w:rsidRPr="00AC172E" w:rsidRDefault="00FC5F6F" w:rsidP="00FC5F6F">
    <w:pPr>
      <w:pStyle w:val="Header"/>
      <w:tabs>
        <w:tab w:val="left" w:pos="720"/>
      </w:tabs>
      <w:rPr>
        <w:rFonts w:ascii="Arial" w:hAnsi="Arial" w:cs="Arial"/>
        <w:b/>
        <w:i/>
        <w:color w:val="E5B8B7" w:themeColor="accent2" w:themeTint="66"/>
        <w:sz w:val="28"/>
        <w:szCs w:val="28"/>
      </w:rPr>
    </w:pPr>
    <w:r w:rsidRPr="001A0B86">
      <w:rPr>
        <w:rFonts w:ascii="Arial" w:hAnsi="Arial" w:cs="Arial"/>
        <w:b/>
        <w:i/>
        <w:noProof/>
        <w:color w:val="E5B8B7" w:themeColor="accent2" w:themeTint="66"/>
        <w:sz w:val="28"/>
        <w:szCs w:val="28"/>
      </w:rPr>
      <mc:AlternateContent>
        <mc:Choice Requires="wps">
          <w:drawing>
            <wp:anchor distT="0" distB="0" distL="114300" distR="114300" simplePos="0" relativeHeight="251661312" behindDoc="0" locked="0" layoutInCell="1" allowOverlap="1" wp14:anchorId="083F19C3" wp14:editId="77CBFADE">
              <wp:simplePos x="0" y="0"/>
              <wp:positionH relativeFrom="column">
                <wp:align>center</wp:align>
              </wp:positionH>
              <wp:positionV relativeFrom="paragraph">
                <wp:posOffset>0</wp:posOffset>
              </wp:positionV>
              <wp:extent cx="9103360" cy="54610"/>
              <wp:effectExtent l="0" t="0" r="2159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3360" cy="54610"/>
                      </a:xfrm>
                      <a:prstGeom prst="rect">
                        <a:avLst/>
                      </a:prstGeom>
                      <a:solidFill>
                        <a:srgbClr val="FFC000"/>
                      </a:solidFill>
                      <a:ln w="9525">
                        <a:solidFill>
                          <a:srgbClr val="000000"/>
                        </a:solidFill>
                        <a:miter lim="800000"/>
                        <a:headEnd/>
                        <a:tailEnd/>
                      </a:ln>
                    </wps:spPr>
                    <wps:txbx>
                      <w:txbxContent>
                        <w:p w14:paraId="3C6E0768" w14:textId="77777777" w:rsidR="00FC5F6F" w:rsidRDefault="00FC5F6F" w:rsidP="00FC5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F19C3" id="_x0000_t202" coordsize="21600,21600" o:spt="202" path="m,l,21600r21600,l21600,xe">
              <v:stroke joinstyle="miter"/>
              <v:path gradientshapeok="t" o:connecttype="rect"/>
            </v:shapetype>
            <v:shape id="Text Box 2" o:spid="_x0000_s1026" type="#_x0000_t202" style="position:absolute;margin-left:0;margin-top:0;width:716.8pt;height:4.3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" fillcolor="#ffc000">
              <v:textbox>
                <w:txbxContent>
                  <w:p w14:paraId="3C6E0768" w14:textId="77777777" w:rsidR="00FC5F6F" w:rsidRDefault="00FC5F6F" w:rsidP="00FC5F6F"/>
                </w:txbxContent>
              </v:textbox>
            </v:shape>
          </w:pict>
        </mc:Fallback>
      </mc:AlternateContent>
    </w:r>
    <w:r w:rsidRPr="00AC172E">
      <w:rPr>
        <w:b/>
        <w:i/>
        <w:noProof/>
        <w:color w:val="E5B8B7" w:themeColor="accent2" w:themeTint="66"/>
        <w:sz w:val="28"/>
        <w:szCs w:val="28"/>
        <w:highlight w:val="lightGray"/>
      </w:rPr>
      <mc:AlternateContent>
        <mc:Choice Requires="wps">
          <w:drawing>
            <wp:anchor distT="0" distB="0" distL="114300" distR="114300" simplePos="0" relativeHeight="251659264" behindDoc="0" locked="0" layoutInCell="1" allowOverlap="1" wp14:anchorId="67641D38" wp14:editId="06C1CFE1">
              <wp:simplePos x="0" y="0"/>
              <wp:positionH relativeFrom="column">
                <wp:posOffset>-9525</wp:posOffset>
              </wp:positionH>
              <wp:positionV relativeFrom="paragraph">
                <wp:posOffset>0</wp:posOffset>
              </wp:positionV>
              <wp:extent cx="2194560" cy="54610"/>
              <wp:effectExtent l="0" t="0" r="0" b="25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4560" cy="54610"/>
                      </a:xfrm>
                      <a:prstGeom prst="rect">
                        <a:avLst/>
                      </a:prstGeom>
                      <a:solidFill>
                        <a:schemeClr val="bg1">
                          <a:lumMod val="6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7EDA3" id="Rectangle 11" o:spid="_x0000_s1026" style="position:absolute;margin-left:-.75pt;margin-top:0;width:172.8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" fillcolor="#a5a5a5 [2092]" stroked="f"/>
          </w:pict>
        </mc:Fallback>
      </mc:AlternateContent>
    </w:r>
    <w:r w:rsidRPr="00AC172E">
      <w:rPr>
        <w:b/>
        <w:i/>
        <w:noProof/>
        <w:color w:val="E5B8B7" w:themeColor="accent2" w:themeTint="66"/>
        <w:sz w:val="28"/>
        <w:szCs w:val="28"/>
        <w:highlight w:val="lightGray"/>
      </w:rPr>
      <mc:AlternateContent>
        <mc:Choice Requires="wps">
          <w:drawing>
            <wp:anchor distT="0" distB="0" distL="114300" distR="114300" simplePos="0" relativeHeight="251660288" behindDoc="0" locked="0" layoutInCell="1" allowOverlap="1" wp14:anchorId="545098BE" wp14:editId="33009F18">
              <wp:simplePos x="0" y="0"/>
              <wp:positionH relativeFrom="column">
                <wp:posOffset>4981575</wp:posOffset>
              </wp:positionH>
              <wp:positionV relativeFrom="paragraph">
                <wp:posOffset>-304800</wp:posOffset>
              </wp:positionV>
              <wp:extent cx="1192530" cy="958215"/>
              <wp:effectExtent l="0"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958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FC113" w14:textId="77777777" w:rsidR="00FC5F6F" w:rsidRDefault="00FC5F6F" w:rsidP="00FC5F6F">
                          <w:r>
                            <w:rPr>
                              <w:noProof/>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5098BE" id="Text Box 12" o:spid="_x0000_s1027" type="#_x0000_t202" style="position:absolute;margin-left:392.25pt;margin-top:-24pt;width:93.9pt;height:75.4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" filled="f" stroked="f">
              <v:textbox style="mso-fit-shape-to-text:t">
                <w:txbxContent>
                  <w:p w14:paraId="140FC113" w14:textId="77777777" w:rsidR="00FC5F6F" w:rsidRDefault="00FC5F6F" w:rsidP="00FC5F6F">
                    <w:r>
                      <w:rPr>
                        <w:noProof/>
                        <w:sz w:val="20"/>
                        <w:szCs w:val="20"/>
                      </w:rPr>
                      <w:t xml:space="preserve">                                                                                                       </w:t>
                    </w:r>
                  </w:p>
                </w:txbxContent>
              </v:textbox>
            </v:shape>
          </w:pict>
        </mc:Fallback>
      </mc:AlternateContent>
    </w:r>
  </w:p>
  <w:p w14:paraId="178BA423" w14:textId="77777777" w:rsidR="00FC5F6F" w:rsidRDefault="00FC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22FE"/>
    <w:multiLevelType w:val="hybridMultilevel"/>
    <w:tmpl w:val="6B3C708C"/>
    <w:lvl w:ilvl="0" w:tplc="86B66544">
      <w:start w:val="1"/>
      <w:numFmt w:val="bullet"/>
      <w:lvlText w:val="-"/>
      <w:lvlJc w:val="left"/>
      <w:pPr>
        <w:ind w:left="720" w:hanging="360"/>
      </w:pPr>
      <w:rPr>
        <w:rFonts w:ascii="Calibri Light" w:eastAsia="Times New Roman" w:hAnsi="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04B66"/>
    <w:multiLevelType w:val="hybridMultilevel"/>
    <w:tmpl w:val="ABCC2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D039A"/>
    <w:multiLevelType w:val="hybridMultilevel"/>
    <w:tmpl w:val="BCAA5A3A"/>
    <w:lvl w:ilvl="0" w:tplc="51D4A552">
      <w:numFmt w:val="bullet"/>
      <w:lvlText w:val="-"/>
      <w:lvlJc w:val="left"/>
      <w:pPr>
        <w:ind w:left="990" w:hanging="360"/>
      </w:pPr>
      <w:rPr>
        <w:rFonts w:ascii="Calibri" w:eastAsia="Calibri" w:hAnsi="Calibri"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4E97CA6"/>
    <w:multiLevelType w:val="hybridMultilevel"/>
    <w:tmpl w:val="6EF8BD5E"/>
    <w:lvl w:ilvl="0" w:tplc="751ACE6C">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792166"/>
    <w:multiLevelType w:val="hybridMultilevel"/>
    <w:tmpl w:val="1E0C01DE"/>
    <w:lvl w:ilvl="0" w:tplc="51D4A55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A83F03"/>
    <w:multiLevelType w:val="hybridMultilevel"/>
    <w:tmpl w:val="2EC0D686"/>
    <w:lvl w:ilvl="0" w:tplc="7022623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A571F9"/>
    <w:multiLevelType w:val="hybridMultilevel"/>
    <w:tmpl w:val="55669916"/>
    <w:lvl w:ilvl="0" w:tplc="51D4A55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9D10D8"/>
    <w:multiLevelType w:val="hybridMultilevel"/>
    <w:tmpl w:val="B096EB7A"/>
    <w:lvl w:ilvl="0" w:tplc="751ACE6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6D7670"/>
    <w:multiLevelType w:val="hybridMultilevel"/>
    <w:tmpl w:val="1480EDD6"/>
    <w:lvl w:ilvl="0" w:tplc="86B66544">
      <w:start w:val="1"/>
      <w:numFmt w:val="bullet"/>
      <w:lvlText w:val="-"/>
      <w:lvlJc w:val="left"/>
      <w:pPr>
        <w:ind w:left="720" w:hanging="360"/>
      </w:pPr>
      <w:rPr>
        <w:rFonts w:ascii="Calibri Light" w:eastAsia="Times New Roman"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08284B"/>
    <w:multiLevelType w:val="hybridMultilevel"/>
    <w:tmpl w:val="05F260C8"/>
    <w:lvl w:ilvl="0" w:tplc="51D4A55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A03649"/>
    <w:multiLevelType w:val="hybridMultilevel"/>
    <w:tmpl w:val="BA60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0A7A41"/>
    <w:multiLevelType w:val="hybridMultilevel"/>
    <w:tmpl w:val="CD804490"/>
    <w:lvl w:ilvl="0" w:tplc="51D4A55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A103D"/>
    <w:multiLevelType w:val="hybridMultilevel"/>
    <w:tmpl w:val="1E8A167A"/>
    <w:lvl w:ilvl="0" w:tplc="55BEB7A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C8A1C3E"/>
    <w:multiLevelType w:val="hybridMultilevel"/>
    <w:tmpl w:val="5BD2EC3E"/>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4" w15:restartNumberingAfterBreak="0">
    <w:nsid w:val="1F3F694A"/>
    <w:multiLevelType w:val="hybridMultilevel"/>
    <w:tmpl w:val="BEE25DCE"/>
    <w:lvl w:ilvl="0" w:tplc="4DA07444">
      <w:start w:val="8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75BF5"/>
    <w:multiLevelType w:val="hybridMultilevel"/>
    <w:tmpl w:val="0E3680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1B0C9C"/>
    <w:multiLevelType w:val="hybridMultilevel"/>
    <w:tmpl w:val="E6D4EDF2"/>
    <w:lvl w:ilvl="0" w:tplc="51D4A55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50C21"/>
    <w:multiLevelType w:val="multilevel"/>
    <w:tmpl w:val="01B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D74E8B"/>
    <w:multiLevelType w:val="hybridMultilevel"/>
    <w:tmpl w:val="FF82A3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FF1896"/>
    <w:multiLevelType w:val="hybridMultilevel"/>
    <w:tmpl w:val="CCC6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B6F3B"/>
    <w:multiLevelType w:val="hybridMultilevel"/>
    <w:tmpl w:val="BD3E8E48"/>
    <w:lvl w:ilvl="0" w:tplc="D11EF5E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F139E9"/>
    <w:multiLevelType w:val="hybridMultilevel"/>
    <w:tmpl w:val="DAA2084C"/>
    <w:lvl w:ilvl="0" w:tplc="7022623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25B17F3"/>
    <w:multiLevelType w:val="hybridMultilevel"/>
    <w:tmpl w:val="F1A6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F37CB5"/>
    <w:multiLevelType w:val="hybridMultilevel"/>
    <w:tmpl w:val="06346440"/>
    <w:lvl w:ilvl="0" w:tplc="7022623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6DF5550"/>
    <w:multiLevelType w:val="hybridMultilevel"/>
    <w:tmpl w:val="7B807F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37AF6E72"/>
    <w:multiLevelType w:val="hybridMultilevel"/>
    <w:tmpl w:val="AA5C37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41D10"/>
    <w:multiLevelType w:val="hybridMultilevel"/>
    <w:tmpl w:val="2B408C8C"/>
    <w:lvl w:ilvl="0" w:tplc="51D4A55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3226F9"/>
    <w:multiLevelType w:val="hybridMultilevel"/>
    <w:tmpl w:val="9C1C6640"/>
    <w:lvl w:ilvl="0" w:tplc="751ACE6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590D5F"/>
    <w:multiLevelType w:val="hybridMultilevel"/>
    <w:tmpl w:val="57D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336042"/>
    <w:multiLevelType w:val="multilevel"/>
    <w:tmpl w:val="2A5A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75623B"/>
    <w:multiLevelType w:val="hybridMultilevel"/>
    <w:tmpl w:val="59ACB1D2"/>
    <w:lvl w:ilvl="0" w:tplc="751ACE6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A17CE2"/>
    <w:multiLevelType w:val="hybridMultilevel"/>
    <w:tmpl w:val="674E88AE"/>
    <w:lvl w:ilvl="0" w:tplc="7022623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18024D"/>
    <w:multiLevelType w:val="hybridMultilevel"/>
    <w:tmpl w:val="205CD558"/>
    <w:lvl w:ilvl="0" w:tplc="7022623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D8B7A38"/>
    <w:multiLevelType w:val="hybridMultilevel"/>
    <w:tmpl w:val="EB7ED7A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5FBC05F7"/>
    <w:multiLevelType w:val="hybridMultilevel"/>
    <w:tmpl w:val="B6AC5FB4"/>
    <w:lvl w:ilvl="0" w:tplc="51D4A55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5D01EC"/>
    <w:multiLevelType w:val="hybridMultilevel"/>
    <w:tmpl w:val="1FD23FCC"/>
    <w:lvl w:ilvl="0" w:tplc="66FE87C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94124"/>
    <w:multiLevelType w:val="hybridMultilevel"/>
    <w:tmpl w:val="846249A2"/>
    <w:lvl w:ilvl="0" w:tplc="751ACE6C">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3C1B2E"/>
    <w:multiLevelType w:val="hybridMultilevel"/>
    <w:tmpl w:val="D7509CC6"/>
    <w:lvl w:ilvl="0" w:tplc="8182C8E2">
      <w:start w:val="7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0877F9"/>
    <w:multiLevelType w:val="hybridMultilevel"/>
    <w:tmpl w:val="3596463E"/>
    <w:lvl w:ilvl="0" w:tplc="7022623E">
      <w:numFmt w:val="bullet"/>
      <w:lvlText w:val="-"/>
      <w:lvlJc w:val="left"/>
      <w:pPr>
        <w:tabs>
          <w:tab w:val="num" w:pos="360"/>
        </w:tabs>
        <w:ind w:left="360" w:hanging="360"/>
      </w:pPr>
      <w:rPr>
        <w:rFonts w:ascii="Calibri" w:eastAsia="Calibri" w:hAnsi="Calibri" w:cs="Calibri" w:hint="default"/>
      </w:rPr>
    </w:lvl>
    <w:lvl w:ilvl="1" w:tplc="D93C755C" w:tentative="1">
      <w:start w:val="1"/>
      <w:numFmt w:val="bullet"/>
      <w:lvlText w:val=""/>
      <w:lvlJc w:val="left"/>
      <w:pPr>
        <w:tabs>
          <w:tab w:val="num" w:pos="1080"/>
        </w:tabs>
        <w:ind w:left="1080" w:hanging="360"/>
      </w:pPr>
      <w:rPr>
        <w:rFonts w:ascii="Symbol" w:hAnsi="Symbol" w:hint="default"/>
      </w:rPr>
    </w:lvl>
    <w:lvl w:ilvl="2" w:tplc="DD7C8970" w:tentative="1">
      <w:start w:val="1"/>
      <w:numFmt w:val="bullet"/>
      <w:lvlText w:val=""/>
      <w:lvlJc w:val="left"/>
      <w:pPr>
        <w:tabs>
          <w:tab w:val="num" w:pos="1800"/>
        </w:tabs>
        <w:ind w:left="1800" w:hanging="360"/>
      </w:pPr>
      <w:rPr>
        <w:rFonts w:ascii="Symbol" w:hAnsi="Symbol" w:hint="default"/>
      </w:rPr>
    </w:lvl>
    <w:lvl w:ilvl="3" w:tplc="0576FA80" w:tentative="1">
      <w:start w:val="1"/>
      <w:numFmt w:val="bullet"/>
      <w:lvlText w:val=""/>
      <w:lvlJc w:val="left"/>
      <w:pPr>
        <w:tabs>
          <w:tab w:val="num" w:pos="2520"/>
        </w:tabs>
        <w:ind w:left="2520" w:hanging="360"/>
      </w:pPr>
      <w:rPr>
        <w:rFonts w:ascii="Symbol" w:hAnsi="Symbol" w:hint="default"/>
      </w:rPr>
    </w:lvl>
    <w:lvl w:ilvl="4" w:tplc="9E82880E" w:tentative="1">
      <w:start w:val="1"/>
      <w:numFmt w:val="bullet"/>
      <w:lvlText w:val=""/>
      <w:lvlJc w:val="left"/>
      <w:pPr>
        <w:tabs>
          <w:tab w:val="num" w:pos="3240"/>
        </w:tabs>
        <w:ind w:left="3240" w:hanging="360"/>
      </w:pPr>
      <w:rPr>
        <w:rFonts w:ascii="Symbol" w:hAnsi="Symbol" w:hint="default"/>
      </w:rPr>
    </w:lvl>
    <w:lvl w:ilvl="5" w:tplc="11A65218" w:tentative="1">
      <w:start w:val="1"/>
      <w:numFmt w:val="bullet"/>
      <w:lvlText w:val=""/>
      <w:lvlJc w:val="left"/>
      <w:pPr>
        <w:tabs>
          <w:tab w:val="num" w:pos="3960"/>
        </w:tabs>
        <w:ind w:left="3960" w:hanging="360"/>
      </w:pPr>
      <w:rPr>
        <w:rFonts w:ascii="Symbol" w:hAnsi="Symbol" w:hint="default"/>
      </w:rPr>
    </w:lvl>
    <w:lvl w:ilvl="6" w:tplc="C76E6BC4" w:tentative="1">
      <w:start w:val="1"/>
      <w:numFmt w:val="bullet"/>
      <w:lvlText w:val=""/>
      <w:lvlJc w:val="left"/>
      <w:pPr>
        <w:tabs>
          <w:tab w:val="num" w:pos="4680"/>
        </w:tabs>
        <w:ind w:left="4680" w:hanging="360"/>
      </w:pPr>
      <w:rPr>
        <w:rFonts w:ascii="Symbol" w:hAnsi="Symbol" w:hint="default"/>
      </w:rPr>
    </w:lvl>
    <w:lvl w:ilvl="7" w:tplc="D114A2A6" w:tentative="1">
      <w:start w:val="1"/>
      <w:numFmt w:val="bullet"/>
      <w:lvlText w:val=""/>
      <w:lvlJc w:val="left"/>
      <w:pPr>
        <w:tabs>
          <w:tab w:val="num" w:pos="5400"/>
        </w:tabs>
        <w:ind w:left="5400" w:hanging="360"/>
      </w:pPr>
      <w:rPr>
        <w:rFonts w:ascii="Symbol" w:hAnsi="Symbol" w:hint="default"/>
      </w:rPr>
    </w:lvl>
    <w:lvl w:ilvl="8" w:tplc="22DCCBE4" w:tentative="1">
      <w:start w:val="1"/>
      <w:numFmt w:val="bullet"/>
      <w:lvlText w:val=""/>
      <w:lvlJc w:val="left"/>
      <w:pPr>
        <w:tabs>
          <w:tab w:val="num" w:pos="6120"/>
        </w:tabs>
        <w:ind w:left="6120" w:hanging="360"/>
      </w:pPr>
      <w:rPr>
        <w:rFonts w:ascii="Symbol" w:hAnsi="Symbol" w:hint="default"/>
      </w:rPr>
    </w:lvl>
  </w:abstractNum>
  <w:abstractNum w:abstractNumId="39" w15:restartNumberingAfterBreak="0">
    <w:nsid w:val="728654EC"/>
    <w:multiLevelType w:val="hybridMultilevel"/>
    <w:tmpl w:val="5F4EC4E4"/>
    <w:lvl w:ilvl="0" w:tplc="86B66544">
      <w:start w:val="1"/>
      <w:numFmt w:val="bullet"/>
      <w:lvlText w:val="-"/>
      <w:lvlJc w:val="left"/>
      <w:pPr>
        <w:ind w:left="720" w:hanging="360"/>
      </w:pPr>
      <w:rPr>
        <w:rFonts w:ascii="Calibri Light" w:eastAsia="Times New Roman" w:hAnsi="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044A3"/>
    <w:multiLevelType w:val="hybridMultilevel"/>
    <w:tmpl w:val="31DC4F8E"/>
    <w:lvl w:ilvl="0" w:tplc="0D0E431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8A811D6"/>
    <w:multiLevelType w:val="hybridMultilevel"/>
    <w:tmpl w:val="E1C6E7A2"/>
    <w:lvl w:ilvl="0" w:tplc="51D4A55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AB36F3"/>
    <w:multiLevelType w:val="hybridMultilevel"/>
    <w:tmpl w:val="16B819F0"/>
    <w:lvl w:ilvl="0" w:tplc="8182C8E2">
      <w:start w:val="7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792877">
    <w:abstractNumId w:val="6"/>
  </w:num>
  <w:num w:numId="2" w16cid:durableId="339507612">
    <w:abstractNumId w:val="9"/>
  </w:num>
  <w:num w:numId="3" w16cid:durableId="2039117098">
    <w:abstractNumId w:val="34"/>
  </w:num>
  <w:num w:numId="4" w16cid:durableId="202057127">
    <w:abstractNumId w:val="4"/>
  </w:num>
  <w:num w:numId="5" w16cid:durableId="405110117">
    <w:abstractNumId w:val="25"/>
  </w:num>
  <w:num w:numId="6" w16cid:durableId="1370035617">
    <w:abstractNumId w:val="11"/>
  </w:num>
  <w:num w:numId="7" w16cid:durableId="1403023736">
    <w:abstractNumId w:val="16"/>
  </w:num>
  <w:num w:numId="8" w16cid:durableId="522130082">
    <w:abstractNumId w:val="40"/>
  </w:num>
  <w:num w:numId="9" w16cid:durableId="834959019">
    <w:abstractNumId w:val="35"/>
  </w:num>
  <w:num w:numId="10" w16cid:durableId="603070766">
    <w:abstractNumId w:val="12"/>
  </w:num>
  <w:num w:numId="11" w16cid:durableId="1996372143">
    <w:abstractNumId w:val="2"/>
  </w:num>
  <w:num w:numId="12" w16cid:durableId="1801071094">
    <w:abstractNumId w:val="35"/>
  </w:num>
  <w:num w:numId="13" w16cid:durableId="1955209058">
    <w:abstractNumId w:val="42"/>
  </w:num>
  <w:num w:numId="14" w16cid:durableId="1155561156">
    <w:abstractNumId w:val="15"/>
  </w:num>
  <w:num w:numId="15" w16cid:durableId="1150052707">
    <w:abstractNumId w:val="13"/>
  </w:num>
  <w:num w:numId="16" w16cid:durableId="122966816">
    <w:abstractNumId w:val="37"/>
  </w:num>
  <w:num w:numId="17" w16cid:durableId="414205574">
    <w:abstractNumId w:val="29"/>
  </w:num>
  <w:num w:numId="18" w16cid:durableId="343484468">
    <w:abstractNumId w:val="26"/>
  </w:num>
  <w:num w:numId="19" w16cid:durableId="1686442516">
    <w:abstractNumId w:val="17"/>
  </w:num>
  <w:num w:numId="20" w16cid:durableId="945817771">
    <w:abstractNumId w:val="7"/>
  </w:num>
  <w:num w:numId="21" w16cid:durableId="1283417930">
    <w:abstractNumId w:val="30"/>
  </w:num>
  <w:num w:numId="22" w16cid:durableId="519204727">
    <w:abstractNumId w:val="41"/>
  </w:num>
  <w:num w:numId="23" w16cid:durableId="2026511918">
    <w:abstractNumId w:val="27"/>
  </w:num>
  <w:num w:numId="24" w16cid:durableId="1468931974">
    <w:abstractNumId w:val="20"/>
  </w:num>
  <w:num w:numId="25" w16cid:durableId="151408945">
    <w:abstractNumId w:val="24"/>
  </w:num>
  <w:num w:numId="26" w16cid:durableId="219633887">
    <w:abstractNumId w:val="21"/>
  </w:num>
  <w:num w:numId="27" w16cid:durableId="220944598">
    <w:abstractNumId w:val="18"/>
  </w:num>
  <w:num w:numId="28" w16cid:durableId="619260620">
    <w:abstractNumId w:val="10"/>
  </w:num>
  <w:num w:numId="29" w16cid:durableId="250165982">
    <w:abstractNumId w:val="19"/>
  </w:num>
  <w:num w:numId="30" w16cid:durableId="980186411">
    <w:abstractNumId w:val="22"/>
  </w:num>
  <w:num w:numId="31" w16cid:durableId="1800101015">
    <w:abstractNumId w:val="36"/>
  </w:num>
  <w:num w:numId="32" w16cid:durableId="200746416">
    <w:abstractNumId w:val="3"/>
  </w:num>
  <w:num w:numId="33" w16cid:durableId="2061436916">
    <w:abstractNumId w:val="28"/>
  </w:num>
  <w:num w:numId="34" w16cid:durableId="401490372">
    <w:abstractNumId w:val="31"/>
  </w:num>
  <w:num w:numId="35" w16cid:durableId="28646433">
    <w:abstractNumId w:val="32"/>
  </w:num>
  <w:num w:numId="36" w16cid:durableId="1981613922">
    <w:abstractNumId w:val="33"/>
  </w:num>
  <w:num w:numId="37" w16cid:durableId="2125732990">
    <w:abstractNumId w:val="23"/>
  </w:num>
  <w:num w:numId="38" w16cid:durableId="1794862117">
    <w:abstractNumId w:val="5"/>
  </w:num>
  <w:num w:numId="39" w16cid:durableId="1222405645">
    <w:abstractNumId w:val="38"/>
  </w:num>
  <w:num w:numId="40" w16cid:durableId="276790053">
    <w:abstractNumId w:val="1"/>
  </w:num>
  <w:num w:numId="41" w16cid:durableId="555625438">
    <w:abstractNumId w:val="14"/>
  </w:num>
  <w:num w:numId="42" w16cid:durableId="858854213">
    <w:abstractNumId w:val="39"/>
  </w:num>
  <w:num w:numId="43" w16cid:durableId="527643270">
    <w:abstractNumId w:val="8"/>
  </w:num>
  <w:num w:numId="44" w16cid:durableId="151665539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BD"/>
    <w:rsid w:val="000017B6"/>
    <w:rsid w:val="00002D3B"/>
    <w:rsid w:val="00002DBA"/>
    <w:rsid w:val="000046B9"/>
    <w:rsid w:val="00004C6C"/>
    <w:rsid w:val="000056C1"/>
    <w:rsid w:val="000101E1"/>
    <w:rsid w:val="000102A3"/>
    <w:rsid w:val="000106A8"/>
    <w:rsid w:val="00011327"/>
    <w:rsid w:val="000126B9"/>
    <w:rsid w:val="00012803"/>
    <w:rsid w:val="00012D7F"/>
    <w:rsid w:val="000133DD"/>
    <w:rsid w:val="00014408"/>
    <w:rsid w:val="0001452E"/>
    <w:rsid w:val="00014676"/>
    <w:rsid w:val="00014A8E"/>
    <w:rsid w:val="00014CBD"/>
    <w:rsid w:val="00015BBD"/>
    <w:rsid w:val="00015DD0"/>
    <w:rsid w:val="0001613D"/>
    <w:rsid w:val="000179B6"/>
    <w:rsid w:val="00017BA0"/>
    <w:rsid w:val="00021030"/>
    <w:rsid w:val="00022CBA"/>
    <w:rsid w:val="00023C6D"/>
    <w:rsid w:val="000249FE"/>
    <w:rsid w:val="00027E49"/>
    <w:rsid w:val="0003029B"/>
    <w:rsid w:val="00031217"/>
    <w:rsid w:val="00031BC5"/>
    <w:rsid w:val="000328EA"/>
    <w:rsid w:val="0003310A"/>
    <w:rsid w:val="0003366F"/>
    <w:rsid w:val="0003368F"/>
    <w:rsid w:val="00033FAB"/>
    <w:rsid w:val="000376CC"/>
    <w:rsid w:val="000378AE"/>
    <w:rsid w:val="0004151B"/>
    <w:rsid w:val="00042BEE"/>
    <w:rsid w:val="00042CB8"/>
    <w:rsid w:val="00044DF4"/>
    <w:rsid w:val="00045FAA"/>
    <w:rsid w:val="000465C3"/>
    <w:rsid w:val="0004676E"/>
    <w:rsid w:val="00047978"/>
    <w:rsid w:val="00047B75"/>
    <w:rsid w:val="00047CDA"/>
    <w:rsid w:val="00047FB1"/>
    <w:rsid w:val="000514D1"/>
    <w:rsid w:val="00052B0F"/>
    <w:rsid w:val="00053A4C"/>
    <w:rsid w:val="00054B76"/>
    <w:rsid w:val="00054D6E"/>
    <w:rsid w:val="00056297"/>
    <w:rsid w:val="00057E21"/>
    <w:rsid w:val="000614A6"/>
    <w:rsid w:val="00061940"/>
    <w:rsid w:val="0006272E"/>
    <w:rsid w:val="00062DAF"/>
    <w:rsid w:val="00064CD1"/>
    <w:rsid w:val="000654E6"/>
    <w:rsid w:val="0006727D"/>
    <w:rsid w:val="0006728B"/>
    <w:rsid w:val="0006775B"/>
    <w:rsid w:val="00070FF7"/>
    <w:rsid w:val="00071070"/>
    <w:rsid w:val="000726DC"/>
    <w:rsid w:val="00072739"/>
    <w:rsid w:val="00072D81"/>
    <w:rsid w:val="00073FE9"/>
    <w:rsid w:val="0007639C"/>
    <w:rsid w:val="00076A9B"/>
    <w:rsid w:val="00077143"/>
    <w:rsid w:val="000800F6"/>
    <w:rsid w:val="0008096E"/>
    <w:rsid w:val="00082D12"/>
    <w:rsid w:val="0008513D"/>
    <w:rsid w:val="00087484"/>
    <w:rsid w:val="00092D50"/>
    <w:rsid w:val="00093685"/>
    <w:rsid w:val="00094115"/>
    <w:rsid w:val="00095DA0"/>
    <w:rsid w:val="0009706C"/>
    <w:rsid w:val="00097F5F"/>
    <w:rsid w:val="000A0602"/>
    <w:rsid w:val="000A15DC"/>
    <w:rsid w:val="000A2C8E"/>
    <w:rsid w:val="000A40F6"/>
    <w:rsid w:val="000A4C29"/>
    <w:rsid w:val="000A4E86"/>
    <w:rsid w:val="000A5AC3"/>
    <w:rsid w:val="000A6323"/>
    <w:rsid w:val="000A6CC8"/>
    <w:rsid w:val="000A745D"/>
    <w:rsid w:val="000A7585"/>
    <w:rsid w:val="000B02A3"/>
    <w:rsid w:val="000B151A"/>
    <w:rsid w:val="000B1B9E"/>
    <w:rsid w:val="000B1F79"/>
    <w:rsid w:val="000B305B"/>
    <w:rsid w:val="000B35A1"/>
    <w:rsid w:val="000B4F62"/>
    <w:rsid w:val="000B50D7"/>
    <w:rsid w:val="000B6E01"/>
    <w:rsid w:val="000B6E7B"/>
    <w:rsid w:val="000B79B8"/>
    <w:rsid w:val="000C153D"/>
    <w:rsid w:val="000C1EC4"/>
    <w:rsid w:val="000C215A"/>
    <w:rsid w:val="000C21AC"/>
    <w:rsid w:val="000C2692"/>
    <w:rsid w:val="000C2DDA"/>
    <w:rsid w:val="000C3797"/>
    <w:rsid w:val="000C428F"/>
    <w:rsid w:val="000C43D7"/>
    <w:rsid w:val="000C4A02"/>
    <w:rsid w:val="000C4B43"/>
    <w:rsid w:val="000C5208"/>
    <w:rsid w:val="000D0AAB"/>
    <w:rsid w:val="000D154B"/>
    <w:rsid w:val="000D22B9"/>
    <w:rsid w:val="000D2A05"/>
    <w:rsid w:val="000D40AC"/>
    <w:rsid w:val="000D4CB5"/>
    <w:rsid w:val="000D4CD1"/>
    <w:rsid w:val="000D5C54"/>
    <w:rsid w:val="000D5CBC"/>
    <w:rsid w:val="000D6702"/>
    <w:rsid w:val="000D6A68"/>
    <w:rsid w:val="000D6C70"/>
    <w:rsid w:val="000E01E5"/>
    <w:rsid w:val="000E11BC"/>
    <w:rsid w:val="000E12B4"/>
    <w:rsid w:val="000E162B"/>
    <w:rsid w:val="000E2A17"/>
    <w:rsid w:val="000E2F9D"/>
    <w:rsid w:val="000E68DD"/>
    <w:rsid w:val="000F2310"/>
    <w:rsid w:val="000F71AB"/>
    <w:rsid w:val="0010039E"/>
    <w:rsid w:val="001005A4"/>
    <w:rsid w:val="001016D7"/>
    <w:rsid w:val="0010242E"/>
    <w:rsid w:val="00102931"/>
    <w:rsid w:val="001035EE"/>
    <w:rsid w:val="00103EE4"/>
    <w:rsid w:val="00104461"/>
    <w:rsid w:val="00104D88"/>
    <w:rsid w:val="00104F53"/>
    <w:rsid w:val="0010518C"/>
    <w:rsid w:val="00106085"/>
    <w:rsid w:val="001061F9"/>
    <w:rsid w:val="00107064"/>
    <w:rsid w:val="00110546"/>
    <w:rsid w:val="00110D20"/>
    <w:rsid w:val="00110F78"/>
    <w:rsid w:val="001130CA"/>
    <w:rsid w:val="001141BB"/>
    <w:rsid w:val="0011635D"/>
    <w:rsid w:val="00116C5A"/>
    <w:rsid w:val="00117932"/>
    <w:rsid w:val="00120B18"/>
    <w:rsid w:val="00121360"/>
    <w:rsid w:val="001215B6"/>
    <w:rsid w:val="00123BE1"/>
    <w:rsid w:val="001252E7"/>
    <w:rsid w:val="00125D8A"/>
    <w:rsid w:val="00132C65"/>
    <w:rsid w:val="00132D6F"/>
    <w:rsid w:val="0013347B"/>
    <w:rsid w:val="001334DA"/>
    <w:rsid w:val="001345F8"/>
    <w:rsid w:val="00135165"/>
    <w:rsid w:val="00135765"/>
    <w:rsid w:val="00136146"/>
    <w:rsid w:val="001371B8"/>
    <w:rsid w:val="00140D25"/>
    <w:rsid w:val="00141E0E"/>
    <w:rsid w:val="001438C4"/>
    <w:rsid w:val="001459E4"/>
    <w:rsid w:val="0014668F"/>
    <w:rsid w:val="00147248"/>
    <w:rsid w:val="00147A95"/>
    <w:rsid w:val="0015089D"/>
    <w:rsid w:val="00150909"/>
    <w:rsid w:val="00151133"/>
    <w:rsid w:val="00152DD3"/>
    <w:rsid w:val="001546F9"/>
    <w:rsid w:val="00154C67"/>
    <w:rsid w:val="001565D9"/>
    <w:rsid w:val="00156770"/>
    <w:rsid w:val="00156DD3"/>
    <w:rsid w:val="001572A1"/>
    <w:rsid w:val="001574A1"/>
    <w:rsid w:val="00157F1F"/>
    <w:rsid w:val="00160C77"/>
    <w:rsid w:val="00160D2B"/>
    <w:rsid w:val="001612A1"/>
    <w:rsid w:val="00163272"/>
    <w:rsid w:val="001644AF"/>
    <w:rsid w:val="00165783"/>
    <w:rsid w:val="00165C29"/>
    <w:rsid w:val="00166932"/>
    <w:rsid w:val="00170F0A"/>
    <w:rsid w:val="00171473"/>
    <w:rsid w:val="00171F42"/>
    <w:rsid w:val="00172105"/>
    <w:rsid w:val="00173B4E"/>
    <w:rsid w:val="0017644F"/>
    <w:rsid w:val="001764B0"/>
    <w:rsid w:val="00177496"/>
    <w:rsid w:val="001778F2"/>
    <w:rsid w:val="001779B8"/>
    <w:rsid w:val="0018057F"/>
    <w:rsid w:val="00180B49"/>
    <w:rsid w:val="0018217A"/>
    <w:rsid w:val="001823B0"/>
    <w:rsid w:val="001827FC"/>
    <w:rsid w:val="0018398D"/>
    <w:rsid w:val="00184B5B"/>
    <w:rsid w:val="00185A80"/>
    <w:rsid w:val="00187126"/>
    <w:rsid w:val="0019003E"/>
    <w:rsid w:val="001907B8"/>
    <w:rsid w:val="00190888"/>
    <w:rsid w:val="00190948"/>
    <w:rsid w:val="00190C00"/>
    <w:rsid w:val="0019164C"/>
    <w:rsid w:val="0019360D"/>
    <w:rsid w:val="00194BDB"/>
    <w:rsid w:val="00196AD4"/>
    <w:rsid w:val="00196DE4"/>
    <w:rsid w:val="00197044"/>
    <w:rsid w:val="001A023E"/>
    <w:rsid w:val="001A1CB5"/>
    <w:rsid w:val="001A2461"/>
    <w:rsid w:val="001A2998"/>
    <w:rsid w:val="001A5222"/>
    <w:rsid w:val="001A5443"/>
    <w:rsid w:val="001A6A22"/>
    <w:rsid w:val="001A6E15"/>
    <w:rsid w:val="001A77BA"/>
    <w:rsid w:val="001A7B08"/>
    <w:rsid w:val="001B0C6E"/>
    <w:rsid w:val="001B26AD"/>
    <w:rsid w:val="001B3D4E"/>
    <w:rsid w:val="001B4FE3"/>
    <w:rsid w:val="001B5489"/>
    <w:rsid w:val="001B58DC"/>
    <w:rsid w:val="001B5F28"/>
    <w:rsid w:val="001C25E8"/>
    <w:rsid w:val="001C2AAB"/>
    <w:rsid w:val="001C358B"/>
    <w:rsid w:val="001C3B22"/>
    <w:rsid w:val="001C6928"/>
    <w:rsid w:val="001C70F3"/>
    <w:rsid w:val="001C77EE"/>
    <w:rsid w:val="001D09B8"/>
    <w:rsid w:val="001D0CD0"/>
    <w:rsid w:val="001D37B1"/>
    <w:rsid w:val="001D4531"/>
    <w:rsid w:val="001D48E3"/>
    <w:rsid w:val="001D6282"/>
    <w:rsid w:val="001D74C5"/>
    <w:rsid w:val="001D7ACE"/>
    <w:rsid w:val="001E0DC6"/>
    <w:rsid w:val="001E1B2F"/>
    <w:rsid w:val="001E2479"/>
    <w:rsid w:val="001E2EEC"/>
    <w:rsid w:val="001E3842"/>
    <w:rsid w:val="001E3966"/>
    <w:rsid w:val="001E544A"/>
    <w:rsid w:val="001E59D0"/>
    <w:rsid w:val="001E72F2"/>
    <w:rsid w:val="001E751B"/>
    <w:rsid w:val="001E7BF8"/>
    <w:rsid w:val="001F2F53"/>
    <w:rsid w:val="001F307F"/>
    <w:rsid w:val="001F37E1"/>
    <w:rsid w:val="001F4C05"/>
    <w:rsid w:val="001F542F"/>
    <w:rsid w:val="001F568E"/>
    <w:rsid w:val="001F59F5"/>
    <w:rsid w:val="001F5B3C"/>
    <w:rsid w:val="001F5F35"/>
    <w:rsid w:val="001F6065"/>
    <w:rsid w:val="001F6A59"/>
    <w:rsid w:val="0020006D"/>
    <w:rsid w:val="00200472"/>
    <w:rsid w:val="00200C75"/>
    <w:rsid w:val="00201BC0"/>
    <w:rsid w:val="00201C65"/>
    <w:rsid w:val="002029B5"/>
    <w:rsid w:val="002031B1"/>
    <w:rsid w:val="0020355C"/>
    <w:rsid w:val="002071F1"/>
    <w:rsid w:val="002074A2"/>
    <w:rsid w:val="002112B5"/>
    <w:rsid w:val="0021718E"/>
    <w:rsid w:val="00217AA5"/>
    <w:rsid w:val="002202AC"/>
    <w:rsid w:val="002202AF"/>
    <w:rsid w:val="002210E1"/>
    <w:rsid w:val="002230B7"/>
    <w:rsid w:val="002235E0"/>
    <w:rsid w:val="00224B2D"/>
    <w:rsid w:val="002267B6"/>
    <w:rsid w:val="00227CAE"/>
    <w:rsid w:val="0023057A"/>
    <w:rsid w:val="00231BC1"/>
    <w:rsid w:val="00231D4A"/>
    <w:rsid w:val="00231D7E"/>
    <w:rsid w:val="002320AE"/>
    <w:rsid w:val="00232C9A"/>
    <w:rsid w:val="00234C67"/>
    <w:rsid w:val="00237D3B"/>
    <w:rsid w:val="00241AF2"/>
    <w:rsid w:val="00242714"/>
    <w:rsid w:val="00243314"/>
    <w:rsid w:val="00244C31"/>
    <w:rsid w:val="0024510E"/>
    <w:rsid w:val="00245533"/>
    <w:rsid w:val="00246620"/>
    <w:rsid w:val="00246A20"/>
    <w:rsid w:val="00247584"/>
    <w:rsid w:val="00250E46"/>
    <w:rsid w:val="00250E88"/>
    <w:rsid w:val="00251D1B"/>
    <w:rsid w:val="00252509"/>
    <w:rsid w:val="00252A58"/>
    <w:rsid w:val="00252BA2"/>
    <w:rsid w:val="00253226"/>
    <w:rsid w:val="00253754"/>
    <w:rsid w:val="00254B62"/>
    <w:rsid w:val="0025537D"/>
    <w:rsid w:val="002559EF"/>
    <w:rsid w:val="00256C49"/>
    <w:rsid w:val="00260611"/>
    <w:rsid w:val="00261052"/>
    <w:rsid w:val="002612A5"/>
    <w:rsid w:val="00263A1B"/>
    <w:rsid w:val="00264D10"/>
    <w:rsid w:val="00266258"/>
    <w:rsid w:val="0026763C"/>
    <w:rsid w:val="0026767E"/>
    <w:rsid w:val="002678BC"/>
    <w:rsid w:val="00270708"/>
    <w:rsid w:val="0027070D"/>
    <w:rsid w:val="0027073D"/>
    <w:rsid w:val="002711A8"/>
    <w:rsid w:val="00271C94"/>
    <w:rsid w:val="00273426"/>
    <w:rsid w:val="00274DA1"/>
    <w:rsid w:val="002757B9"/>
    <w:rsid w:val="00280250"/>
    <w:rsid w:val="00280B96"/>
    <w:rsid w:val="00282D05"/>
    <w:rsid w:val="00283203"/>
    <w:rsid w:val="00283256"/>
    <w:rsid w:val="0028459F"/>
    <w:rsid w:val="00285225"/>
    <w:rsid w:val="00285B91"/>
    <w:rsid w:val="00286DE8"/>
    <w:rsid w:val="0028756A"/>
    <w:rsid w:val="00287B5E"/>
    <w:rsid w:val="0029117A"/>
    <w:rsid w:val="00291B78"/>
    <w:rsid w:val="0029605D"/>
    <w:rsid w:val="002960FF"/>
    <w:rsid w:val="00296328"/>
    <w:rsid w:val="00296943"/>
    <w:rsid w:val="00296C52"/>
    <w:rsid w:val="00296ED0"/>
    <w:rsid w:val="002975B5"/>
    <w:rsid w:val="002A0D41"/>
    <w:rsid w:val="002A0FA6"/>
    <w:rsid w:val="002A4BE7"/>
    <w:rsid w:val="002B013B"/>
    <w:rsid w:val="002B0F93"/>
    <w:rsid w:val="002B1D0B"/>
    <w:rsid w:val="002B2193"/>
    <w:rsid w:val="002B2851"/>
    <w:rsid w:val="002B3548"/>
    <w:rsid w:val="002B386F"/>
    <w:rsid w:val="002B38E4"/>
    <w:rsid w:val="002B4788"/>
    <w:rsid w:val="002B589F"/>
    <w:rsid w:val="002B5B7F"/>
    <w:rsid w:val="002B623C"/>
    <w:rsid w:val="002B669F"/>
    <w:rsid w:val="002B71E0"/>
    <w:rsid w:val="002B79AC"/>
    <w:rsid w:val="002C0306"/>
    <w:rsid w:val="002C0FD8"/>
    <w:rsid w:val="002C1ABA"/>
    <w:rsid w:val="002C3691"/>
    <w:rsid w:val="002C3B8E"/>
    <w:rsid w:val="002C3C22"/>
    <w:rsid w:val="002C40C6"/>
    <w:rsid w:val="002C50B9"/>
    <w:rsid w:val="002C5B1C"/>
    <w:rsid w:val="002C5B73"/>
    <w:rsid w:val="002C612C"/>
    <w:rsid w:val="002C64ED"/>
    <w:rsid w:val="002C66F2"/>
    <w:rsid w:val="002D09AE"/>
    <w:rsid w:val="002D0B3C"/>
    <w:rsid w:val="002D1381"/>
    <w:rsid w:val="002D3C9E"/>
    <w:rsid w:val="002D4736"/>
    <w:rsid w:val="002D4D7B"/>
    <w:rsid w:val="002D51B8"/>
    <w:rsid w:val="002D5AEB"/>
    <w:rsid w:val="002D690C"/>
    <w:rsid w:val="002D7808"/>
    <w:rsid w:val="002E0C55"/>
    <w:rsid w:val="002E2565"/>
    <w:rsid w:val="002E45B6"/>
    <w:rsid w:val="002E64A6"/>
    <w:rsid w:val="002E6E96"/>
    <w:rsid w:val="002E718D"/>
    <w:rsid w:val="002E75DA"/>
    <w:rsid w:val="002F0049"/>
    <w:rsid w:val="002F02AF"/>
    <w:rsid w:val="002F0CC7"/>
    <w:rsid w:val="002F0DBD"/>
    <w:rsid w:val="002F1C7F"/>
    <w:rsid w:val="002F20C6"/>
    <w:rsid w:val="002F26BF"/>
    <w:rsid w:val="002F480D"/>
    <w:rsid w:val="002F515A"/>
    <w:rsid w:val="002F586A"/>
    <w:rsid w:val="002F7D24"/>
    <w:rsid w:val="00300DBD"/>
    <w:rsid w:val="003017A6"/>
    <w:rsid w:val="00302130"/>
    <w:rsid w:val="003023BB"/>
    <w:rsid w:val="003076FF"/>
    <w:rsid w:val="00310B8F"/>
    <w:rsid w:val="00310BCB"/>
    <w:rsid w:val="00310C4C"/>
    <w:rsid w:val="00313B89"/>
    <w:rsid w:val="003151D2"/>
    <w:rsid w:val="003157B6"/>
    <w:rsid w:val="00315CC9"/>
    <w:rsid w:val="003160CA"/>
    <w:rsid w:val="00317B9A"/>
    <w:rsid w:val="00317CB2"/>
    <w:rsid w:val="00321559"/>
    <w:rsid w:val="00322761"/>
    <w:rsid w:val="00322ACF"/>
    <w:rsid w:val="00322B37"/>
    <w:rsid w:val="00322C5A"/>
    <w:rsid w:val="00323407"/>
    <w:rsid w:val="00323657"/>
    <w:rsid w:val="00323A59"/>
    <w:rsid w:val="003248E7"/>
    <w:rsid w:val="00324C13"/>
    <w:rsid w:val="00325C2D"/>
    <w:rsid w:val="00325DF7"/>
    <w:rsid w:val="0032628D"/>
    <w:rsid w:val="00327CD7"/>
    <w:rsid w:val="0033029E"/>
    <w:rsid w:val="00330367"/>
    <w:rsid w:val="00331684"/>
    <w:rsid w:val="00331B96"/>
    <w:rsid w:val="00331E5E"/>
    <w:rsid w:val="00332E48"/>
    <w:rsid w:val="003334F1"/>
    <w:rsid w:val="00333DA1"/>
    <w:rsid w:val="00333E48"/>
    <w:rsid w:val="00334140"/>
    <w:rsid w:val="003345E5"/>
    <w:rsid w:val="00336A7B"/>
    <w:rsid w:val="00336B4D"/>
    <w:rsid w:val="00340385"/>
    <w:rsid w:val="003410CA"/>
    <w:rsid w:val="00341DA9"/>
    <w:rsid w:val="00342411"/>
    <w:rsid w:val="00342830"/>
    <w:rsid w:val="003432F2"/>
    <w:rsid w:val="003439C8"/>
    <w:rsid w:val="00343E25"/>
    <w:rsid w:val="003458BD"/>
    <w:rsid w:val="00346259"/>
    <w:rsid w:val="00350417"/>
    <w:rsid w:val="00350C25"/>
    <w:rsid w:val="0035225F"/>
    <w:rsid w:val="00353338"/>
    <w:rsid w:val="00353A3E"/>
    <w:rsid w:val="00354826"/>
    <w:rsid w:val="00354AAE"/>
    <w:rsid w:val="003560F2"/>
    <w:rsid w:val="00357BF1"/>
    <w:rsid w:val="00357C80"/>
    <w:rsid w:val="00360143"/>
    <w:rsid w:val="00361DAE"/>
    <w:rsid w:val="00361F51"/>
    <w:rsid w:val="0036224F"/>
    <w:rsid w:val="00365A79"/>
    <w:rsid w:val="00366544"/>
    <w:rsid w:val="003670E0"/>
    <w:rsid w:val="003671DF"/>
    <w:rsid w:val="003703B4"/>
    <w:rsid w:val="003706AA"/>
    <w:rsid w:val="00371A0E"/>
    <w:rsid w:val="0037311E"/>
    <w:rsid w:val="00374425"/>
    <w:rsid w:val="00374B6E"/>
    <w:rsid w:val="00380AB2"/>
    <w:rsid w:val="00380BE4"/>
    <w:rsid w:val="00381DB9"/>
    <w:rsid w:val="00382176"/>
    <w:rsid w:val="00382F20"/>
    <w:rsid w:val="0038320D"/>
    <w:rsid w:val="00386049"/>
    <w:rsid w:val="00387F68"/>
    <w:rsid w:val="00387FD4"/>
    <w:rsid w:val="003900F2"/>
    <w:rsid w:val="00390CC1"/>
    <w:rsid w:val="00390DAA"/>
    <w:rsid w:val="00390DEA"/>
    <w:rsid w:val="003933EB"/>
    <w:rsid w:val="003939CA"/>
    <w:rsid w:val="00394022"/>
    <w:rsid w:val="003942C8"/>
    <w:rsid w:val="003944E4"/>
    <w:rsid w:val="003947EA"/>
    <w:rsid w:val="0039493A"/>
    <w:rsid w:val="00394F8F"/>
    <w:rsid w:val="00396EC3"/>
    <w:rsid w:val="00397287"/>
    <w:rsid w:val="003A0229"/>
    <w:rsid w:val="003A0764"/>
    <w:rsid w:val="003A0CF5"/>
    <w:rsid w:val="003A0EAA"/>
    <w:rsid w:val="003A2857"/>
    <w:rsid w:val="003A3061"/>
    <w:rsid w:val="003A4164"/>
    <w:rsid w:val="003A6108"/>
    <w:rsid w:val="003A67BB"/>
    <w:rsid w:val="003A681D"/>
    <w:rsid w:val="003A7230"/>
    <w:rsid w:val="003A7D76"/>
    <w:rsid w:val="003B03B9"/>
    <w:rsid w:val="003B0FA4"/>
    <w:rsid w:val="003B1759"/>
    <w:rsid w:val="003B185D"/>
    <w:rsid w:val="003B2E53"/>
    <w:rsid w:val="003B3923"/>
    <w:rsid w:val="003B4A20"/>
    <w:rsid w:val="003B77ED"/>
    <w:rsid w:val="003C05B1"/>
    <w:rsid w:val="003C0835"/>
    <w:rsid w:val="003C0DFA"/>
    <w:rsid w:val="003C10DE"/>
    <w:rsid w:val="003C3BA5"/>
    <w:rsid w:val="003C548F"/>
    <w:rsid w:val="003C5C27"/>
    <w:rsid w:val="003C7539"/>
    <w:rsid w:val="003C7738"/>
    <w:rsid w:val="003D0520"/>
    <w:rsid w:val="003D0A43"/>
    <w:rsid w:val="003D1234"/>
    <w:rsid w:val="003D22BB"/>
    <w:rsid w:val="003D43A3"/>
    <w:rsid w:val="003D4EBD"/>
    <w:rsid w:val="003D5DB0"/>
    <w:rsid w:val="003D62FB"/>
    <w:rsid w:val="003D6897"/>
    <w:rsid w:val="003D70F2"/>
    <w:rsid w:val="003E0C89"/>
    <w:rsid w:val="003E11D2"/>
    <w:rsid w:val="003E202B"/>
    <w:rsid w:val="003E271C"/>
    <w:rsid w:val="003E296F"/>
    <w:rsid w:val="003E319B"/>
    <w:rsid w:val="003E3A11"/>
    <w:rsid w:val="003E3DFE"/>
    <w:rsid w:val="003E49ED"/>
    <w:rsid w:val="003E5469"/>
    <w:rsid w:val="003E5ACC"/>
    <w:rsid w:val="003E6175"/>
    <w:rsid w:val="003E6731"/>
    <w:rsid w:val="003E7525"/>
    <w:rsid w:val="003E7534"/>
    <w:rsid w:val="003E7767"/>
    <w:rsid w:val="003F1147"/>
    <w:rsid w:val="003F1884"/>
    <w:rsid w:val="003F1B9E"/>
    <w:rsid w:val="003F2C48"/>
    <w:rsid w:val="003F4744"/>
    <w:rsid w:val="003F5753"/>
    <w:rsid w:val="003F5A4D"/>
    <w:rsid w:val="003F6C0B"/>
    <w:rsid w:val="00401201"/>
    <w:rsid w:val="00401A28"/>
    <w:rsid w:val="00403F91"/>
    <w:rsid w:val="00405FC9"/>
    <w:rsid w:val="004060A7"/>
    <w:rsid w:val="0040648A"/>
    <w:rsid w:val="00406B46"/>
    <w:rsid w:val="00407098"/>
    <w:rsid w:val="00407426"/>
    <w:rsid w:val="004078F1"/>
    <w:rsid w:val="00407CEE"/>
    <w:rsid w:val="00410475"/>
    <w:rsid w:val="004105E5"/>
    <w:rsid w:val="00410A71"/>
    <w:rsid w:val="0041126F"/>
    <w:rsid w:val="004146FB"/>
    <w:rsid w:val="004147BA"/>
    <w:rsid w:val="00414FBC"/>
    <w:rsid w:val="00415027"/>
    <w:rsid w:val="0041645A"/>
    <w:rsid w:val="0041664E"/>
    <w:rsid w:val="00420CE2"/>
    <w:rsid w:val="0042187F"/>
    <w:rsid w:val="0042255A"/>
    <w:rsid w:val="004244B4"/>
    <w:rsid w:val="00426545"/>
    <w:rsid w:val="004271BC"/>
    <w:rsid w:val="00430B4D"/>
    <w:rsid w:val="00431AD2"/>
    <w:rsid w:val="00431BAD"/>
    <w:rsid w:val="00432596"/>
    <w:rsid w:val="00432F11"/>
    <w:rsid w:val="0043397F"/>
    <w:rsid w:val="00433E1D"/>
    <w:rsid w:val="004357F9"/>
    <w:rsid w:val="00437FAF"/>
    <w:rsid w:val="00441FB7"/>
    <w:rsid w:val="0044276D"/>
    <w:rsid w:val="00443053"/>
    <w:rsid w:val="00443AAE"/>
    <w:rsid w:val="004440BC"/>
    <w:rsid w:val="0044437E"/>
    <w:rsid w:val="004448A3"/>
    <w:rsid w:val="004449A6"/>
    <w:rsid w:val="004455FE"/>
    <w:rsid w:val="0044755A"/>
    <w:rsid w:val="004506D7"/>
    <w:rsid w:val="00450CAA"/>
    <w:rsid w:val="00450CF5"/>
    <w:rsid w:val="00450F0A"/>
    <w:rsid w:val="00451310"/>
    <w:rsid w:val="00453584"/>
    <w:rsid w:val="00453C81"/>
    <w:rsid w:val="0045569C"/>
    <w:rsid w:val="00456A54"/>
    <w:rsid w:val="004575ED"/>
    <w:rsid w:val="004601EE"/>
    <w:rsid w:val="00462C04"/>
    <w:rsid w:val="00465153"/>
    <w:rsid w:val="0046686F"/>
    <w:rsid w:val="00466E1C"/>
    <w:rsid w:val="0046795F"/>
    <w:rsid w:val="00471427"/>
    <w:rsid w:val="0047158C"/>
    <w:rsid w:val="004716F7"/>
    <w:rsid w:val="00471A14"/>
    <w:rsid w:val="00476F44"/>
    <w:rsid w:val="00483699"/>
    <w:rsid w:val="00483B9A"/>
    <w:rsid w:val="004847FE"/>
    <w:rsid w:val="00485522"/>
    <w:rsid w:val="004905A2"/>
    <w:rsid w:val="00490674"/>
    <w:rsid w:val="004911CC"/>
    <w:rsid w:val="00491D55"/>
    <w:rsid w:val="00492187"/>
    <w:rsid w:val="00494738"/>
    <w:rsid w:val="004948B0"/>
    <w:rsid w:val="004961FA"/>
    <w:rsid w:val="004969E1"/>
    <w:rsid w:val="004970E3"/>
    <w:rsid w:val="00497101"/>
    <w:rsid w:val="004A0CDB"/>
    <w:rsid w:val="004A2616"/>
    <w:rsid w:val="004A2D4C"/>
    <w:rsid w:val="004A3A19"/>
    <w:rsid w:val="004A4688"/>
    <w:rsid w:val="004A4F82"/>
    <w:rsid w:val="004A5645"/>
    <w:rsid w:val="004A6AC1"/>
    <w:rsid w:val="004A6F0A"/>
    <w:rsid w:val="004A7B66"/>
    <w:rsid w:val="004B0073"/>
    <w:rsid w:val="004B0368"/>
    <w:rsid w:val="004B08C6"/>
    <w:rsid w:val="004B28EB"/>
    <w:rsid w:val="004B2B65"/>
    <w:rsid w:val="004B318E"/>
    <w:rsid w:val="004B3754"/>
    <w:rsid w:val="004B5438"/>
    <w:rsid w:val="004B5F7E"/>
    <w:rsid w:val="004C02A6"/>
    <w:rsid w:val="004C0E46"/>
    <w:rsid w:val="004C1F7B"/>
    <w:rsid w:val="004C261D"/>
    <w:rsid w:val="004C44FD"/>
    <w:rsid w:val="004C6435"/>
    <w:rsid w:val="004C7335"/>
    <w:rsid w:val="004C7AD9"/>
    <w:rsid w:val="004C7D20"/>
    <w:rsid w:val="004D0145"/>
    <w:rsid w:val="004D042C"/>
    <w:rsid w:val="004D042F"/>
    <w:rsid w:val="004D0B3C"/>
    <w:rsid w:val="004D0FB1"/>
    <w:rsid w:val="004D2D11"/>
    <w:rsid w:val="004D4AF7"/>
    <w:rsid w:val="004D5409"/>
    <w:rsid w:val="004D6ACD"/>
    <w:rsid w:val="004D7FD3"/>
    <w:rsid w:val="004E0D3C"/>
    <w:rsid w:val="004E354A"/>
    <w:rsid w:val="004E3A21"/>
    <w:rsid w:val="004E3F79"/>
    <w:rsid w:val="004E43FD"/>
    <w:rsid w:val="004E4E6D"/>
    <w:rsid w:val="004E5389"/>
    <w:rsid w:val="004E5513"/>
    <w:rsid w:val="004E55BF"/>
    <w:rsid w:val="004E6FF2"/>
    <w:rsid w:val="004E7153"/>
    <w:rsid w:val="004F221A"/>
    <w:rsid w:val="004F36F4"/>
    <w:rsid w:val="004F3904"/>
    <w:rsid w:val="004F3A80"/>
    <w:rsid w:val="004F3EAD"/>
    <w:rsid w:val="004F404A"/>
    <w:rsid w:val="004F4343"/>
    <w:rsid w:val="004F5A4E"/>
    <w:rsid w:val="004F6209"/>
    <w:rsid w:val="00500A7B"/>
    <w:rsid w:val="00501ABD"/>
    <w:rsid w:val="00502678"/>
    <w:rsid w:val="00502A08"/>
    <w:rsid w:val="0050424D"/>
    <w:rsid w:val="00504420"/>
    <w:rsid w:val="00504C82"/>
    <w:rsid w:val="00506503"/>
    <w:rsid w:val="00507442"/>
    <w:rsid w:val="00507C92"/>
    <w:rsid w:val="00510261"/>
    <w:rsid w:val="0051123E"/>
    <w:rsid w:val="005120D7"/>
    <w:rsid w:val="00512D8F"/>
    <w:rsid w:val="0051534C"/>
    <w:rsid w:val="0051569A"/>
    <w:rsid w:val="00517457"/>
    <w:rsid w:val="005176E7"/>
    <w:rsid w:val="00517DE3"/>
    <w:rsid w:val="00521EE9"/>
    <w:rsid w:val="00522723"/>
    <w:rsid w:val="00524F6D"/>
    <w:rsid w:val="005253C9"/>
    <w:rsid w:val="00525DF8"/>
    <w:rsid w:val="00526168"/>
    <w:rsid w:val="005263C8"/>
    <w:rsid w:val="00530C70"/>
    <w:rsid w:val="005317B4"/>
    <w:rsid w:val="00531856"/>
    <w:rsid w:val="00531A37"/>
    <w:rsid w:val="0053276A"/>
    <w:rsid w:val="00532C11"/>
    <w:rsid w:val="00534CA4"/>
    <w:rsid w:val="00534E1E"/>
    <w:rsid w:val="005372D5"/>
    <w:rsid w:val="005409FA"/>
    <w:rsid w:val="00541052"/>
    <w:rsid w:val="00542155"/>
    <w:rsid w:val="00542BC6"/>
    <w:rsid w:val="005432DC"/>
    <w:rsid w:val="0054427A"/>
    <w:rsid w:val="00550F1B"/>
    <w:rsid w:val="00551005"/>
    <w:rsid w:val="005511D7"/>
    <w:rsid w:val="00551691"/>
    <w:rsid w:val="00551DC7"/>
    <w:rsid w:val="005544BD"/>
    <w:rsid w:val="00554B2C"/>
    <w:rsid w:val="005571DA"/>
    <w:rsid w:val="005577E3"/>
    <w:rsid w:val="00562F0D"/>
    <w:rsid w:val="005642C0"/>
    <w:rsid w:val="00564C79"/>
    <w:rsid w:val="0056609D"/>
    <w:rsid w:val="005664A3"/>
    <w:rsid w:val="0056656F"/>
    <w:rsid w:val="00566DF6"/>
    <w:rsid w:val="00566E1B"/>
    <w:rsid w:val="0057019F"/>
    <w:rsid w:val="005716BE"/>
    <w:rsid w:val="0057194F"/>
    <w:rsid w:val="00573AF3"/>
    <w:rsid w:val="00574729"/>
    <w:rsid w:val="00574AA4"/>
    <w:rsid w:val="0057505A"/>
    <w:rsid w:val="0057684E"/>
    <w:rsid w:val="00576A8B"/>
    <w:rsid w:val="00576CD3"/>
    <w:rsid w:val="005778BC"/>
    <w:rsid w:val="00580232"/>
    <w:rsid w:val="00580A32"/>
    <w:rsid w:val="005811EE"/>
    <w:rsid w:val="005815DF"/>
    <w:rsid w:val="00581648"/>
    <w:rsid w:val="00581748"/>
    <w:rsid w:val="00582E04"/>
    <w:rsid w:val="00584831"/>
    <w:rsid w:val="005863F9"/>
    <w:rsid w:val="00587B04"/>
    <w:rsid w:val="00587E63"/>
    <w:rsid w:val="005904B6"/>
    <w:rsid w:val="005905F8"/>
    <w:rsid w:val="005924B1"/>
    <w:rsid w:val="0059299B"/>
    <w:rsid w:val="005929D5"/>
    <w:rsid w:val="00592EDD"/>
    <w:rsid w:val="00593989"/>
    <w:rsid w:val="00593DDF"/>
    <w:rsid w:val="00594813"/>
    <w:rsid w:val="00594B71"/>
    <w:rsid w:val="005A1F3B"/>
    <w:rsid w:val="005A22A0"/>
    <w:rsid w:val="005A2C4B"/>
    <w:rsid w:val="005A3376"/>
    <w:rsid w:val="005A50C1"/>
    <w:rsid w:val="005A58B8"/>
    <w:rsid w:val="005A76FE"/>
    <w:rsid w:val="005B0318"/>
    <w:rsid w:val="005B0764"/>
    <w:rsid w:val="005B15AE"/>
    <w:rsid w:val="005B2B94"/>
    <w:rsid w:val="005B2D8F"/>
    <w:rsid w:val="005B32D9"/>
    <w:rsid w:val="005B381F"/>
    <w:rsid w:val="005B476D"/>
    <w:rsid w:val="005B47FD"/>
    <w:rsid w:val="005B4E97"/>
    <w:rsid w:val="005B54F1"/>
    <w:rsid w:val="005B5973"/>
    <w:rsid w:val="005B59F4"/>
    <w:rsid w:val="005B651A"/>
    <w:rsid w:val="005B656F"/>
    <w:rsid w:val="005B6704"/>
    <w:rsid w:val="005B72E8"/>
    <w:rsid w:val="005C158F"/>
    <w:rsid w:val="005C66BA"/>
    <w:rsid w:val="005C680E"/>
    <w:rsid w:val="005C68B5"/>
    <w:rsid w:val="005C690E"/>
    <w:rsid w:val="005C7824"/>
    <w:rsid w:val="005D03FA"/>
    <w:rsid w:val="005D08D3"/>
    <w:rsid w:val="005D0CE9"/>
    <w:rsid w:val="005D0E51"/>
    <w:rsid w:val="005D1281"/>
    <w:rsid w:val="005D12CE"/>
    <w:rsid w:val="005D31E1"/>
    <w:rsid w:val="005D37C5"/>
    <w:rsid w:val="005D5276"/>
    <w:rsid w:val="005D548B"/>
    <w:rsid w:val="005D6862"/>
    <w:rsid w:val="005D6FFC"/>
    <w:rsid w:val="005E0B65"/>
    <w:rsid w:val="005E0D86"/>
    <w:rsid w:val="005E1A59"/>
    <w:rsid w:val="005E2245"/>
    <w:rsid w:val="005E2D0F"/>
    <w:rsid w:val="005E3305"/>
    <w:rsid w:val="005E39C1"/>
    <w:rsid w:val="005E5270"/>
    <w:rsid w:val="005E5BAE"/>
    <w:rsid w:val="005E5DCC"/>
    <w:rsid w:val="005E6564"/>
    <w:rsid w:val="005E76E0"/>
    <w:rsid w:val="005F05F2"/>
    <w:rsid w:val="005F084F"/>
    <w:rsid w:val="005F0855"/>
    <w:rsid w:val="005F560B"/>
    <w:rsid w:val="005F5DAE"/>
    <w:rsid w:val="005F7CF0"/>
    <w:rsid w:val="0060287F"/>
    <w:rsid w:val="006033C0"/>
    <w:rsid w:val="00604479"/>
    <w:rsid w:val="00605346"/>
    <w:rsid w:val="00605558"/>
    <w:rsid w:val="00605A96"/>
    <w:rsid w:val="00606511"/>
    <w:rsid w:val="006067FA"/>
    <w:rsid w:val="00606ADD"/>
    <w:rsid w:val="00611042"/>
    <w:rsid w:val="006124E7"/>
    <w:rsid w:val="00612968"/>
    <w:rsid w:val="00613DED"/>
    <w:rsid w:val="00614C7D"/>
    <w:rsid w:val="00616AC8"/>
    <w:rsid w:val="0061718F"/>
    <w:rsid w:val="006177EB"/>
    <w:rsid w:val="006210ED"/>
    <w:rsid w:val="006213E8"/>
    <w:rsid w:val="00621ED3"/>
    <w:rsid w:val="00622190"/>
    <w:rsid w:val="006229BD"/>
    <w:rsid w:val="006245A0"/>
    <w:rsid w:val="00624B5A"/>
    <w:rsid w:val="00624DAE"/>
    <w:rsid w:val="00626699"/>
    <w:rsid w:val="0062734C"/>
    <w:rsid w:val="00627D07"/>
    <w:rsid w:val="00630B7E"/>
    <w:rsid w:val="006311C6"/>
    <w:rsid w:val="006334F1"/>
    <w:rsid w:val="00633F27"/>
    <w:rsid w:val="006341F2"/>
    <w:rsid w:val="00635230"/>
    <w:rsid w:val="00635927"/>
    <w:rsid w:val="006365BA"/>
    <w:rsid w:val="0063752E"/>
    <w:rsid w:val="00637FEE"/>
    <w:rsid w:val="0064086D"/>
    <w:rsid w:val="00640CDF"/>
    <w:rsid w:val="00641CD3"/>
    <w:rsid w:val="00643B7D"/>
    <w:rsid w:val="00643FA8"/>
    <w:rsid w:val="00645D13"/>
    <w:rsid w:val="00646748"/>
    <w:rsid w:val="00647447"/>
    <w:rsid w:val="00647B3A"/>
    <w:rsid w:val="00647F77"/>
    <w:rsid w:val="00651259"/>
    <w:rsid w:val="0065135C"/>
    <w:rsid w:val="00651B02"/>
    <w:rsid w:val="006521A6"/>
    <w:rsid w:val="0065297C"/>
    <w:rsid w:val="00653302"/>
    <w:rsid w:val="00653BB8"/>
    <w:rsid w:val="006545C6"/>
    <w:rsid w:val="00654DEC"/>
    <w:rsid w:val="00656B47"/>
    <w:rsid w:val="00656DDF"/>
    <w:rsid w:val="00657D52"/>
    <w:rsid w:val="0066140D"/>
    <w:rsid w:val="00661BE5"/>
    <w:rsid w:val="00661F8E"/>
    <w:rsid w:val="006624D7"/>
    <w:rsid w:val="00662BAE"/>
    <w:rsid w:val="0066438A"/>
    <w:rsid w:val="00665178"/>
    <w:rsid w:val="00665B83"/>
    <w:rsid w:val="006673FE"/>
    <w:rsid w:val="0067177B"/>
    <w:rsid w:val="00671DD4"/>
    <w:rsid w:val="00672FBA"/>
    <w:rsid w:val="00673D3C"/>
    <w:rsid w:val="006748E1"/>
    <w:rsid w:val="00674970"/>
    <w:rsid w:val="006754B7"/>
    <w:rsid w:val="00675EA0"/>
    <w:rsid w:val="00676780"/>
    <w:rsid w:val="006769FD"/>
    <w:rsid w:val="0067721E"/>
    <w:rsid w:val="00677B94"/>
    <w:rsid w:val="0068135F"/>
    <w:rsid w:val="00681B75"/>
    <w:rsid w:val="00683023"/>
    <w:rsid w:val="0068764D"/>
    <w:rsid w:val="00691DB9"/>
    <w:rsid w:val="006930A4"/>
    <w:rsid w:val="0069327C"/>
    <w:rsid w:val="006937CD"/>
    <w:rsid w:val="0069398C"/>
    <w:rsid w:val="00696E96"/>
    <w:rsid w:val="006971C1"/>
    <w:rsid w:val="006974D7"/>
    <w:rsid w:val="006A045C"/>
    <w:rsid w:val="006A05A7"/>
    <w:rsid w:val="006A167C"/>
    <w:rsid w:val="006A1801"/>
    <w:rsid w:val="006A255C"/>
    <w:rsid w:val="006A34ED"/>
    <w:rsid w:val="006A381D"/>
    <w:rsid w:val="006A3A07"/>
    <w:rsid w:val="006A3C33"/>
    <w:rsid w:val="006A700E"/>
    <w:rsid w:val="006A73A1"/>
    <w:rsid w:val="006A742F"/>
    <w:rsid w:val="006B0E4B"/>
    <w:rsid w:val="006B118C"/>
    <w:rsid w:val="006B21A6"/>
    <w:rsid w:val="006B3723"/>
    <w:rsid w:val="006B637A"/>
    <w:rsid w:val="006B6664"/>
    <w:rsid w:val="006B6B01"/>
    <w:rsid w:val="006B6FE4"/>
    <w:rsid w:val="006B7C80"/>
    <w:rsid w:val="006C0DA0"/>
    <w:rsid w:val="006C24F5"/>
    <w:rsid w:val="006C2AD0"/>
    <w:rsid w:val="006C2F34"/>
    <w:rsid w:val="006C46CA"/>
    <w:rsid w:val="006C59A2"/>
    <w:rsid w:val="006C62D6"/>
    <w:rsid w:val="006D02F7"/>
    <w:rsid w:val="006D20B7"/>
    <w:rsid w:val="006D21A1"/>
    <w:rsid w:val="006D255A"/>
    <w:rsid w:val="006D2C36"/>
    <w:rsid w:val="006D4420"/>
    <w:rsid w:val="006D457F"/>
    <w:rsid w:val="006D607C"/>
    <w:rsid w:val="006D71A9"/>
    <w:rsid w:val="006D74F8"/>
    <w:rsid w:val="006E0E78"/>
    <w:rsid w:val="006E1037"/>
    <w:rsid w:val="006E18ED"/>
    <w:rsid w:val="006E1C04"/>
    <w:rsid w:val="006E4D38"/>
    <w:rsid w:val="006E54D7"/>
    <w:rsid w:val="006E577F"/>
    <w:rsid w:val="006E5CF2"/>
    <w:rsid w:val="006E78A2"/>
    <w:rsid w:val="006F1614"/>
    <w:rsid w:val="006F2A8B"/>
    <w:rsid w:val="006F471B"/>
    <w:rsid w:val="006F5795"/>
    <w:rsid w:val="006F5959"/>
    <w:rsid w:val="006F7DDD"/>
    <w:rsid w:val="006F7F18"/>
    <w:rsid w:val="007012D8"/>
    <w:rsid w:val="007013A0"/>
    <w:rsid w:val="0070393F"/>
    <w:rsid w:val="00703D0E"/>
    <w:rsid w:val="00705D5F"/>
    <w:rsid w:val="007079E7"/>
    <w:rsid w:val="00707A64"/>
    <w:rsid w:val="00707E8C"/>
    <w:rsid w:val="00714912"/>
    <w:rsid w:val="007152F1"/>
    <w:rsid w:val="00715503"/>
    <w:rsid w:val="007160E6"/>
    <w:rsid w:val="00716C74"/>
    <w:rsid w:val="00717240"/>
    <w:rsid w:val="0071793A"/>
    <w:rsid w:val="00721200"/>
    <w:rsid w:val="0072178D"/>
    <w:rsid w:val="00722A10"/>
    <w:rsid w:val="0072307A"/>
    <w:rsid w:val="00724AC3"/>
    <w:rsid w:val="0072534D"/>
    <w:rsid w:val="00726394"/>
    <w:rsid w:val="007277B4"/>
    <w:rsid w:val="00727A2A"/>
    <w:rsid w:val="00727A32"/>
    <w:rsid w:val="007319C9"/>
    <w:rsid w:val="00734691"/>
    <w:rsid w:val="00734B2A"/>
    <w:rsid w:val="0073793E"/>
    <w:rsid w:val="00740E53"/>
    <w:rsid w:val="00741470"/>
    <w:rsid w:val="00742008"/>
    <w:rsid w:val="007421C0"/>
    <w:rsid w:val="007430C0"/>
    <w:rsid w:val="007445E7"/>
    <w:rsid w:val="0074487E"/>
    <w:rsid w:val="007448EC"/>
    <w:rsid w:val="00744AFA"/>
    <w:rsid w:val="00745A85"/>
    <w:rsid w:val="00746353"/>
    <w:rsid w:val="00747F15"/>
    <w:rsid w:val="0075152E"/>
    <w:rsid w:val="00751A6E"/>
    <w:rsid w:val="00752882"/>
    <w:rsid w:val="00752BC1"/>
    <w:rsid w:val="00752C63"/>
    <w:rsid w:val="0075492F"/>
    <w:rsid w:val="00754BD8"/>
    <w:rsid w:val="00754DCB"/>
    <w:rsid w:val="00755031"/>
    <w:rsid w:val="0075545A"/>
    <w:rsid w:val="00756309"/>
    <w:rsid w:val="007572A1"/>
    <w:rsid w:val="007572E0"/>
    <w:rsid w:val="00761FB7"/>
    <w:rsid w:val="0076412E"/>
    <w:rsid w:val="00764A3B"/>
    <w:rsid w:val="00764C8F"/>
    <w:rsid w:val="00764FA2"/>
    <w:rsid w:val="00765F71"/>
    <w:rsid w:val="00765F96"/>
    <w:rsid w:val="00766D76"/>
    <w:rsid w:val="00766E1D"/>
    <w:rsid w:val="00767883"/>
    <w:rsid w:val="007726BF"/>
    <w:rsid w:val="007726CB"/>
    <w:rsid w:val="00772933"/>
    <w:rsid w:val="00772982"/>
    <w:rsid w:val="00773A6E"/>
    <w:rsid w:val="00773DF4"/>
    <w:rsid w:val="00774979"/>
    <w:rsid w:val="00774C9B"/>
    <w:rsid w:val="00777057"/>
    <w:rsid w:val="00780398"/>
    <w:rsid w:val="0078049E"/>
    <w:rsid w:val="007812ED"/>
    <w:rsid w:val="00781FEA"/>
    <w:rsid w:val="0078447D"/>
    <w:rsid w:val="007862EF"/>
    <w:rsid w:val="00790ABD"/>
    <w:rsid w:val="00791151"/>
    <w:rsid w:val="00791241"/>
    <w:rsid w:val="00791E1C"/>
    <w:rsid w:val="0079254F"/>
    <w:rsid w:val="0079273F"/>
    <w:rsid w:val="00795BC1"/>
    <w:rsid w:val="00796711"/>
    <w:rsid w:val="007A3368"/>
    <w:rsid w:val="007A486B"/>
    <w:rsid w:val="007A68A5"/>
    <w:rsid w:val="007A6D17"/>
    <w:rsid w:val="007B1760"/>
    <w:rsid w:val="007B271B"/>
    <w:rsid w:val="007B2C96"/>
    <w:rsid w:val="007B64DF"/>
    <w:rsid w:val="007B6B0E"/>
    <w:rsid w:val="007B75EA"/>
    <w:rsid w:val="007B7E18"/>
    <w:rsid w:val="007C0BA3"/>
    <w:rsid w:val="007C14A1"/>
    <w:rsid w:val="007C18FD"/>
    <w:rsid w:val="007C28FC"/>
    <w:rsid w:val="007C2ACF"/>
    <w:rsid w:val="007C4A63"/>
    <w:rsid w:val="007C5271"/>
    <w:rsid w:val="007C5A1D"/>
    <w:rsid w:val="007C72D5"/>
    <w:rsid w:val="007D1298"/>
    <w:rsid w:val="007D20EA"/>
    <w:rsid w:val="007D21C3"/>
    <w:rsid w:val="007D2687"/>
    <w:rsid w:val="007D2862"/>
    <w:rsid w:val="007D59B8"/>
    <w:rsid w:val="007D5CF9"/>
    <w:rsid w:val="007D6CC9"/>
    <w:rsid w:val="007D7276"/>
    <w:rsid w:val="007D79D5"/>
    <w:rsid w:val="007E05A4"/>
    <w:rsid w:val="007E60D7"/>
    <w:rsid w:val="007F14A4"/>
    <w:rsid w:val="007F2024"/>
    <w:rsid w:val="007F3D1E"/>
    <w:rsid w:val="007F51C2"/>
    <w:rsid w:val="007F57DB"/>
    <w:rsid w:val="007F59C2"/>
    <w:rsid w:val="007F5F67"/>
    <w:rsid w:val="007F67AB"/>
    <w:rsid w:val="007F6E9E"/>
    <w:rsid w:val="00800DCD"/>
    <w:rsid w:val="0080157E"/>
    <w:rsid w:val="0080233A"/>
    <w:rsid w:val="00805218"/>
    <w:rsid w:val="00805C6B"/>
    <w:rsid w:val="00806049"/>
    <w:rsid w:val="0080669D"/>
    <w:rsid w:val="00810416"/>
    <w:rsid w:val="00810709"/>
    <w:rsid w:val="00813102"/>
    <w:rsid w:val="00813511"/>
    <w:rsid w:val="0081353C"/>
    <w:rsid w:val="008138D3"/>
    <w:rsid w:val="00814A60"/>
    <w:rsid w:val="00814A98"/>
    <w:rsid w:val="008153D8"/>
    <w:rsid w:val="008153E8"/>
    <w:rsid w:val="00816C8B"/>
    <w:rsid w:val="008171E7"/>
    <w:rsid w:val="008174FA"/>
    <w:rsid w:val="008179C6"/>
    <w:rsid w:val="0082031D"/>
    <w:rsid w:val="008228DB"/>
    <w:rsid w:val="00823723"/>
    <w:rsid w:val="00823BE1"/>
    <w:rsid w:val="00825C51"/>
    <w:rsid w:val="00825D8E"/>
    <w:rsid w:val="00830410"/>
    <w:rsid w:val="008325DC"/>
    <w:rsid w:val="00832989"/>
    <w:rsid w:val="00832B3F"/>
    <w:rsid w:val="00832EEC"/>
    <w:rsid w:val="008339F7"/>
    <w:rsid w:val="00834B52"/>
    <w:rsid w:val="00834CB9"/>
    <w:rsid w:val="0083716F"/>
    <w:rsid w:val="00837749"/>
    <w:rsid w:val="0084055C"/>
    <w:rsid w:val="00840D7C"/>
    <w:rsid w:val="008415BC"/>
    <w:rsid w:val="008416B6"/>
    <w:rsid w:val="00841866"/>
    <w:rsid w:val="008420DF"/>
    <w:rsid w:val="008423D6"/>
    <w:rsid w:val="00843537"/>
    <w:rsid w:val="00843C2D"/>
    <w:rsid w:val="00843DA5"/>
    <w:rsid w:val="00845436"/>
    <w:rsid w:val="00846BD3"/>
    <w:rsid w:val="00846FF0"/>
    <w:rsid w:val="00852F77"/>
    <w:rsid w:val="008530DA"/>
    <w:rsid w:val="00853490"/>
    <w:rsid w:val="00853DC4"/>
    <w:rsid w:val="008547BC"/>
    <w:rsid w:val="008550A3"/>
    <w:rsid w:val="00855572"/>
    <w:rsid w:val="00855CA2"/>
    <w:rsid w:val="0085603C"/>
    <w:rsid w:val="008570F3"/>
    <w:rsid w:val="00860139"/>
    <w:rsid w:val="00862338"/>
    <w:rsid w:val="008625BF"/>
    <w:rsid w:val="0086277E"/>
    <w:rsid w:val="0086320A"/>
    <w:rsid w:val="00863A5E"/>
    <w:rsid w:val="00864559"/>
    <w:rsid w:val="0086520F"/>
    <w:rsid w:val="00867C52"/>
    <w:rsid w:val="0087077E"/>
    <w:rsid w:val="008709AE"/>
    <w:rsid w:val="00870E9A"/>
    <w:rsid w:val="00872913"/>
    <w:rsid w:val="008761F6"/>
    <w:rsid w:val="0087669F"/>
    <w:rsid w:val="00876B44"/>
    <w:rsid w:val="00880586"/>
    <w:rsid w:val="00880A13"/>
    <w:rsid w:val="00881DFB"/>
    <w:rsid w:val="008823FD"/>
    <w:rsid w:val="008838BA"/>
    <w:rsid w:val="008838DD"/>
    <w:rsid w:val="00886130"/>
    <w:rsid w:val="00886796"/>
    <w:rsid w:val="00886AD7"/>
    <w:rsid w:val="00886EE0"/>
    <w:rsid w:val="00887DCC"/>
    <w:rsid w:val="00887F72"/>
    <w:rsid w:val="00890A0D"/>
    <w:rsid w:val="0089101F"/>
    <w:rsid w:val="00892881"/>
    <w:rsid w:val="00892A5B"/>
    <w:rsid w:val="00892ADB"/>
    <w:rsid w:val="00893045"/>
    <w:rsid w:val="00895B97"/>
    <w:rsid w:val="0089648B"/>
    <w:rsid w:val="008964C8"/>
    <w:rsid w:val="00896C10"/>
    <w:rsid w:val="00896D73"/>
    <w:rsid w:val="008979AD"/>
    <w:rsid w:val="00897A05"/>
    <w:rsid w:val="008A0D1B"/>
    <w:rsid w:val="008A45FF"/>
    <w:rsid w:val="008A5108"/>
    <w:rsid w:val="008A5165"/>
    <w:rsid w:val="008A6356"/>
    <w:rsid w:val="008A6787"/>
    <w:rsid w:val="008A6836"/>
    <w:rsid w:val="008A7591"/>
    <w:rsid w:val="008A7F0F"/>
    <w:rsid w:val="008B0003"/>
    <w:rsid w:val="008B042B"/>
    <w:rsid w:val="008B0D3E"/>
    <w:rsid w:val="008B1A42"/>
    <w:rsid w:val="008B2ADB"/>
    <w:rsid w:val="008B3018"/>
    <w:rsid w:val="008C0394"/>
    <w:rsid w:val="008C3B3D"/>
    <w:rsid w:val="008C48A3"/>
    <w:rsid w:val="008C51D8"/>
    <w:rsid w:val="008C5498"/>
    <w:rsid w:val="008C66C1"/>
    <w:rsid w:val="008C677D"/>
    <w:rsid w:val="008C7C3C"/>
    <w:rsid w:val="008D0139"/>
    <w:rsid w:val="008D49AB"/>
    <w:rsid w:val="008D4CFB"/>
    <w:rsid w:val="008D5737"/>
    <w:rsid w:val="008E0E05"/>
    <w:rsid w:val="008E2180"/>
    <w:rsid w:val="008E24D8"/>
    <w:rsid w:val="008E31FB"/>
    <w:rsid w:val="008E66A8"/>
    <w:rsid w:val="008E7E1F"/>
    <w:rsid w:val="008E7EFC"/>
    <w:rsid w:val="008F0BD0"/>
    <w:rsid w:val="008F0CD3"/>
    <w:rsid w:val="008F0CEA"/>
    <w:rsid w:val="008F17AC"/>
    <w:rsid w:val="008F1FE9"/>
    <w:rsid w:val="008F2318"/>
    <w:rsid w:val="008F2519"/>
    <w:rsid w:val="008F2A42"/>
    <w:rsid w:val="008F2FCC"/>
    <w:rsid w:val="008F371C"/>
    <w:rsid w:val="008F63DE"/>
    <w:rsid w:val="00900621"/>
    <w:rsid w:val="00900DA5"/>
    <w:rsid w:val="00901207"/>
    <w:rsid w:val="00901230"/>
    <w:rsid w:val="00901E79"/>
    <w:rsid w:val="009024E3"/>
    <w:rsid w:val="00902EB6"/>
    <w:rsid w:val="009036FA"/>
    <w:rsid w:val="00903730"/>
    <w:rsid w:val="00903CD8"/>
    <w:rsid w:val="009046B8"/>
    <w:rsid w:val="00904BC5"/>
    <w:rsid w:val="00904D79"/>
    <w:rsid w:val="00905EBB"/>
    <w:rsid w:val="009064CD"/>
    <w:rsid w:val="00907A40"/>
    <w:rsid w:val="00907CCC"/>
    <w:rsid w:val="00907EAA"/>
    <w:rsid w:val="0091259A"/>
    <w:rsid w:val="00912F63"/>
    <w:rsid w:val="0091375E"/>
    <w:rsid w:val="0091397E"/>
    <w:rsid w:val="00913CA4"/>
    <w:rsid w:val="00914FDA"/>
    <w:rsid w:val="00916D10"/>
    <w:rsid w:val="00916DFE"/>
    <w:rsid w:val="00916F32"/>
    <w:rsid w:val="009176F3"/>
    <w:rsid w:val="0092093B"/>
    <w:rsid w:val="00920F93"/>
    <w:rsid w:val="00921CC2"/>
    <w:rsid w:val="00922843"/>
    <w:rsid w:val="009228E8"/>
    <w:rsid w:val="009229EB"/>
    <w:rsid w:val="0092305B"/>
    <w:rsid w:val="0092370D"/>
    <w:rsid w:val="00925284"/>
    <w:rsid w:val="009259AB"/>
    <w:rsid w:val="00926303"/>
    <w:rsid w:val="009272B5"/>
    <w:rsid w:val="00927808"/>
    <w:rsid w:val="00931D47"/>
    <w:rsid w:val="0093249E"/>
    <w:rsid w:val="0093322F"/>
    <w:rsid w:val="0093425E"/>
    <w:rsid w:val="0093434F"/>
    <w:rsid w:val="00935C8B"/>
    <w:rsid w:val="009364D4"/>
    <w:rsid w:val="009409AF"/>
    <w:rsid w:val="00940A12"/>
    <w:rsid w:val="0094329A"/>
    <w:rsid w:val="00944561"/>
    <w:rsid w:val="00944C2A"/>
    <w:rsid w:val="00945890"/>
    <w:rsid w:val="009508B5"/>
    <w:rsid w:val="00950E0E"/>
    <w:rsid w:val="009519DA"/>
    <w:rsid w:val="00953188"/>
    <w:rsid w:val="00953263"/>
    <w:rsid w:val="0095516D"/>
    <w:rsid w:val="00956855"/>
    <w:rsid w:val="00956AC1"/>
    <w:rsid w:val="00956B6C"/>
    <w:rsid w:val="00960A70"/>
    <w:rsid w:val="0096307C"/>
    <w:rsid w:val="00963618"/>
    <w:rsid w:val="00966DCF"/>
    <w:rsid w:val="00967313"/>
    <w:rsid w:val="00967574"/>
    <w:rsid w:val="00970D4F"/>
    <w:rsid w:val="00972067"/>
    <w:rsid w:val="009728A5"/>
    <w:rsid w:val="00973199"/>
    <w:rsid w:val="009756AB"/>
    <w:rsid w:val="0097667B"/>
    <w:rsid w:val="00976CE8"/>
    <w:rsid w:val="00976DBE"/>
    <w:rsid w:val="00977B71"/>
    <w:rsid w:val="009803A8"/>
    <w:rsid w:val="009805EB"/>
    <w:rsid w:val="0098125C"/>
    <w:rsid w:val="009814AF"/>
    <w:rsid w:val="00983446"/>
    <w:rsid w:val="009847B3"/>
    <w:rsid w:val="0098581F"/>
    <w:rsid w:val="00985B9A"/>
    <w:rsid w:val="009861CD"/>
    <w:rsid w:val="009863AE"/>
    <w:rsid w:val="0098733B"/>
    <w:rsid w:val="00992DD3"/>
    <w:rsid w:val="0099480B"/>
    <w:rsid w:val="00994909"/>
    <w:rsid w:val="0099559D"/>
    <w:rsid w:val="00995669"/>
    <w:rsid w:val="00996515"/>
    <w:rsid w:val="00997D76"/>
    <w:rsid w:val="009A1621"/>
    <w:rsid w:val="009A222F"/>
    <w:rsid w:val="009A33E7"/>
    <w:rsid w:val="009A3D0B"/>
    <w:rsid w:val="009A48C5"/>
    <w:rsid w:val="009A4AB8"/>
    <w:rsid w:val="009A4AE2"/>
    <w:rsid w:val="009A50E4"/>
    <w:rsid w:val="009A603C"/>
    <w:rsid w:val="009A6BCB"/>
    <w:rsid w:val="009A7063"/>
    <w:rsid w:val="009B0193"/>
    <w:rsid w:val="009B15A6"/>
    <w:rsid w:val="009B3A60"/>
    <w:rsid w:val="009B3D57"/>
    <w:rsid w:val="009B4BE1"/>
    <w:rsid w:val="009B50E1"/>
    <w:rsid w:val="009B6641"/>
    <w:rsid w:val="009B75E4"/>
    <w:rsid w:val="009C1484"/>
    <w:rsid w:val="009C1ECA"/>
    <w:rsid w:val="009C1F31"/>
    <w:rsid w:val="009C4CD3"/>
    <w:rsid w:val="009C4ECA"/>
    <w:rsid w:val="009C6781"/>
    <w:rsid w:val="009C7CA5"/>
    <w:rsid w:val="009D03A0"/>
    <w:rsid w:val="009D0E6A"/>
    <w:rsid w:val="009D10E4"/>
    <w:rsid w:val="009D1715"/>
    <w:rsid w:val="009D1C1C"/>
    <w:rsid w:val="009D3F1F"/>
    <w:rsid w:val="009D4240"/>
    <w:rsid w:val="009D7B73"/>
    <w:rsid w:val="009E0DFF"/>
    <w:rsid w:val="009E1B87"/>
    <w:rsid w:val="009E21E1"/>
    <w:rsid w:val="009E2701"/>
    <w:rsid w:val="009E3AF2"/>
    <w:rsid w:val="009E3B66"/>
    <w:rsid w:val="009E41B1"/>
    <w:rsid w:val="009E453B"/>
    <w:rsid w:val="009E4EEB"/>
    <w:rsid w:val="009E5C80"/>
    <w:rsid w:val="009E601E"/>
    <w:rsid w:val="009E64D8"/>
    <w:rsid w:val="009E738D"/>
    <w:rsid w:val="009F0F93"/>
    <w:rsid w:val="009F13F8"/>
    <w:rsid w:val="009F2CBB"/>
    <w:rsid w:val="009F320E"/>
    <w:rsid w:val="009F35AE"/>
    <w:rsid w:val="009F39C5"/>
    <w:rsid w:val="009F42A7"/>
    <w:rsid w:val="009F44DC"/>
    <w:rsid w:val="009F4904"/>
    <w:rsid w:val="009F52F9"/>
    <w:rsid w:val="009F672E"/>
    <w:rsid w:val="009F75DC"/>
    <w:rsid w:val="009F7BAE"/>
    <w:rsid w:val="00A00929"/>
    <w:rsid w:val="00A0388E"/>
    <w:rsid w:val="00A04716"/>
    <w:rsid w:val="00A05214"/>
    <w:rsid w:val="00A058E3"/>
    <w:rsid w:val="00A06CC4"/>
    <w:rsid w:val="00A070EB"/>
    <w:rsid w:val="00A1045E"/>
    <w:rsid w:val="00A10F82"/>
    <w:rsid w:val="00A1143D"/>
    <w:rsid w:val="00A11D5A"/>
    <w:rsid w:val="00A12772"/>
    <w:rsid w:val="00A12C94"/>
    <w:rsid w:val="00A13466"/>
    <w:rsid w:val="00A138ED"/>
    <w:rsid w:val="00A15839"/>
    <w:rsid w:val="00A179B5"/>
    <w:rsid w:val="00A213E9"/>
    <w:rsid w:val="00A21D6D"/>
    <w:rsid w:val="00A2276B"/>
    <w:rsid w:val="00A236D0"/>
    <w:rsid w:val="00A23A74"/>
    <w:rsid w:val="00A2439F"/>
    <w:rsid w:val="00A24A25"/>
    <w:rsid w:val="00A258FA"/>
    <w:rsid w:val="00A26D36"/>
    <w:rsid w:val="00A305CB"/>
    <w:rsid w:val="00A3092F"/>
    <w:rsid w:val="00A30BEB"/>
    <w:rsid w:val="00A31531"/>
    <w:rsid w:val="00A3353B"/>
    <w:rsid w:val="00A33D0B"/>
    <w:rsid w:val="00A359CE"/>
    <w:rsid w:val="00A3600B"/>
    <w:rsid w:val="00A3688A"/>
    <w:rsid w:val="00A36AC8"/>
    <w:rsid w:val="00A375A0"/>
    <w:rsid w:val="00A37E45"/>
    <w:rsid w:val="00A404D4"/>
    <w:rsid w:val="00A413D1"/>
    <w:rsid w:val="00A41D48"/>
    <w:rsid w:val="00A43B5F"/>
    <w:rsid w:val="00A43E1A"/>
    <w:rsid w:val="00A43FAC"/>
    <w:rsid w:val="00A4450C"/>
    <w:rsid w:val="00A4451D"/>
    <w:rsid w:val="00A45DAB"/>
    <w:rsid w:val="00A45F96"/>
    <w:rsid w:val="00A46B9B"/>
    <w:rsid w:val="00A46E8F"/>
    <w:rsid w:val="00A47217"/>
    <w:rsid w:val="00A47348"/>
    <w:rsid w:val="00A4795B"/>
    <w:rsid w:val="00A50177"/>
    <w:rsid w:val="00A51C44"/>
    <w:rsid w:val="00A523A4"/>
    <w:rsid w:val="00A52883"/>
    <w:rsid w:val="00A52A75"/>
    <w:rsid w:val="00A52B71"/>
    <w:rsid w:val="00A52BDC"/>
    <w:rsid w:val="00A52F93"/>
    <w:rsid w:val="00A53EDB"/>
    <w:rsid w:val="00A54102"/>
    <w:rsid w:val="00A55CB0"/>
    <w:rsid w:val="00A5608A"/>
    <w:rsid w:val="00A566D4"/>
    <w:rsid w:val="00A57200"/>
    <w:rsid w:val="00A57F58"/>
    <w:rsid w:val="00A60C39"/>
    <w:rsid w:val="00A638D1"/>
    <w:rsid w:val="00A63D38"/>
    <w:rsid w:val="00A648DE"/>
    <w:rsid w:val="00A65602"/>
    <w:rsid w:val="00A657B6"/>
    <w:rsid w:val="00A65B0A"/>
    <w:rsid w:val="00A660EE"/>
    <w:rsid w:val="00A66FA5"/>
    <w:rsid w:val="00A70D65"/>
    <w:rsid w:val="00A70E75"/>
    <w:rsid w:val="00A7161B"/>
    <w:rsid w:val="00A716C7"/>
    <w:rsid w:val="00A72282"/>
    <w:rsid w:val="00A730E0"/>
    <w:rsid w:val="00A74B78"/>
    <w:rsid w:val="00A74BB0"/>
    <w:rsid w:val="00A75050"/>
    <w:rsid w:val="00A75716"/>
    <w:rsid w:val="00A758F4"/>
    <w:rsid w:val="00A76BEE"/>
    <w:rsid w:val="00A77BB6"/>
    <w:rsid w:val="00A821D3"/>
    <w:rsid w:val="00A82786"/>
    <w:rsid w:val="00A82F92"/>
    <w:rsid w:val="00A84DA5"/>
    <w:rsid w:val="00A84F1F"/>
    <w:rsid w:val="00A90688"/>
    <w:rsid w:val="00A91F07"/>
    <w:rsid w:val="00A92058"/>
    <w:rsid w:val="00A93C29"/>
    <w:rsid w:val="00A94668"/>
    <w:rsid w:val="00A94CA7"/>
    <w:rsid w:val="00AA1AE1"/>
    <w:rsid w:val="00AA5813"/>
    <w:rsid w:val="00AA5A9B"/>
    <w:rsid w:val="00AA7CCB"/>
    <w:rsid w:val="00AA7D20"/>
    <w:rsid w:val="00AA7FB3"/>
    <w:rsid w:val="00AB01D4"/>
    <w:rsid w:val="00AB07C2"/>
    <w:rsid w:val="00AB0B58"/>
    <w:rsid w:val="00AB3379"/>
    <w:rsid w:val="00AB3DB8"/>
    <w:rsid w:val="00AB4E14"/>
    <w:rsid w:val="00AB5306"/>
    <w:rsid w:val="00AB5B51"/>
    <w:rsid w:val="00AB5CAF"/>
    <w:rsid w:val="00AB6899"/>
    <w:rsid w:val="00AB705A"/>
    <w:rsid w:val="00AB7B60"/>
    <w:rsid w:val="00AC6121"/>
    <w:rsid w:val="00AC6137"/>
    <w:rsid w:val="00AC6D92"/>
    <w:rsid w:val="00AD11AB"/>
    <w:rsid w:val="00AD33D0"/>
    <w:rsid w:val="00AD5440"/>
    <w:rsid w:val="00AD6A2F"/>
    <w:rsid w:val="00AD7C2D"/>
    <w:rsid w:val="00AE0170"/>
    <w:rsid w:val="00AE15DB"/>
    <w:rsid w:val="00AE1B8B"/>
    <w:rsid w:val="00AE1D34"/>
    <w:rsid w:val="00AE33D0"/>
    <w:rsid w:val="00AE34B0"/>
    <w:rsid w:val="00AE36E5"/>
    <w:rsid w:val="00AE40BE"/>
    <w:rsid w:val="00AE4E9B"/>
    <w:rsid w:val="00AE60F1"/>
    <w:rsid w:val="00AE6215"/>
    <w:rsid w:val="00AF06D4"/>
    <w:rsid w:val="00AF0ED2"/>
    <w:rsid w:val="00AF1455"/>
    <w:rsid w:val="00AF15B2"/>
    <w:rsid w:val="00AF22DB"/>
    <w:rsid w:val="00AF2620"/>
    <w:rsid w:val="00AF2B46"/>
    <w:rsid w:val="00AF4319"/>
    <w:rsid w:val="00AF4701"/>
    <w:rsid w:val="00AF4D5B"/>
    <w:rsid w:val="00AF5019"/>
    <w:rsid w:val="00AF52F1"/>
    <w:rsid w:val="00AF5B80"/>
    <w:rsid w:val="00AF757A"/>
    <w:rsid w:val="00B0105B"/>
    <w:rsid w:val="00B01696"/>
    <w:rsid w:val="00B02EF3"/>
    <w:rsid w:val="00B042BC"/>
    <w:rsid w:val="00B04D05"/>
    <w:rsid w:val="00B05F1A"/>
    <w:rsid w:val="00B06E23"/>
    <w:rsid w:val="00B07AC6"/>
    <w:rsid w:val="00B104FA"/>
    <w:rsid w:val="00B10889"/>
    <w:rsid w:val="00B10C29"/>
    <w:rsid w:val="00B142FE"/>
    <w:rsid w:val="00B1594D"/>
    <w:rsid w:val="00B15A9D"/>
    <w:rsid w:val="00B16884"/>
    <w:rsid w:val="00B16EF9"/>
    <w:rsid w:val="00B1775C"/>
    <w:rsid w:val="00B20226"/>
    <w:rsid w:val="00B21CCB"/>
    <w:rsid w:val="00B23240"/>
    <w:rsid w:val="00B236BB"/>
    <w:rsid w:val="00B236C1"/>
    <w:rsid w:val="00B23C89"/>
    <w:rsid w:val="00B23CE3"/>
    <w:rsid w:val="00B2544E"/>
    <w:rsid w:val="00B26183"/>
    <w:rsid w:val="00B27102"/>
    <w:rsid w:val="00B30DEF"/>
    <w:rsid w:val="00B30E4C"/>
    <w:rsid w:val="00B32215"/>
    <w:rsid w:val="00B32CDF"/>
    <w:rsid w:val="00B33A12"/>
    <w:rsid w:val="00B35721"/>
    <w:rsid w:val="00B370DF"/>
    <w:rsid w:val="00B37A19"/>
    <w:rsid w:val="00B4144D"/>
    <w:rsid w:val="00B417CD"/>
    <w:rsid w:val="00B41AD6"/>
    <w:rsid w:val="00B4290D"/>
    <w:rsid w:val="00B42DBE"/>
    <w:rsid w:val="00B436A1"/>
    <w:rsid w:val="00B43B64"/>
    <w:rsid w:val="00B4446B"/>
    <w:rsid w:val="00B462F9"/>
    <w:rsid w:val="00B47E4D"/>
    <w:rsid w:val="00B512C7"/>
    <w:rsid w:val="00B51507"/>
    <w:rsid w:val="00B523FC"/>
    <w:rsid w:val="00B534D5"/>
    <w:rsid w:val="00B5737E"/>
    <w:rsid w:val="00B577CD"/>
    <w:rsid w:val="00B60357"/>
    <w:rsid w:val="00B61B9B"/>
    <w:rsid w:val="00B61D09"/>
    <w:rsid w:val="00B64D82"/>
    <w:rsid w:val="00B64F1B"/>
    <w:rsid w:val="00B667C4"/>
    <w:rsid w:val="00B667CB"/>
    <w:rsid w:val="00B66873"/>
    <w:rsid w:val="00B672AC"/>
    <w:rsid w:val="00B70ABC"/>
    <w:rsid w:val="00B739B9"/>
    <w:rsid w:val="00B73E0E"/>
    <w:rsid w:val="00B746BF"/>
    <w:rsid w:val="00B7538A"/>
    <w:rsid w:val="00B75E7D"/>
    <w:rsid w:val="00B764F4"/>
    <w:rsid w:val="00B77EA4"/>
    <w:rsid w:val="00B806F0"/>
    <w:rsid w:val="00B81639"/>
    <w:rsid w:val="00B81B20"/>
    <w:rsid w:val="00B83B99"/>
    <w:rsid w:val="00B83C03"/>
    <w:rsid w:val="00B84DE6"/>
    <w:rsid w:val="00B85106"/>
    <w:rsid w:val="00B87078"/>
    <w:rsid w:val="00B91055"/>
    <w:rsid w:val="00B92EFF"/>
    <w:rsid w:val="00B950E3"/>
    <w:rsid w:val="00B9617F"/>
    <w:rsid w:val="00BA2C09"/>
    <w:rsid w:val="00BA3549"/>
    <w:rsid w:val="00BA3685"/>
    <w:rsid w:val="00BA3946"/>
    <w:rsid w:val="00BA4C77"/>
    <w:rsid w:val="00BA506A"/>
    <w:rsid w:val="00BA58F7"/>
    <w:rsid w:val="00BA6EEF"/>
    <w:rsid w:val="00BB1285"/>
    <w:rsid w:val="00BB180E"/>
    <w:rsid w:val="00BB1D36"/>
    <w:rsid w:val="00BB3543"/>
    <w:rsid w:val="00BB5535"/>
    <w:rsid w:val="00BC03C6"/>
    <w:rsid w:val="00BC04D2"/>
    <w:rsid w:val="00BC0614"/>
    <w:rsid w:val="00BC0D41"/>
    <w:rsid w:val="00BC1C09"/>
    <w:rsid w:val="00BC1CCE"/>
    <w:rsid w:val="00BC20B7"/>
    <w:rsid w:val="00BC298D"/>
    <w:rsid w:val="00BC41FA"/>
    <w:rsid w:val="00BC6C9C"/>
    <w:rsid w:val="00BC72F0"/>
    <w:rsid w:val="00BD0B37"/>
    <w:rsid w:val="00BD184E"/>
    <w:rsid w:val="00BD2D97"/>
    <w:rsid w:val="00BD3F59"/>
    <w:rsid w:val="00BD4500"/>
    <w:rsid w:val="00BD4B7C"/>
    <w:rsid w:val="00BD4FD3"/>
    <w:rsid w:val="00BD64B5"/>
    <w:rsid w:val="00BD6C00"/>
    <w:rsid w:val="00BD6E96"/>
    <w:rsid w:val="00BD6ED5"/>
    <w:rsid w:val="00BD743C"/>
    <w:rsid w:val="00BD7F30"/>
    <w:rsid w:val="00BE01B3"/>
    <w:rsid w:val="00BE0278"/>
    <w:rsid w:val="00BE1E5A"/>
    <w:rsid w:val="00BE30B7"/>
    <w:rsid w:val="00BE40D2"/>
    <w:rsid w:val="00BE4C24"/>
    <w:rsid w:val="00BE5672"/>
    <w:rsid w:val="00BE6E38"/>
    <w:rsid w:val="00BE6F40"/>
    <w:rsid w:val="00BE7858"/>
    <w:rsid w:val="00BF0663"/>
    <w:rsid w:val="00BF0BC7"/>
    <w:rsid w:val="00BF2AC2"/>
    <w:rsid w:val="00BF442A"/>
    <w:rsid w:val="00BF4FAC"/>
    <w:rsid w:val="00BF642B"/>
    <w:rsid w:val="00C000C6"/>
    <w:rsid w:val="00C00614"/>
    <w:rsid w:val="00C00957"/>
    <w:rsid w:val="00C00D95"/>
    <w:rsid w:val="00C00DD8"/>
    <w:rsid w:val="00C01091"/>
    <w:rsid w:val="00C01535"/>
    <w:rsid w:val="00C019A1"/>
    <w:rsid w:val="00C0528D"/>
    <w:rsid w:val="00C07618"/>
    <w:rsid w:val="00C07BE6"/>
    <w:rsid w:val="00C10159"/>
    <w:rsid w:val="00C12636"/>
    <w:rsid w:val="00C154AA"/>
    <w:rsid w:val="00C15755"/>
    <w:rsid w:val="00C2035D"/>
    <w:rsid w:val="00C2049C"/>
    <w:rsid w:val="00C21A4C"/>
    <w:rsid w:val="00C227BB"/>
    <w:rsid w:val="00C22F88"/>
    <w:rsid w:val="00C23535"/>
    <w:rsid w:val="00C24111"/>
    <w:rsid w:val="00C241D6"/>
    <w:rsid w:val="00C2477F"/>
    <w:rsid w:val="00C24AF8"/>
    <w:rsid w:val="00C24EAE"/>
    <w:rsid w:val="00C263EE"/>
    <w:rsid w:val="00C26774"/>
    <w:rsid w:val="00C30C8B"/>
    <w:rsid w:val="00C31FAF"/>
    <w:rsid w:val="00C32532"/>
    <w:rsid w:val="00C33214"/>
    <w:rsid w:val="00C35590"/>
    <w:rsid w:val="00C35761"/>
    <w:rsid w:val="00C36326"/>
    <w:rsid w:val="00C363A4"/>
    <w:rsid w:val="00C36A50"/>
    <w:rsid w:val="00C375AC"/>
    <w:rsid w:val="00C37BBB"/>
    <w:rsid w:val="00C401DE"/>
    <w:rsid w:val="00C40440"/>
    <w:rsid w:val="00C40B6F"/>
    <w:rsid w:val="00C40CA2"/>
    <w:rsid w:val="00C40E67"/>
    <w:rsid w:val="00C41494"/>
    <w:rsid w:val="00C4272B"/>
    <w:rsid w:val="00C43B65"/>
    <w:rsid w:val="00C44F2B"/>
    <w:rsid w:val="00C4769A"/>
    <w:rsid w:val="00C513BA"/>
    <w:rsid w:val="00C51CF1"/>
    <w:rsid w:val="00C521D4"/>
    <w:rsid w:val="00C5269D"/>
    <w:rsid w:val="00C52A7F"/>
    <w:rsid w:val="00C52CF1"/>
    <w:rsid w:val="00C539C3"/>
    <w:rsid w:val="00C53A53"/>
    <w:rsid w:val="00C5451F"/>
    <w:rsid w:val="00C547F2"/>
    <w:rsid w:val="00C54ECC"/>
    <w:rsid w:val="00C55DA7"/>
    <w:rsid w:val="00C6185B"/>
    <w:rsid w:val="00C63541"/>
    <w:rsid w:val="00C63D7A"/>
    <w:rsid w:val="00C64F70"/>
    <w:rsid w:val="00C6523A"/>
    <w:rsid w:val="00C65938"/>
    <w:rsid w:val="00C663E5"/>
    <w:rsid w:val="00C664A6"/>
    <w:rsid w:val="00C67563"/>
    <w:rsid w:val="00C71410"/>
    <w:rsid w:val="00C71E15"/>
    <w:rsid w:val="00C720C2"/>
    <w:rsid w:val="00C73AEC"/>
    <w:rsid w:val="00C73D65"/>
    <w:rsid w:val="00C744BB"/>
    <w:rsid w:val="00C74ABE"/>
    <w:rsid w:val="00C74BED"/>
    <w:rsid w:val="00C7605D"/>
    <w:rsid w:val="00C76364"/>
    <w:rsid w:val="00C81AA7"/>
    <w:rsid w:val="00C83B2D"/>
    <w:rsid w:val="00C851A6"/>
    <w:rsid w:val="00C855BF"/>
    <w:rsid w:val="00C85E56"/>
    <w:rsid w:val="00C86BE5"/>
    <w:rsid w:val="00C8724E"/>
    <w:rsid w:val="00C9124F"/>
    <w:rsid w:val="00C9194A"/>
    <w:rsid w:val="00C91ABA"/>
    <w:rsid w:val="00C91DFB"/>
    <w:rsid w:val="00C92700"/>
    <w:rsid w:val="00C92986"/>
    <w:rsid w:val="00C9393A"/>
    <w:rsid w:val="00C93983"/>
    <w:rsid w:val="00C93EF7"/>
    <w:rsid w:val="00C95D9B"/>
    <w:rsid w:val="00C974D3"/>
    <w:rsid w:val="00CA141D"/>
    <w:rsid w:val="00CA1BFF"/>
    <w:rsid w:val="00CA22F9"/>
    <w:rsid w:val="00CA2436"/>
    <w:rsid w:val="00CA2591"/>
    <w:rsid w:val="00CA27F1"/>
    <w:rsid w:val="00CA2889"/>
    <w:rsid w:val="00CA3AC5"/>
    <w:rsid w:val="00CA681B"/>
    <w:rsid w:val="00CB023A"/>
    <w:rsid w:val="00CB12D3"/>
    <w:rsid w:val="00CB1450"/>
    <w:rsid w:val="00CB1A15"/>
    <w:rsid w:val="00CB24D4"/>
    <w:rsid w:val="00CB3143"/>
    <w:rsid w:val="00CB3286"/>
    <w:rsid w:val="00CB3994"/>
    <w:rsid w:val="00CB3E25"/>
    <w:rsid w:val="00CB476A"/>
    <w:rsid w:val="00CB50AA"/>
    <w:rsid w:val="00CB640A"/>
    <w:rsid w:val="00CC2266"/>
    <w:rsid w:val="00CC3182"/>
    <w:rsid w:val="00CC404C"/>
    <w:rsid w:val="00CC5788"/>
    <w:rsid w:val="00CC5917"/>
    <w:rsid w:val="00CC627E"/>
    <w:rsid w:val="00CC6578"/>
    <w:rsid w:val="00CC7A5B"/>
    <w:rsid w:val="00CC7C90"/>
    <w:rsid w:val="00CD09B6"/>
    <w:rsid w:val="00CD1198"/>
    <w:rsid w:val="00CD2B19"/>
    <w:rsid w:val="00CD42FE"/>
    <w:rsid w:val="00CD7D5E"/>
    <w:rsid w:val="00CE08D0"/>
    <w:rsid w:val="00CE0A74"/>
    <w:rsid w:val="00CE0CE5"/>
    <w:rsid w:val="00CE1293"/>
    <w:rsid w:val="00CE249D"/>
    <w:rsid w:val="00CE2A16"/>
    <w:rsid w:val="00CE33E3"/>
    <w:rsid w:val="00CE3E2B"/>
    <w:rsid w:val="00CE4582"/>
    <w:rsid w:val="00CE4B44"/>
    <w:rsid w:val="00CE5BFC"/>
    <w:rsid w:val="00CE6428"/>
    <w:rsid w:val="00CE68E7"/>
    <w:rsid w:val="00CE75B3"/>
    <w:rsid w:val="00CF0543"/>
    <w:rsid w:val="00CF0A41"/>
    <w:rsid w:val="00CF1800"/>
    <w:rsid w:val="00CF1BC8"/>
    <w:rsid w:val="00CF29F2"/>
    <w:rsid w:val="00CF2CDC"/>
    <w:rsid w:val="00CF35D3"/>
    <w:rsid w:val="00CF3FEE"/>
    <w:rsid w:val="00CF444B"/>
    <w:rsid w:val="00CF44D6"/>
    <w:rsid w:val="00CF5AA1"/>
    <w:rsid w:val="00D00C42"/>
    <w:rsid w:val="00D00E7D"/>
    <w:rsid w:val="00D019A1"/>
    <w:rsid w:val="00D0236B"/>
    <w:rsid w:val="00D024CB"/>
    <w:rsid w:val="00D02A8A"/>
    <w:rsid w:val="00D04168"/>
    <w:rsid w:val="00D041C2"/>
    <w:rsid w:val="00D05644"/>
    <w:rsid w:val="00D07153"/>
    <w:rsid w:val="00D100A5"/>
    <w:rsid w:val="00D1034B"/>
    <w:rsid w:val="00D1124A"/>
    <w:rsid w:val="00D117EA"/>
    <w:rsid w:val="00D11CE4"/>
    <w:rsid w:val="00D140A3"/>
    <w:rsid w:val="00D16030"/>
    <w:rsid w:val="00D1640E"/>
    <w:rsid w:val="00D16BDE"/>
    <w:rsid w:val="00D20A33"/>
    <w:rsid w:val="00D21612"/>
    <w:rsid w:val="00D2229B"/>
    <w:rsid w:val="00D227FD"/>
    <w:rsid w:val="00D228FB"/>
    <w:rsid w:val="00D22F32"/>
    <w:rsid w:val="00D233D1"/>
    <w:rsid w:val="00D23C53"/>
    <w:rsid w:val="00D2526A"/>
    <w:rsid w:val="00D2683C"/>
    <w:rsid w:val="00D27CA7"/>
    <w:rsid w:val="00D307C6"/>
    <w:rsid w:val="00D30A98"/>
    <w:rsid w:val="00D31DA0"/>
    <w:rsid w:val="00D3218F"/>
    <w:rsid w:val="00D32F0B"/>
    <w:rsid w:val="00D33DAE"/>
    <w:rsid w:val="00D3476B"/>
    <w:rsid w:val="00D34E4E"/>
    <w:rsid w:val="00D36555"/>
    <w:rsid w:val="00D366D4"/>
    <w:rsid w:val="00D36A9D"/>
    <w:rsid w:val="00D378B8"/>
    <w:rsid w:val="00D4088A"/>
    <w:rsid w:val="00D4105E"/>
    <w:rsid w:val="00D41149"/>
    <w:rsid w:val="00D42AE2"/>
    <w:rsid w:val="00D44484"/>
    <w:rsid w:val="00D452BC"/>
    <w:rsid w:val="00D45612"/>
    <w:rsid w:val="00D46B1E"/>
    <w:rsid w:val="00D47087"/>
    <w:rsid w:val="00D478B7"/>
    <w:rsid w:val="00D47CD3"/>
    <w:rsid w:val="00D50165"/>
    <w:rsid w:val="00D5178C"/>
    <w:rsid w:val="00D51846"/>
    <w:rsid w:val="00D51CF0"/>
    <w:rsid w:val="00D51D67"/>
    <w:rsid w:val="00D520BC"/>
    <w:rsid w:val="00D5231F"/>
    <w:rsid w:val="00D527B5"/>
    <w:rsid w:val="00D530DF"/>
    <w:rsid w:val="00D54024"/>
    <w:rsid w:val="00D553C1"/>
    <w:rsid w:val="00D56804"/>
    <w:rsid w:val="00D56ED3"/>
    <w:rsid w:val="00D5714B"/>
    <w:rsid w:val="00D57188"/>
    <w:rsid w:val="00D576AC"/>
    <w:rsid w:val="00D609BA"/>
    <w:rsid w:val="00D627C0"/>
    <w:rsid w:val="00D629A6"/>
    <w:rsid w:val="00D62B46"/>
    <w:rsid w:val="00D62D6E"/>
    <w:rsid w:val="00D63C80"/>
    <w:rsid w:val="00D64FD2"/>
    <w:rsid w:val="00D6579A"/>
    <w:rsid w:val="00D71181"/>
    <w:rsid w:val="00D71845"/>
    <w:rsid w:val="00D73464"/>
    <w:rsid w:val="00D74E46"/>
    <w:rsid w:val="00D751E3"/>
    <w:rsid w:val="00D776C6"/>
    <w:rsid w:val="00D77DBB"/>
    <w:rsid w:val="00D826A9"/>
    <w:rsid w:val="00D838AC"/>
    <w:rsid w:val="00D83AEE"/>
    <w:rsid w:val="00D84B3E"/>
    <w:rsid w:val="00D850DF"/>
    <w:rsid w:val="00D85795"/>
    <w:rsid w:val="00D86ACD"/>
    <w:rsid w:val="00D872FC"/>
    <w:rsid w:val="00D879FD"/>
    <w:rsid w:val="00D925C7"/>
    <w:rsid w:val="00D9277A"/>
    <w:rsid w:val="00D9427F"/>
    <w:rsid w:val="00D95C45"/>
    <w:rsid w:val="00D95CAA"/>
    <w:rsid w:val="00D974B5"/>
    <w:rsid w:val="00D97841"/>
    <w:rsid w:val="00DA1319"/>
    <w:rsid w:val="00DA1408"/>
    <w:rsid w:val="00DA1D4D"/>
    <w:rsid w:val="00DA2626"/>
    <w:rsid w:val="00DA2BCD"/>
    <w:rsid w:val="00DA4E89"/>
    <w:rsid w:val="00DA5347"/>
    <w:rsid w:val="00DA5430"/>
    <w:rsid w:val="00DA5522"/>
    <w:rsid w:val="00DA5C10"/>
    <w:rsid w:val="00DA697C"/>
    <w:rsid w:val="00DA7F51"/>
    <w:rsid w:val="00DB02AB"/>
    <w:rsid w:val="00DB054D"/>
    <w:rsid w:val="00DB12B1"/>
    <w:rsid w:val="00DB1891"/>
    <w:rsid w:val="00DB1E1C"/>
    <w:rsid w:val="00DB20E4"/>
    <w:rsid w:val="00DB3A66"/>
    <w:rsid w:val="00DB5003"/>
    <w:rsid w:val="00DB7216"/>
    <w:rsid w:val="00DC0944"/>
    <w:rsid w:val="00DC0A14"/>
    <w:rsid w:val="00DC0B96"/>
    <w:rsid w:val="00DC1651"/>
    <w:rsid w:val="00DC2038"/>
    <w:rsid w:val="00DC2296"/>
    <w:rsid w:val="00DC2A83"/>
    <w:rsid w:val="00DC42EE"/>
    <w:rsid w:val="00DC461B"/>
    <w:rsid w:val="00DC5BE2"/>
    <w:rsid w:val="00DC628E"/>
    <w:rsid w:val="00DD028E"/>
    <w:rsid w:val="00DD2336"/>
    <w:rsid w:val="00DD33AC"/>
    <w:rsid w:val="00DD4ABF"/>
    <w:rsid w:val="00DD5B9D"/>
    <w:rsid w:val="00DD7100"/>
    <w:rsid w:val="00DD74DC"/>
    <w:rsid w:val="00DD7C00"/>
    <w:rsid w:val="00DE09A4"/>
    <w:rsid w:val="00DE1DE8"/>
    <w:rsid w:val="00DE2182"/>
    <w:rsid w:val="00DE3608"/>
    <w:rsid w:val="00DE3E6F"/>
    <w:rsid w:val="00DE4400"/>
    <w:rsid w:val="00DE61F7"/>
    <w:rsid w:val="00DE67B1"/>
    <w:rsid w:val="00DE72B0"/>
    <w:rsid w:val="00DF0B45"/>
    <w:rsid w:val="00DF13EF"/>
    <w:rsid w:val="00DF260F"/>
    <w:rsid w:val="00DF2A4B"/>
    <w:rsid w:val="00DF3456"/>
    <w:rsid w:val="00DF4574"/>
    <w:rsid w:val="00DF53B9"/>
    <w:rsid w:val="00DF583C"/>
    <w:rsid w:val="00E011D7"/>
    <w:rsid w:val="00E0365A"/>
    <w:rsid w:val="00E04113"/>
    <w:rsid w:val="00E043E6"/>
    <w:rsid w:val="00E05134"/>
    <w:rsid w:val="00E05380"/>
    <w:rsid w:val="00E06B2B"/>
    <w:rsid w:val="00E0716B"/>
    <w:rsid w:val="00E07F44"/>
    <w:rsid w:val="00E1039A"/>
    <w:rsid w:val="00E11908"/>
    <w:rsid w:val="00E1190F"/>
    <w:rsid w:val="00E12E7E"/>
    <w:rsid w:val="00E12FF0"/>
    <w:rsid w:val="00E131CA"/>
    <w:rsid w:val="00E132EA"/>
    <w:rsid w:val="00E14507"/>
    <w:rsid w:val="00E1611C"/>
    <w:rsid w:val="00E1614C"/>
    <w:rsid w:val="00E16EFC"/>
    <w:rsid w:val="00E211AB"/>
    <w:rsid w:val="00E220D8"/>
    <w:rsid w:val="00E22143"/>
    <w:rsid w:val="00E26128"/>
    <w:rsid w:val="00E26816"/>
    <w:rsid w:val="00E26A28"/>
    <w:rsid w:val="00E273E7"/>
    <w:rsid w:val="00E27483"/>
    <w:rsid w:val="00E30ABA"/>
    <w:rsid w:val="00E32024"/>
    <w:rsid w:val="00E32CA0"/>
    <w:rsid w:val="00E34914"/>
    <w:rsid w:val="00E3538E"/>
    <w:rsid w:val="00E363C7"/>
    <w:rsid w:val="00E36526"/>
    <w:rsid w:val="00E36998"/>
    <w:rsid w:val="00E36EE4"/>
    <w:rsid w:val="00E3729A"/>
    <w:rsid w:val="00E41939"/>
    <w:rsid w:val="00E42D67"/>
    <w:rsid w:val="00E43817"/>
    <w:rsid w:val="00E45515"/>
    <w:rsid w:val="00E46546"/>
    <w:rsid w:val="00E46A74"/>
    <w:rsid w:val="00E47326"/>
    <w:rsid w:val="00E47A3F"/>
    <w:rsid w:val="00E47C45"/>
    <w:rsid w:val="00E51CD3"/>
    <w:rsid w:val="00E527AB"/>
    <w:rsid w:val="00E52F49"/>
    <w:rsid w:val="00E55491"/>
    <w:rsid w:val="00E5650A"/>
    <w:rsid w:val="00E62A2D"/>
    <w:rsid w:val="00E6323F"/>
    <w:rsid w:val="00E64213"/>
    <w:rsid w:val="00E64315"/>
    <w:rsid w:val="00E64AAC"/>
    <w:rsid w:val="00E65961"/>
    <w:rsid w:val="00E66BBE"/>
    <w:rsid w:val="00E66DEB"/>
    <w:rsid w:val="00E671B2"/>
    <w:rsid w:val="00E70C63"/>
    <w:rsid w:val="00E70FC3"/>
    <w:rsid w:val="00E71ED9"/>
    <w:rsid w:val="00E73098"/>
    <w:rsid w:val="00E73AB3"/>
    <w:rsid w:val="00E7538C"/>
    <w:rsid w:val="00E753D0"/>
    <w:rsid w:val="00E76F61"/>
    <w:rsid w:val="00E7709B"/>
    <w:rsid w:val="00E803BF"/>
    <w:rsid w:val="00E81658"/>
    <w:rsid w:val="00E81858"/>
    <w:rsid w:val="00E829DC"/>
    <w:rsid w:val="00E82CD4"/>
    <w:rsid w:val="00E8314F"/>
    <w:rsid w:val="00E84426"/>
    <w:rsid w:val="00E844C9"/>
    <w:rsid w:val="00E856E8"/>
    <w:rsid w:val="00E87024"/>
    <w:rsid w:val="00E8741F"/>
    <w:rsid w:val="00E87FAF"/>
    <w:rsid w:val="00E90765"/>
    <w:rsid w:val="00E90F2C"/>
    <w:rsid w:val="00E9149D"/>
    <w:rsid w:val="00E9188B"/>
    <w:rsid w:val="00E93E5B"/>
    <w:rsid w:val="00E95D13"/>
    <w:rsid w:val="00E962A9"/>
    <w:rsid w:val="00E96A33"/>
    <w:rsid w:val="00E96A90"/>
    <w:rsid w:val="00E97002"/>
    <w:rsid w:val="00EA0114"/>
    <w:rsid w:val="00EA2D08"/>
    <w:rsid w:val="00EA352A"/>
    <w:rsid w:val="00EA46A7"/>
    <w:rsid w:val="00EA4B75"/>
    <w:rsid w:val="00EA4EEA"/>
    <w:rsid w:val="00EA5CDD"/>
    <w:rsid w:val="00EB505D"/>
    <w:rsid w:val="00EB5129"/>
    <w:rsid w:val="00EB556A"/>
    <w:rsid w:val="00EB5CC4"/>
    <w:rsid w:val="00EB74E9"/>
    <w:rsid w:val="00EC0F22"/>
    <w:rsid w:val="00EC1D7C"/>
    <w:rsid w:val="00EC28F9"/>
    <w:rsid w:val="00EC46AA"/>
    <w:rsid w:val="00EC791E"/>
    <w:rsid w:val="00EC7E8D"/>
    <w:rsid w:val="00ED08A8"/>
    <w:rsid w:val="00ED22EE"/>
    <w:rsid w:val="00ED279D"/>
    <w:rsid w:val="00ED3C38"/>
    <w:rsid w:val="00ED41D1"/>
    <w:rsid w:val="00ED423C"/>
    <w:rsid w:val="00ED4CBF"/>
    <w:rsid w:val="00EE1514"/>
    <w:rsid w:val="00EE1D90"/>
    <w:rsid w:val="00EE1EE7"/>
    <w:rsid w:val="00EE2135"/>
    <w:rsid w:val="00EE24C1"/>
    <w:rsid w:val="00EE3234"/>
    <w:rsid w:val="00EE397A"/>
    <w:rsid w:val="00EE460A"/>
    <w:rsid w:val="00EE46BA"/>
    <w:rsid w:val="00EE5D1F"/>
    <w:rsid w:val="00EE669D"/>
    <w:rsid w:val="00EE6968"/>
    <w:rsid w:val="00EE7C64"/>
    <w:rsid w:val="00EF0E5C"/>
    <w:rsid w:val="00EF0E5F"/>
    <w:rsid w:val="00EF1137"/>
    <w:rsid w:val="00EF154B"/>
    <w:rsid w:val="00EF2D65"/>
    <w:rsid w:val="00EF3E72"/>
    <w:rsid w:val="00EF4D3A"/>
    <w:rsid w:val="00EF5392"/>
    <w:rsid w:val="00EF6789"/>
    <w:rsid w:val="00EF6C41"/>
    <w:rsid w:val="00F0001D"/>
    <w:rsid w:val="00F00580"/>
    <w:rsid w:val="00F00603"/>
    <w:rsid w:val="00F015B4"/>
    <w:rsid w:val="00F01AB1"/>
    <w:rsid w:val="00F028AC"/>
    <w:rsid w:val="00F02E3B"/>
    <w:rsid w:val="00F0311B"/>
    <w:rsid w:val="00F03BC3"/>
    <w:rsid w:val="00F03F8A"/>
    <w:rsid w:val="00F050AD"/>
    <w:rsid w:val="00F05D3C"/>
    <w:rsid w:val="00F06213"/>
    <w:rsid w:val="00F06DC5"/>
    <w:rsid w:val="00F0786F"/>
    <w:rsid w:val="00F07BA3"/>
    <w:rsid w:val="00F1133B"/>
    <w:rsid w:val="00F11442"/>
    <w:rsid w:val="00F114B3"/>
    <w:rsid w:val="00F1182A"/>
    <w:rsid w:val="00F118A0"/>
    <w:rsid w:val="00F123BC"/>
    <w:rsid w:val="00F123E9"/>
    <w:rsid w:val="00F12AFB"/>
    <w:rsid w:val="00F12F36"/>
    <w:rsid w:val="00F13289"/>
    <w:rsid w:val="00F14E13"/>
    <w:rsid w:val="00F1534F"/>
    <w:rsid w:val="00F1577A"/>
    <w:rsid w:val="00F1691B"/>
    <w:rsid w:val="00F16DC3"/>
    <w:rsid w:val="00F17499"/>
    <w:rsid w:val="00F2167C"/>
    <w:rsid w:val="00F226F9"/>
    <w:rsid w:val="00F22BEA"/>
    <w:rsid w:val="00F230C0"/>
    <w:rsid w:val="00F24D84"/>
    <w:rsid w:val="00F250AF"/>
    <w:rsid w:val="00F253FC"/>
    <w:rsid w:val="00F257A4"/>
    <w:rsid w:val="00F26597"/>
    <w:rsid w:val="00F27430"/>
    <w:rsid w:val="00F27865"/>
    <w:rsid w:val="00F30504"/>
    <w:rsid w:val="00F32F34"/>
    <w:rsid w:val="00F34C05"/>
    <w:rsid w:val="00F352A9"/>
    <w:rsid w:val="00F352E0"/>
    <w:rsid w:val="00F35D56"/>
    <w:rsid w:val="00F360BD"/>
    <w:rsid w:val="00F360C8"/>
    <w:rsid w:val="00F36A33"/>
    <w:rsid w:val="00F409BF"/>
    <w:rsid w:val="00F40A91"/>
    <w:rsid w:val="00F40B8B"/>
    <w:rsid w:val="00F41BB0"/>
    <w:rsid w:val="00F430C2"/>
    <w:rsid w:val="00F43BE4"/>
    <w:rsid w:val="00F444D6"/>
    <w:rsid w:val="00F45366"/>
    <w:rsid w:val="00F45CD5"/>
    <w:rsid w:val="00F46431"/>
    <w:rsid w:val="00F5095D"/>
    <w:rsid w:val="00F51CFF"/>
    <w:rsid w:val="00F52B5F"/>
    <w:rsid w:val="00F533F9"/>
    <w:rsid w:val="00F53D70"/>
    <w:rsid w:val="00F56A58"/>
    <w:rsid w:val="00F57086"/>
    <w:rsid w:val="00F57F7F"/>
    <w:rsid w:val="00F60EAA"/>
    <w:rsid w:val="00F623BA"/>
    <w:rsid w:val="00F62D3E"/>
    <w:rsid w:val="00F63771"/>
    <w:rsid w:val="00F63CE0"/>
    <w:rsid w:val="00F6448F"/>
    <w:rsid w:val="00F66674"/>
    <w:rsid w:val="00F67E16"/>
    <w:rsid w:val="00F70479"/>
    <w:rsid w:val="00F7079E"/>
    <w:rsid w:val="00F73207"/>
    <w:rsid w:val="00F737A9"/>
    <w:rsid w:val="00F7388D"/>
    <w:rsid w:val="00F74B0E"/>
    <w:rsid w:val="00F74C05"/>
    <w:rsid w:val="00F764CE"/>
    <w:rsid w:val="00F77375"/>
    <w:rsid w:val="00F774AF"/>
    <w:rsid w:val="00F77B14"/>
    <w:rsid w:val="00F80348"/>
    <w:rsid w:val="00F807B6"/>
    <w:rsid w:val="00F82AF9"/>
    <w:rsid w:val="00F82F3E"/>
    <w:rsid w:val="00F83209"/>
    <w:rsid w:val="00F832A2"/>
    <w:rsid w:val="00F835B8"/>
    <w:rsid w:val="00F83958"/>
    <w:rsid w:val="00F83EDF"/>
    <w:rsid w:val="00F8570A"/>
    <w:rsid w:val="00F86638"/>
    <w:rsid w:val="00F86C5F"/>
    <w:rsid w:val="00F904B1"/>
    <w:rsid w:val="00F918B6"/>
    <w:rsid w:val="00F92E2E"/>
    <w:rsid w:val="00F93BB2"/>
    <w:rsid w:val="00F9420C"/>
    <w:rsid w:val="00F94D4B"/>
    <w:rsid w:val="00F957EE"/>
    <w:rsid w:val="00FA5882"/>
    <w:rsid w:val="00FA5EF5"/>
    <w:rsid w:val="00FA72FB"/>
    <w:rsid w:val="00FB0125"/>
    <w:rsid w:val="00FB05F9"/>
    <w:rsid w:val="00FB0CF2"/>
    <w:rsid w:val="00FB2A0E"/>
    <w:rsid w:val="00FB2D86"/>
    <w:rsid w:val="00FB46B0"/>
    <w:rsid w:val="00FB5DC5"/>
    <w:rsid w:val="00FB633C"/>
    <w:rsid w:val="00FB68E8"/>
    <w:rsid w:val="00FB6C50"/>
    <w:rsid w:val="00FB6CC8"/>
    <w:rsid w:val="00FB6D95"/>
    <w:rsid w:val="00FB7197"/>
    <w:rsid w:val="00FB7402"/>
    <w:rsid w:val="00FC099B"/>
    <w:rsid w:val="00FC1380"/>
    <w:rsid w:val="00FC1A83"/>
    <w:rsid w:val="00FC1C4A"/>
    <w:rsid w:val="00FC1F10"/>
    <w:rsid w:val="00FC202F"/>
    <w:rsid w:val="00FC2AC6"/>
    <w:rsid w:val="00FC31CE"/>
    <w:rsid w:val="00FC4E12"/>
    <w:rsid w:val="00FC51F6"/>
    <w:rsid w:val="00FC5F6F"/>
    <w:rsid w:val="00FC6249"/>
    <w:rsid w:val="00FC6AA3"/>
    <w:rsid w:val="00FC78AF"/>
    <w:rsid w:val="00FD175B"/>
    <w:rsid w:val="00FD302D"/>
    <w:rsid w:val="00FD3735"/>
    <w:rsid w:val="00FD55A4"/>
    <w:rsid w:val="00FD57E7"/>
    <w:rsid w:val="00FD6598"/>
    <w:rsid w:val="00FE15F6"/>
    <w:rsid w:val="00FE2777"/>
    <w:rsid w:val="00FE30F6"/>
    <w:rsid w:val="00FE54BC"/>
    <w:rsid w:val="00FE55A9"/>
    <w:rsid w:val="00FE5766"/>
    <w:rsid w:val="00FE713D"/>
    <w:rsid w:val="00FF0AA4"/>
    <w:rsid w:val="00FF0CBB"/>
    <w:rsid w:val="00FF0F63"/>
    <w:rsid w:val="00FF1F89"/>
    <w:rsid w:val="00FF2FEE"/>
    <w:rsid w:val="00FF38FF"/>
    <w:rsid w:val="00FF3BF7"/>
    <w:rsid w:val="00FF4096"/>
    <w:rsid w:val="00FF441D"/>
    <w:rsid w:val="00FF568B"/>
    <w:rsid w:val="00FF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CDB32"/>
  <w15:docId w15:val="{8E275706-180D-426F-843C-E51D5FAC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94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A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B6C50"/>
    <w:pPr>
      <w:ind w:left="720"/>
      <w:contextualSpacing/>
    </w:pPr>
  </w:style>
  <w:style w:type="paragraph" w:styleId="BalloonText">
    <w:name w:val="Balloon Text"/>
    <w:basedOn w:val="Normal"/>
    <w:link w:val="BalloonTextChar"/>
    <w:uiPriority w:val="99"/>
    <w:semiHidden/>
    <w:unhideWhenUsed/>
    <w:rsid w:val="00BA3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946"/>
    <w:rPr>
      <w:rFonts w:ascii="Tahoma" w:hAnsi="Tahoma" w:cs="Tahoma"/>
      <w:sz w:val="16"/>
      <w:szCs w:val="16"/>
    </w:rPr>
  </w:style>
  <w:style w:type="paragraph" w:styleId="Header">
    <w:name w:val="header"/>
    <w:aliases w:val="*Header"/>
    <w:basedOn w:val="Normal"/>
    <w:link w:val="HeaderChar"/>
    <w:uiPriority w:val="99"/>
    <w:unhideWhenUsed/>
    <w:rsid w:val="001D0CD0"/>
    <w:pPr>
      <w:tabs>
        <w:tab w:val="center" w:pos="4680"/>
        <w:tab w:val="right" w:pos="9360"/>
      </w:tabs>
      <w:spacing w:after="0" w:line="240" w:lineRule="auto"/>
    </w:pPr>
  </w:style>
  <w:style w:type="character" w:customStyle="1" w:styleId="HeaderChar">
    <w:name w:val="Header Char"/>
    <w:aliases w:val="*Header Char"/>
    <w:basedOn w:val="DefaultParagraphFont"/>
    <w:link w:val="Header"/>
    <w:uiPriority w:val="99"/>
    <w:rsid w:val="001D0CD0"/>
    <w:rPr>
      <w:sz w:val="22"/>
      <w:szCs w:val="22"/>
    </w:rPr>
  </w:style>
  <w:style w:type="paragraph" w:styleId="Footer">
    <w:name w:val="footer"/>
    <w:basedOn w:val="Normal"/>
    <w:link w:val="FooterChar"/>
    <w:uiPriority w:val="99"/>
    <w:unhideWhenUsed/>
    <w:rsid w:val="001D0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CD0"/>
    <w:rPr>
      <w:sz w:val="22"/>
      <w:szCs w:val="22"/>
    </w:rPr>
  </w:style>
  <w:style w:type="paragraph" w:styleId="NoSpacing">
    <w:name w:val="No Spacing"/>
    <w:uiPriority w:val="1"/>
    <w:qFormat/>
    <w:rsid w:val="00F257A4"/>
    <w:rPr>
      <w:sz w:val="22"/>
      <w:szCs w:val="22"/>
    </w:rPr>
  </w:style>
  <w:style w:type="character" w:styleId="Hyperlink">
    <w:name w:val="Hyperlink"/>
    <w:basedOn w:val="DefaultParagraphFont"/>
    <w:uiPriority w:val="99"/>
    <w:unhideWhenUsed/>
    <w:rsid w:val="006E54D7"/>
    <w:rPr>
      <w:color w:val="0000FF" w:themeColor="hyperlink"/>
      <w:u w:val="single"/>
    </w:rPr>
  </w:style>
  <w:style w:type="character" w:styleId="FollowedHyperlink">
    <w:name w:val="FollowedHyperlink"/>
    <w:basedOn w:val="DefaultParagraphFont"/>
    <w:uiPriority w:val="99"/>
    <w:semiHidden/>
    <w:unhideWhenUsed/>
    <w:rsid w:val="006A255C"/>
    <w:rPr>
      <w:color w:val="800080" w:themeColor="followedHyperlink"/>
      <w:u w:val="single"/>
    </w:rPr>
  </w:style>
  <w:style w:type="paragraph" w:customStyle="1" w:styleId="section1">
    <w:name w:val="section1"/>
    <w:basedOn w:val="Normal"/>
    <w:uiPriority w:val="99"/>
    <w:rsid w:val="003703B4"/>
    <w:pPr>
      <w:spacing w:before="100" w:beforeAutospacing="1" w:after="100" w:afterAutospacing="1" w:line="240" w:lineRule="auto"/>
    </w:pPr>
    <w:rPr>
      <w:rFonts w:ascii="Times New Roman" w:eastAsiaTheme="minorHAnsi" w:hAnsi="Times New Roman"/>
      <w:sz w:val="24"/>
      <w:szCs w:val="24"/>
    </w:rPr>
  </w:style>
  <w:style w:type="paragraph" w:styleId="PlainText">
    <w:name w:val="Plain Text"/>
    <w:basedOn w:val="Normal"/>
    <w:link w:val="PlainTextChar"/>
    <w:uiPriority w:val="99"/>
    <w:unhideWhenUsed/>
    <w:rsid w:val="00576A8B"/>
    <w:pPr>
      <w:spacing w:after="0" w:line="240" w:lineRule="auto"/>
    </w:pPr>
    <w:rPr>
      <w:rFonts w:eastAsiaTheme="minorHAnsi" w:cs="Calibri"/>
    </w:rPr>
  </w:style>
  <w:style w:type="character" w:customStyle="1" w:styleId="PlainTextChar">
    <w:name w:val="Plain Text Char"/>
    <w:basedOn w:val="DefaultParagraphFont"/>
    <w:link w:val="PlainText"/>
    <w:uiPriority w:val="99"/>
    <w:rsid w:val="00576A8B"/>
    <w:rPr>
      <w:rFonts w:eastAsiaTheme="minorHAnsi" w:cs="Calibri"/>
      <w:sz w:val="22"/>
      <w:szCs w:val="22"/>
    </w:rPr>
  </w:style>
  <w:style w:type="paragraph" w:styleId="NormalWeb">
    <w:name w:val="Normal (Web)"/>
    <w:basedOn w:val="Normal"/>
    <w:uiPriority w:val="99"/>
    <w:semiHidden/>
    <w:unhideWhenUsed/>
    <w:rsid w:val="00C547F2"/>
    <w:pPr>
      <w:spacing w:before="100" w:beforeAutospacing="1" w:after="100" w:afterAutospacing="1" w:line="240" w:lineRule="auto"/>
    </w:pPr>
    <w:rPr>
      <w:rFonts w:ascii="Times New Roman" w:eastAsia="Times New Roman" w:hAnsi="Times New Roman"/>
      <w:sz w:val="24"/>
      <w:szCs w:val="24"/>
    </w:rPr>
  </w:style>
  <w:style w:type="character" w:styleId="IntenseEmphasis">
    <w:name w:val="Intense Emphasis"/>
    <w:basedOn w:val="DefaultParagraphFont"/>
    <w:uiPriority w:val="21"/>
    <w:qFormat/>
    <w:rsid w:val="004A2D4C"/>
    <w:rPr>
      <w:b/>
      <w:bCs/>
      <w:i/>
      <w:iCs/>
      <w:color w:val="4F81BD"/>
    </w:rPr>
  </w:style>
  <w:style w:type="paragraph" w:customStyle="1" w:styleId="Default">
    <w:name w:val="Default"/>
    <w:rsid w:val="00A716C7"/>
    <w:pPr>
      <w:autoSpaceDE w:val="0"/>
      <w:autoSpaceDN w:val="0"/>
      <w:adjustRightInd w:val="0"/>
    </w:pPr>
    <w:rPr>
      <w:rFonts w:ascii="Verdana" w:hAnsi="Verdana" w:cs="Verdana"/>
      <w:color w:val="000000"/>
      <w:sz w:val="24"/>
      <w:szCs w:val="24"/>
    </w:rPr>
  </w:style>
  <w:style w:type="character" w:styleId="UnresolvedMention">
    <w:name w:val="Unresolved Mention"/>
    <w:basedOn w:val="DefaultParagraphFont"/>
    <w:uiPriority w:val="99"/>
    <w:semiHidden/>
    <w:unhideWhenUsed/>
    <w:rsid w:val="00766E1D"/>
    <w:rPr>
      <w:color w:val="605E5C"/>
      <w:shd w:val="clear" w:color="auto" w:fill="E1DFDD"/>
    </w:rPr>
  </w:style>
  <w:style w:type="character" w:styleId="CommentReference">
    <w:name w:val="annotation reference"/>
    <w:basedOn w:val="DefaultParagraphFont"/>
    <w:uiPriority w:val="99"/>
    <w:semiHidden/>
    <w:unhideWhenUsed/>
    <w:rsid w:val="00881DFB"/>
    <w:rPr>
      <w:sz w:val="16"/>
      <w:szCs w:val="16"/>
    </w:rPr>
  </w:style>
  <w:style w:type="paragraph" w:styleId="CommentText">
    <w:name w:val="annotation text"/>
    <w:basedOn w:val="Normal"/>
    <w:link w:val="CommentTextChar"/>
    <w:uiPriority w:val="99"/>
    <w:unhideWhenUsed/>
    <w:rsid w:val="00881DFB"/>
    <w:pPr>
      <w:spacing w:line="240" w:lineRule="auto"/>
    </w:pPr>
    <w:rPr>
      <w:sz w:val="20"/>
      <w:szCs w:val="20"/>
    </w:rPr>
  </w:style>
  <w:style w:type="character" w:customStyle="1" w:styleId="CommentTextChar">
    <w:name w:val="Comment Text Char"/>
    <w:basedOn w:val="DefaultParagraphFont"/>
    <w:link w:val="CommentText"/>
    <w:uiPriority w:val="99"/>
    <w:rsid w:val="00881DFB"/>
  </w:style>
  <w:style w:type="table" w:styleId="PlainTable1">
    <w:name w:val="Plain Table 1"/>
    <w:basedOn w:val="TableNormal"/>
    <w:uiPriority w:val="41"/>
    <w:rsid w:val="00CF44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9568">
      <w:bodyDiv w:val="1"/>
      <w:marLeft w:val="0"/>
      <w:marRight w:val="0"/>
      <w:marTop w:val="0"/>
      <w:marBottom w:val="0"/>
      <w:divBdr>
        <w:top w:val="none" w:sz="0" w:space="0" w:color="auto"/>
        <w:left w:val="none" w:sz="0" w:space="0" w:color="auto"/>
        <w:bottom w:val="none" w:sz="0" w:space="0" w:color="auto"/>
        <w:right w:val="none" w:sz="0" w:space="0" w:color="auto"/>
      </w:divBdr>
    </w:div>
    <w:div w:id="7367369">
      <w:bodyDiv w:val="1"/>
      <w:marLeft w:val="0"/>
      <w:marRight w:val="0"/>
      <w:marTop w:val="0"/>
      <w:marBottom w:val="0"/>
      <w:divBdr>
        <w:top w:val="none" w:sz="0" w:space="0" w:color="auto"/>
        <w:left w:val="none" w:sz="0" w:space="0" w:color="auto"/>
        <w:bottom w:val="none" w:sz="0" w:space="0" w:color="auto"/>
        <w:right w:val="none" w:sz="0" w:space="0" w:color="auto"/>
      </w:divBdr>
      <w:divsChild>
        <w:div w:id="1101727020">
          <w:marLeft w:val="0"/>
          <w:marRight w:val="0"/>
          <w:marTop w:val="0"/>
          <w:marBottom w:val="0"/>
          <w:divBdr>
            <w:top w:val="none" w:sz="0" w:space="0" w:color="auto"/>
            <w:left w:val="none" w:sz="0" w:space="0" w:color="auto"/>
            <w:bottom w:val="none" w:sz="0" w:space="0" w:color="auto"/>
            <w:right w:val="none" w:sz="0" w:space="0" w:color="auto"/>
          </w:divBdr>
          <w:divsChild>
            <w:div w:id="2000687684">
              <w:marLeft w:val="150"/>
              <w:marRight w:val="150"/>
              <w:marTop w:val="450"/>
              <w:marBottom w:val="0"/>
              <w:divBdr>
                <w:top w:val="none" w:sz="0" w:space="0" w:color="auto"/>
                <w:left w:val="none" w:sz="0" w:space="0" w:color="auto"/>
                <w:bottom w:val="none" w:sz="0" w:space="0" w:color="auto"/>
                <w:right w:val="none" w:sz="0" w:space="0" w:color="auto"/>
              </w:divBdr>
              <w:divsChild>
                <w:div w:id="36923148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860033">
      <w:bodyDiv w:val="1"/>
      <w:marLeft w:val="0"/>
      <w:marRight w:val="0"/>
      <w:marTop w:val="0"/>
      <w:marBottom w:val="0"/>
      <w:divBdr>
        <w:top w:val="none" w:sz="0" w:space="0" w:color="auto"/>
        <w:left w:val="none" w:sz="0" w:space="0" w:color="auto"/>
        <w:bottom w:val="none" w:sz="0" w:space="0" w:color="auto"/>
        <w:right w:val="none" w:sz="0" w:space="0" w:color="auto"/>
      </w:divBdr>
    </w:div>
    <w:div w:id="31155143">
      <w:bodyDiv w:val="1"/>
      <w:marLeft w:val="0"/>
      <w:marRight w:val="0"/>
      <w:marTop w:val="0"/>
      <w:marBottom w:val="0"/>
      <w:divBdr>
        <w:top w:val="none" w:sz="0" w:space="0" w:color="auto"/>
        <w:left w:val="none" w:sz="0" w:space="0" w:color="auto"/>
        <w:bottom w:val="none" w:sz="0" w:space="0" w:color="auto"/>
        <w:right w:val="none" w:sz="0" w:space="0" w:color="auto"/>
      </w:divBdr>
    </w:div>
    <w:div w:id="31805330">
      <w:bodyDiv w:val="1"/>
      <w:marLeft w:val="0"/>
      <w:marRight w:val="0"/>
      <w:marTop w:val="0"/>
      <w:marBottom w:val="0"/>
      <w:divBdr>
        <w:top w:val="none" w:sz="0" w:space="0" w:color="auto"/>
        <w:left w:val="none" w:sz="0" w:space="0" w:color="auto"/>
        <w:bottom w:val="none" w:sz="0" w:space="0" w:color="auto"/>
        <w:right w:val="none" w:sz="0" w:space="0" w:color="auto"/>
      </w:divBdr>
      <w:divsChild>
        <w:div w:id="1513447320">
          <w:marLeft w:val="0"/>
          <w:marRight w:val="0"/>
          <w:marTop w:val="0"/>
          <w:marBottom w:val="120"/>
          <w:divBdr>
            <w:top w:val="none" w:sz="0" w:space="0" w:color="auto"/>
            <w:left w:val="none" w:sz="0" w:space="0" w:color="auto"/>
            <w:bottom w:val="none" w:sz="0" w:space="0" w:color="auto"/>
            <w:right w:val="none" w:sz="0" w:space="0" w:color="auto"/>
          </w:divBdr>
        </w:div>
        <w:div w:id="1688484504">
          <w:marLeft w:val="0"/>
          <w:marRight w:val="0"/>
          <w:marTop w:val="0"/>
          <w:marBottom w:val="120"/>
          <w:divBdr>
            <w:top w:val="none" w:sz="0" w:space="0" w:color="auto"/>
            <w:left w:val="none" w:sz="0" w:space="0" w:color="auto"/>
            <w:bottom w:val="none" w:sz="0" w:space="0" w:color="auto"/>
            <w:right w:val="none" w:sz="0" w:space="0" w:color="auto"/>
          </w:divBdr>
        </w:div>
      </w:divsChild>
    </w:div>
    <w:div w:id="36787076">
      <w:bodyDiv w:val="1"/>
      <w:marLeft w:val="0"/>
      <w:marRight w:val="0"/>
      <w:marTop w:val="0"/>
      <w:marBottom w:val="0"/>
      <w:divBdr>
        <w:top w:val="none" w:sz="0" w:space="0" w:color="auto"/>
        <w:left w:val="none" w:sz="0" w:space="0" w:color="auto"/>
        <w:bottom w:val="none" w:sz="0" w:space="0" w:color="auto"/>
        <w:right w:val="none" w:sz="0" w:space="0" w:color="auto"/>
      </w:divBdr>
    </w:div>
    <w:div w:id="89932942">
      <w:bodyDiv w:val="1"/>
      <w:marLeft w:val="0"/>
      <w:marRight w:val="0"/>
      <w:marTop w:val="0"/>
      <w:marBottom w:val="0"/>
      <w:divBdr>
        <w:top w:val="none" w:sz="0" w:space="0" w:color="auto"/>
        <w:left w:val="none" w:sz="0" w:space="0" w:color="auto"/>
        <w:bottom w:val="none" w:sz="0" w:space="0" w:color="auto"/>
        <w:right w:val="none" w:sz="0" w:space="0" w:color="auto"/>
      </w:divBdr>
      <w:divsChild>
        <w:div w:id="1002776866">
          <w:marLeft w:val="0"/>
          <w:marRight w:val="0"/>
          <w:marTop w:val="0"/>
          <w:marBottom w:val="0"/>
          <w:divBdr>
            <w:top w:val="none" w:sz="0" w:space="0" w:color="auto"/>
            <w:left w:val="none" w:sz="0" w:space="0" w:color="auto"/>
            <w:bottom w:val="none" w:sz="0" w:space="0" w:color="auto"/>
            <w:right w:val="none" w:sz="0" w:space="0" w:color="auto"/>
          </w:divBdr>
          <w:divsChild>
            <w:div w:id="1377584168">
              <w:marLeft w:val="150"/>
              <w:marRight w:val="150"/>
              <w:marTop w:val="450"/>
              <w:marBottom w:val="0"/>
              <w:divBdr>
                <w:top w:val="none" w:sz="0" w:space="0" w:color="auto"/>
                <w:left w:val="none" w:sz="0" w:space="0" w:color="auto"/>
                <w:bottom w:val="none" w:sz="0" w:space="0" w:color="auto"/>
                <w:right w:val="none" w:sz="0" w:space="0" w:color="auto"/>
              </w:divBdr>
              <w:divsChild>
                <w:div w:id="7952083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4420776">
      <w:bodyDiv w:val="1"/>
      <w:marLeft w:val="0"/>
      <w:marRight w:val="0"/>
      <w:marTop w:val="0"/>
      <w:marBottom w:val="0"/>
      <w:divBdr>
        <w:top w:val="none" w:sz="0" w:space="0" w:color="auto"/>
        <w:left w:val="none" w:sz="0" w:space="0" w:color="auto"/>
        <w:bottom w:val="none" w:sz="0" w:space="0" w:color="auto"/>
        <w:right w:val="none" w:sz="0" w:space="0" w:color="auto"/>
      </w:divBdr>
    </w:div>
    <w:div w:id="144517899">
      <w:bodyDiv w:val="1"/>
      <w:marLeft w:val="0"/>
      <w:marRight w:val="0"/>
      <w:marTop w:val="0"/>
      <w:marBottom w:val="0"/>
      <w:divBdr>
        <w:top w:val="none" w:sz="0" w:space="0" w:color="auto"/>
        <w:left w:val="none" w:sz="0" w:space="0" w:color="auto"/>
        <w:bottom w:val="none" w:sz="0" w:space="0" w:color="auto"/>
        <w:right w:val="none" w:sz="0" w:space="0" w:color="auto"/>
      </w:divBdr>
    </w:div>
    <w:div w:id="173227502">
      <w:bodyDiv w:val="1"/>
      <w:marLeft w:val="0"/>
      <w:marRight w:val="0"/>
      <w:marTop w:val="0"/>
      <w:marBottom w:val="0"/>
      <w:divBdr>
        <w:top w:val="none" w:sz="0" w:space="0" w:color="auto"/>
        <w:left w:val="none" w:sz="0" w:space="0" w:color="auto"/>
        <w:bottom w:val="none" w:sz="0" w:space="0" w:color="auto"/>
        <w:right w:val="none" w:sz="0" w:space="0" w:color="auto"/>
      </w:divBdr>
    </w:div>
    <w:div w:id="272129909">
      <w:bodyDiv w:val="1"/>
      <w:marLeft w:val="0"/>
      <w:marRight w:val="0"/>
      <w:marTop w:val="0"/>
      <w:marBottom w:val="0"/>
      <w:divBdr>
        <w:top w:val="none" w:sz="0" w:space="0" w:color="auto"/>
        <w:left w:val="none" w:sz="0" w:space="0" w:color="auto"/>
        <w:bottom w:val="none" w:sz="0" w:space="0" w:color="auto"/>
        <w:right w:val="none" w:sz="0" w:space="0" w:color="auto"/>
      </w:divBdr>
    </w:div>
    <w:div w:id="273682259">
      <w:bodyDiv w:val="1"/>
      <w:marLeft w:val="0"/>
      <w:marRight w:val="0"/>
      <w:marTop w:val="0"/>
      <w:marBottom w:val="0"/>
      <w:divBdr>
        <w:top w:val="none" w:sz="0" w:space="0" w:color="auto"/>
        <w:left w:val="none" w:sz="0" w:space="0" w:color="auto"/>
        <w:bottom w:val="none" w:sz="0" w:space="0" w:color="auto"/>
        <w:right w:val="none" w:sz="0" w:space="0" w:color="auto"/>
      </w:divBdr>
    </w:div>
    <w:div w:id="288557293">
      <w:bodyDiv w:val="1"/>
      <w:marLeft w:val="0"/>
      <w:marRight w:val="0"/>
      <w:marTop w:val="0"/>
      <w:marBottom w:val="0"/>
      <w:divBdr>
        <w:top w:val="none" w:sz="0" w:space="0" w:color="auto"/>
        <w:left w:val="none" w:sz="0" w:space="0" w:color="auto"/>
        <w:bottom w:val="none" w:sz="0" w:space="0" w:color="auto"/>
        <w:right w:val="none" w:sz="0" w:space="0" w:color="auto"/>
      </w:divBdr>
    </w:div>
    <w:div w:id="328412902">
      <w:bodyDiv w:val="1"/>
      <w:marLeft w:val="0"/>
      <w:marRight w:val="0"/>
      <w:marTop w:val="0"/>
      <w:marBottom w:val="0"/>
      <w:divBdr>
        <w:top w:val="none" w:sz="0" w:space="0" w:color="auto"/>
        <w:left w:val="none" w:sz="0" w:space="0" w:color="auto"/>
        <w:bottom w:val="none" w:sz="0" w:space="0" w:color="auto"/>
        <w:right w:val="none" w:sz="0" w:space="0" w:color="auto"/>
      </w:divBdr>
    </w:div>
    <w:div w:id="330909121">
      <w:bodyDiv w:val="1"/>
      <w:marLeft w:val="0"/>
      <w:marRight w:val="0"/>
      <w:marTop w:val="0"/>
      <w:marBottom w:val="0"/>
      <w:divBdr>
        <w:top w:val="none" w:sz="0" w:space="0" w:color="auto"/>
        <w:left w:val="none" w:sz="0" w:space="0" w:color="auto"/>
        <w:bottom w:val="none" w:sz="0" w:space="0" w:color="auto"/>
        <w:right w:val="none" w:sz="0" w:space="0" w:color="auto"/>
      </w:divBdr>
    </w:div>
    <w:div w:id="349265153">
      <w:bodyDiv w:val="1"/>
      <w:marLeft w:val="0"/>
      <w:marRight w:val="0"/>
      <w:marTop w:val="0"/>
      <w:marBottom w:val="0"/>
      <w:divBdr>
        <w:top w:val="none" w:sz="0" w:space="0" w:color="auto"/>
        <w:left w:val="none" w:sz="0" w:space="0" w:color="auto"/>
        <w:bottom w:val="none" w:sz="0" w:space="0" w:color="auto"/>
        <w:right w:val="none" w:sz="0" w:space="0" w:color="auto"/>
      </w:divBdr>
    </w:div>
    <w:div w:id="362635665">
      <w:bodyDiv w:val="1"/>
      <w:marLeft w:val="0"/>
      <w:marRight w:val="0"/>
      <w:marTop w:val="0"/>
      <w:marBottom w:val="0"/>
      <w:divBdr>
        <w:top w:val="none" w:sz="0" w:space="0" w:color="auto"/>
        <w:left w:val="none" w:sz="0" w:space="0" w:color="auto"/>
        <w:bottom w:val="none" w:sz="0" w:space="0" w:color="auto"/>
        <w:right w:val="none" w:sz="0" w:space="0" w:color="auto"/>
      </w:divBdr>
    </w:div>
    <w:div w:id="363481777">
      <w:bodyDiv w:val="1"/>
      <w:marLeft w:val="0"/>
      <w:marRight w:val="0"/>
      <w:marTop w:val="0"/>
      <w:marBottom w:val="0"/>
      <w:divBdr>
        <w:top w:val="none" w:sz="0" w:space="0" w:color="auto"/>
        <w:left w:val="none" w:sz="0" w:space="0" w:color="auto"/>
        <w:bottom w:val="none" w:sz="0" w:space="0" w:color="auto"/>
        <w:right w:val="none" w:sz="0" w:space="0" w:color="auto"/>
      </w:divBdr>
    </w:div>
    <w:div w:id="370615501">
      <w:bodyDiv w:val="1"/>
      <w:marLeft w:val="0"/>
      <w:marRight w:val="0"/>
      <w:marTop w:val="0"/>
      <w:marBottom w:val="0"/>
      <w:divBdr>
        <w:top w:val="none" w:sz="0" w:space="0" w:color="auto"/>
        <w:left w:val="none" w:sz="0" w:space="0" w:color="auto"/>
        <w:bottom w:val="none" w:sz="0" w:space="0" w:color="auto"/>
        <w:right w:val="none" w:sz="0" w:space="0" w:color="auto"/>
      </w:divBdr>
    </w:div>
    <w:div w:id="372122698">
      <w:bodyDiv w:val="1"/>
      <w:marLeft w:val="0"/>
      <w:marRight w:val="0"/>
      <w:marTop w:val="0"/>
      <w:marBottom w:val="0"/>
      <w:divBdr>
        <w:top w:val="none" w:sz="0" w:space="0" w:color="auto"/>
        <w:left w:val="none" w:sz="0" w:space="0" w:color="auto"/>
        <w:bottom w:val="none" w:sz="0" w:space="0" w:color="auto"/>
        <w:right w:val="none" w:sz="0" w:space="0" w:color="auto"/>
      </w:divBdr>
    </w:div>
    <w:div w:id="417488383">
      <w:bodyDiv w:val="1"/>
      <w:marLeft w:val="0"/>
      <w:marRight w:val="0"/>
      <w:marTop w:val="0"/>
      <w:marBottom w:val="0"/>
      <w:divBdr>
        <w:top w:val="none" w:sz="0" w:space="0" w:color="auto"/>
        <w:left w:val="none" w:sz="0" w:space="0" w:color="auto"/>
        <w:bottom w:val="none" w:sz="0" w:space="0" w:color="auto"/>
        <w:right w:val="none" w:sz="0" w:space="0" w:color="auto"/>
      </w:divBdr>
      <w:divsChild>
        <w:div w:id="1941906850">
          <w:marLeft w:val="0"/>
          <w:marRight w:val="0"/>
          <w:marTop w:val="0"/>
          <w:marBottom w:val="120"/>
          <w:divBdr>
            <w:top w:val="none" w:sz="0" w:space="0" w:color="auto"/>
            <w:left w:val="none" w:sz="0" w:space="0" w:color="auto"/>
            <w:bottom w:val="none" w:sz="0" w:space="0" w:color="auto"/>
            <w:right w:val="none" w:sz="0" w:space="0" w:color="auto"/>
          </w:divBdr>
        </w:div>
        <w:div w:id="1171331820">
          <w:marLeft w:val="0"/>
          <w:marRight w:val="0"/>
          <w:marTop w:val="0"/>
          <w:marBottom w:val="120"/>
          <w:divBdr>
            <w:top w:val="none" w:sz="0" w:space="0" w:color="auto"/>
            <w:left w:val="none" w:sz="0" w:space="0" w:color="auto"/>
            <w:bottom w:val="none" w:sz="0" w:space="0" w:color="auto"/>
            <w:right w:val="none" w:sz="0" w:space="0" w:color="auto"/>
          </w:divBdr>
        </w:div>
        <w:div w:id="1723867249">
          <w:marLeft w:val="0"/>
          <w:marRight w:val="0"/>
          <w:marTop w:val="0"/>
          <w:marBottom w:val="120"/>
          <w:divBdr>
            <w:top w:val="none" w:sz="0" w:space="0" w:color="auto"/>
            <w:left w:val="none" w:sz="0" w:space="0" w:color="auto"/>
            <w:bottom w:val="none" w:sz="0" w:space="0" w:color="auto"/>
            <w:right w:val="none" w:sz="0" w:space="0" w:color="auto"/>
          </w:divBdr>
        </w:div>
        <w:div w:id="437792698">
          <w:marLeft w:val="0"/>
          <w:marRight w:val="0"/>
          <w:marTop w:val="0"/>
          <w:marBottom w:val="120"/>
          <w:divBdr>
            <w:top w:val="none" w:sz="0" w:space="0" w:color="auto"/>
            <w:left w:val="none" w:sz="0" w:space="0" w:color="auto"/>
            <w:bottom w:val="none" w:sz="0" w:space="0" w:color="auto"/>
            <w:right w:val="none" w:sz="0" w:space="0" w:color="auto"/>
          </w:divBdr>
        </w:div>
      </w:divsChild>
    </w:div>
    <w:div w:id="421799359">
      <w:bodyDiv w:val="1"/>
      <w:marLeft w:val="0"/>
      <w:marRight w:val="0"/>
      <w:marTop w:val="0"/>
      <w:marBottom w:val="0"/>
      <w:divBdr>
        <w:top w:val="none" w:sz="0" w:space="0" w:color="auto"/>
        <w:left w:val="none" w:sz="0" w:space="0" w:color="auto"/>
        <w:bottom w:val="none" w:sz="0" w:space="0" w:color="auto"/>
        <w:right w:val="none" w:sz="0" w:space="0" w:color="auto"/>
      </w:divBdr>
    </w:div>
    <w:div w:id="432291030">
      <w:bodyDiv w:val="1"/>
      <w:marLeft w:val="0"/>
      <w:marRight w:val="0"/>
      <w:marTop w:val="0"/>
      <w:marBottom w:val="0"/>
      <w:divBdr>
        <w:top w:val="none" w:sz="0" w:space="0" w:color="auto"/>
        <w:left w:val="none" w:sz="0" w:space="0" w:color="auto"/>
        <w:bottom w:val="none" w:sz="0" w:space="0" w:color="auto"/>
        <w:right w:val="none" w:sz="0" w:space="0" w:color="auto"/>
      </w:divBdr>
    </w:div>
    <w:div w:id="460928222">
      <w:bodyDiv w:val="1"/>
      <w:marLeft w:val="0"/>
      <w:marRight w:val="0"/>
      <w:marTop w:val="0"/>
      <w:marBottom w:val="0"/>
      <w:divBdr>
        <w:top w:val="none" w:sz="0" w:space="0" w:color="auto"/>
        <w:left w:val="none" w:sz="0" w:space="0" w:color="auto"/>
        <w:bottom w:val="none" w:sz="0" w:space="0" w:color="auto"/>
        <w:right w:val="none" w:sz="0" w:space="0" w:color="auto"/>
      </w:divBdr>
      <w:divsChild>
        <w:div w:id="1860779706">
          <w:marLeft w:val="0"/>
          <w:marRight w:val="0"/>
          <w:marTop w:val="0"/>
          <w:marBottom w:val="120"/>
          <w:divBdr>
            <w:top w:val="none" w:sz="0" w:space="0" w:color="auto"/>
            <w:left w:val="none" w:sz="0" w:space="0" w:color="auto"/>
            <w:bottom w:val="none" w:sz="0" w:space="0" w:color="auto"/>
            <w:right w:val="none" w:sz="0" w:space="0" w:color="auto"/>
          </w:divBdr>
        </w:div>
        <w:div w:id="48962797">
          <w:marLeft w:val="0"/>
          <w:marRight w:val="0"/>
          <w:marTop w:val="0"/>
          <w:marBottom w:val="120"/>
          <w:divBdr>
            <w:top w:val="none" w:sz="0" w:space="0" w:color="auto"/>
            <w:left w:val="none" w:sz="0" w:space="0" w:color="auto"/>
            <w:bottom w:val="none" w:sz="0" w:space="0" w:color="auto"/>
            <w:right w:val="none" w:sz="0" w:space="0" w:color="auto"/>
          </w:divBdr>
        </w:div>
        <w:div w:id="929393272">
          <w:marLeft w:val="0"/>
          <w:marRight w:val="0"/>
          <w:marTop w:val="0"/>
          <w:marBottom w:val="120"/>
          <w:divBdr>
            <w:top w:val="none" w:sz="0" w:space="0" w:color="auto"/>
            <w:left w:val="none" w:sz="0" w:space="0" w:color="auto"/>
            <w:bottom w:val="none" w:sz="0" w:space="0" w:color="auto"/>
            <w:right w:val="none" w:sz="0" w:space="0" w:color="auto"/>
          </w:divBdr>
        </w:div>
      </w:divsChild>
    </w:div>
    <w:div w:id="462043744">
      <w:bodyDiv w:val="1"/>
      <w:marLeft w:val="0"/>
      <w:marRight w:val="0"/>
      <w:marTop w:val="0"/>
      <w:marBottom w:val="0"/>
      <w:divBdr>
        <w:top w:val="none" w:sz="0" w:space="0" w:color="auto"/>
        <w:left w:val="none" w:sz="0" w:space="0" w:color="auto"/>
        <w:bottom w:val="none" w:sz="0" w:space="0" w:color="auto"/>
        <w:right w:val="none" w:sz="0" w:space="0" w:color="auto"/>
      </w:divBdr>
    </w:div>
    <w:div w:id="466512185">
      <w:bodyDiv w:val="1"/>
      <w:marLeft w:val="0"/>
      <w:marRight w:val="0"/>
      <w:marTop w:val="0"/>
      <w:marBottom w:val="0"/>
      <w:divBdr>
        <w:top w:val="none" w:sz="0" w:space="0" w:color="auto"/>
        <w:left w:val="none" w:sz="0" w:space="0" w:color="auto"/>
        <w:bottom w:val="none" w:sz="0" w:space="0" w:color="auto"/>
        <w:right w:val="none" w:sz="0" w:space="0" w:color="auto"/>
      </w:divBdr>
    </w:div>
    <w:div w:id="510726770">
      <w:bodyDiv w:val="1"/>
      <w:marLeft w:val="0"/>
      <w:marRight w:val="0"/>
      <w:marTop w:val="0"/>
      <w:marBottom w:val="0"/>
      <w:divBdr>
        <w:top w:val="none" w:sz="0" w:space="0" w:color="auto"/>
        <w:left w:val="none" w:sz="0" w:space="0" w:color="auto"/>
        <w:bottom w:val="none" w:sz="0" w:space="0" w:color="auto"/>
        <w:right w:val="none" w:sz="0" w:space="0" w:color="auto"/>
      </w:divBdr>
    </w:div>
    <w:div w:id="522062911">
      <w:bodyDiv w:val="1"/>
      <w:marLeft w:val="0"/>
      <w:marRight w:val="0"/>
      <w:marTop w:val="0"/>
      <w:marBottom w:val="0"/>
      <w:divBdr>
        <w:top w:val="none" w:sz="0" w:space="0" w:color="auto"/>
        <w:left w:val="none" w:sz="0" w:space="0" w:color="auto"/>
        <w:bottom w:val="none" w:sz="0" w:space="0" w:color="auto"/>
        <w:right w:val="none" w:sz="0" w:space="0" w:color="auto"/>
      </w:divBdr>
    </w:div>
    <w:div w:id="537085797">
      <w:bodyDiv w:val="1"/>
      <w:marLeft w:val="0"/>
      <w:marRight w:val="0"/>
      <w:marTop w:val="0"/>
      <w:marBottom w:val="0"/>
      <w:divBdr>
        <w:top w:val="none" w:sz="0" w:space="0" w:color="auto"/>
        <w:left w:val="none" w:sz="0" w:space="0" w:color="auto"/>
        <w:bottom w:val="none" w:sz="0" w:space="0" w:color="auto"/>
        <w:right w:val="none" w:sz="0" w:space="0" w:color="auto"/>
      </w:divBdr>
      <w:divsChild>
        <w:div w:id="1474330393">
          <w:marLeft w:val="0"/>
          <w:marRight w:val="0"/>
          <w:marTop w:val="0"/>
          <w:marBottom w:val="0"/>
          <w:divBdr>
            <w:top w:val="none" w:sz="0" w:space="0" w:color="auto"/>
            <w:left w:val="none" w:sz="0" w:space="0" w:color="auto"/>
            <w:bottom w:val="none" w:sz="0" w:space="0" w:color="auto"/>
            <w:right w:val="none" w:sz="0" w:space="0" w:color="auto"/>
          </w:divBdr>
          <w:divsChild>
            <w:div w:id="41439633">
              <w:marLeft w:val="150"/>
              <w:marRight w:val="150"/>
              <w:marTop w:val="450"/>
              <w:marBottom w:val="0"/>
              <w:divBdr>
                <w:top w:val="none" w:sz="0" w:space="0" w:color="auto"/>
                <w:left w:val="none" w:sz="0" w:space="0" w:color="auto"/>
                <w:bottom w:val="none" w:sz="0" w:space="0" w:color="auto"/>
                <w:right w:val="none" w:sz="0" w:space="0" w:color="auto"/>
              </w:divBdr>
              <w:divsChild>
                <w:div w:id="104433500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86380496">
      <w:bodyDiv w:val="1"/>
      <w:marLeft w:val="0"/>
      <w:marRight w:val="0"/>
      <w:marTop w:val="0"/>
      <w:marBottom w:val="0"/>
      <w:divBdr>
        <w:top w:val="none" w:sz="0" w:space="0" w:color="auto"/>
        <w:left w:val="none" w:sz="0" w:space="0" w:color="auto"/>
        <w:bottom w:val="none" w:sz="0" w:space="0" w:color="auto"/>
        <w:right w:val="none" w:sz="0" w:space="0" w:color="auto"/>
      </w:divBdr>
    </w:div>
    <w:div w:id="627784826">
      <w:bodyDiv w:val="1"/>
      <w:marLeft w:val="0"/>
      <w:marRight w:val="0"/>
      <w:marTop w:val="0"/>
      <w:marBottom w:val="0"/>
      <w:divBdr>
        <w:top w:val="none" w:sz="0" w:space="0" w:color="auto"/>
        <w:left w:val="none" w:sz="0" w:space="0" w:color="auto"/>
        <w:bottom w:val="none" w:sz="0" w:space="0" w:color="auto"/>
        <w:right w:val="none" w:sz="0" w:space="0" w:color="auto"/>
      </w:divBdr>
    </w:div>
    <w:div w:id="639573826">
      <w:bodyDiv w:val="1"/>
      <w:marLeft w:val="0"/>
      <w:marRight w:val="0"/>
      <w:marTop w:val="0"/>
      <w:marBottom w:val="0"/>
      <w:divBdr>
        <w:top w:val="none" w:sz="0" w:space="0" w:color="auto"/>
        <w:left w:val="none" w:sz="0" w:space="0" w:color="auto"/>
        <w:bottom w:val="none" w:sz="0" w:space="0" w:color="auto"/>
        <w:right w:val="none" w:sz="0" w:space="0" w:color="auto"/>
      </w:divBdr>
    </w:div>
    <w:div w:id="650257504">
      <w:bodyDiv w:val="1"/>
      <w:marLeft w:val="0"/>
      <w:marRight w:val="0"/>
      <w:marTop w:val="0"/>
      <w:marBottom w:val="0"/>
      <w:divBdr>
        <w:top w:val="none" w:sz="0" w:space="0" w:color="auto"/>
        <w:left w:val="none" w:sz="0" w:space="0" w:color="auto"/>
        <w:bottom w:val="none" w:sz="0" w:space="0" w:color="auto"/>
        <w:right w:val="none" w:sz="0" w:space="0" w:color="auto"/>
      </w:divBdr>
    </w:div>
    <w:div w:id="668170074">
      <w:bodyDiv w:val="1"/>
      <w:marLeft w:val="0"/>
      <w:marRight w:val="0"/>
      <w:marTop w:val="0"/>
      <w:marBottom w:val="0"/>
      <w:divBdr>
        <w:top w:val="none" w:sz="0" w:space="0" w:color="auto"/>
        <w:left w:val="none" w:sz="0" w:space="0" w:color="auto"/>
        <w:bottom w:val="none" w:sz="0" w:space="0" w:color="auto"/>
        <w:right w:val="none" w:sz="0" w:space="0" w:color="auto"/>
      </w:divBdr>
    </w:div>
    <w:div w:id="670109062">
      <w:bodyDiv w:val="1"/>
      <w:marLeft w:val="0"/>
      <w:marRight w:val="0"/>
      <w:marTop w:val="0"/>
      <w:marBottom w:val="0"/>
      <w:divBdr>
        <w:top w:val="none" w:sz="0" w:space="0" w:color="auto"/>
        <w:left w:val="none" w:sz="0" w:space="0" w:color="auto"/>
        <w:bottom w:val="none" w:sz="0" w:space="0" w:color="auto"/>
        <w:right w:val="none" w:sz="0" w:space="0" w:color="auto"/>
      </w:divBdr>
    </w:div>
    <w:div w:id="676469885">
      <w:bodyDiv w:val="1"/>
      <w:marLeft w:val="0"/>
      <w:marRight w:val="0"/>
      <w:marTop w:val="0"/>
      <w:marBottom w:val="0"/>
      <w:divBdr>
        <w:top w:val="none" w:sz="0" w:space="0" w:color="auto"/>
        <w:left w:val="none" w:sz="0" w:space="0" w:color="auto"/>
        <w:bottom w:val="none" w:sz="0" w:space="0" w:color="auto"/>
        <w:right w:val="none" w:sz="0" w:space="0" w:color="auto"/>
      </w:divBdr>
    </w:div>
    <w:div w:id="686908399">
      <w:bodyDiv w:val="1"/>
      <w:marLeft w:val="0"/>
      <w:marRight w:val="0"/>
      <w:marTop w:val="0"/>
      <w:marBottom w:val="0"/>
      <w:divBdr>
        <w:top w:val="none" w:sz="0" w:space="0" w:color="auto"/>
        <w:left w:val="none" w:sz="0" w:space="0" w:color="auto"/>
        <w:bottom w:val="none" w:sz="0" w:space="0" w:color="auto"/>
        <w:right w:val="none" w:sz="0" w:space="0" w:color="auto"/>
      </w:divBdr>
    </w:div>
    <w:div w:id="830559786">
      <w:bodyDiv w:val="1"/>
      <w:marLeft w:val="0"/>
      <w:marRight w:val="0"/>
      <w:marTop w:val="0"/>
      <w:marBottom w:val="0"/>
      <w:divBdr>
        <w:top w:val="none" w:sz="0" w:space="0" w:color="auto"/>
        <w:left w:val="none" w:sz="0" w:space="0" w:color="auto"/>
        <w:bottom w:val="none" w:sz="0" w:space="0" w:color="auto"/>
        <w:right w:val="none" w:sz="0" w:space="0" w:color="auto"/>
      </w:divBdr>
    </w:div>
    <w:div w:id="846480359">
      <w:bodyDiv w:val="1"/>
      <w:marLeft w:val="0"/>
      <w:marRight w:val="0"/>
      <w:marTop w:val="0"/>
      <w:marBottom w:val="0"/>
      <w:divBdr>
        <w:top w:val="none" w:sz="0" w:space="0" w:color="auto"/>
        <w:left w:val="none" w:sz="0" w:space="0" w:color="auto"/>
        <w:bottom w:val="none" w:sz="0" w:space="0" w:color="auto"/>
        <w:right w:val="none" w:sz="0" w:space="0" w:color="auto"/>
      </w:divBdr>
      <w:divsChild>
        <w:div w:id="534121372">
          <w:marLeft w:val="0"/>
          <w:marRight w:val="0"/>
          <w:marTop w:val="0"/>
          <w:marBottom w:val="120"/>
          <w:divBdr>
            <w:top w:val="none" w:sz="0" w:space="0" w:color="auto"/>
            <w:left w:val="none" w:sz="0" w:space="0" w:color="auto"/>
            <w:bottom w:val="none" w:sz="0" w:space="0" w:color="auto"/>
            <w:right w:val="none" w:sz="0" w:space="0" w:color="auto"/>
          </w:divBdr>
        </w:div>
        <w:div w:id="1976641617">
          <w:marLeft w:val="0"/>
          <w:marRight w:val="0"/>
          <w:marTop w:val="0"/>
          <w:marBottom w:val="120"/>
          <w:divBdr>
            <w:top w:val="none" w:sz="0" w:space="0" w:color="auto"/>
            <w:left w:val="none" w:sz="0" w:space="0" w:color="auto"/>
            <w:bottom w:val="none" w:sz="0" w:space="0" w:color="auto"/>
            <w:right w:val="none" w:sz="0" w:space="0" w:color="auto"/>
          </w:divBdr>
        </w:div>
        <w:div w:id="1158692706">
          <w:marLeft w:val="0"/>
          <w:marRight w:val="0"/>
          <w:marTop w:val="0"/>
          <w:marBottom w:val="120"/>
          <w:divBdr>
            <w:top w:val="none" w:sz="0" w:space="0" w:color="auto"/>
            <w:left w:val="none" w:sz="0" w:space="0" w:color="auto"/>
            <w:bottom w:val="none" w:sz="0" w:space="0" w:color="auto"/>
            <w:right w:val="none" w:sz="0" w:space="0" w:color="auto"/>
          </w:divBdr>
        </w:div>
      </w:divsChild>
    </w:div>
    <w:div w:id="866530907">
      <w:bodyDiv w:val="1"/>
      <w:marLeft w:val="0"/>
      <w:marRight w:val="0"/>
      <w:marTop w:val="0"/>
      <w:marBottom w:val="0"/>
      <w:divBdr>
        <w:top w:val="none" w:sz="0" w:space="0" w:color="auto"/>
        <w:left w:val="none" w:sz="0" w:space="0" w:color="auto"/>
        <w:bottom w:val="none" w:sz="0" w:space="0" w:color="auto"/>
        <w:right w:val="none" w:sz="0" w:space="0" w:color="auto"/>
      </w:divBdr>
    </w:div>
    <w:div w:id="888146337">
      <w:bodyDiv w:val="1"/>
      <w:marLeft w:val="0"/>
      <w:marRight w:val="0"/>
      <w:marTop w:val="0"/>
      <w:marBottom w:val="0"/>
      <w:divBdr>
        <w:top w:val="none" w:sz="0" w:space="0" w:color="auto"/>
        <w:left w:val="none" w:sz="0" w:space="0" w:color="auto"/>
        <w:bottom w:val="none" w:sz="0" w:space="0" w:color="auto"/>
        <w:right w:val="none" w:sz="0" w:space="0" w:color="auto"/>
      </w:divBdr>
    </w:div>
    <w:div w:id="940187524">
      <w:bodyDiv w:val="1"/>
      <w:marLeft w:val="0"/>
      <w:marRight w:val="0"/>
      <w:marTop w:val="0"/>
      <w:marBottom w:val="0"/>
      <w:divBdr>
        <w:top w:val="none" w:sz="0" w:space="0" w:color="auto"/>
        <w:left w:val="none" w:sz="0" w:space="0" w:color="auto"/>
        <w:bottom w:val="none" w:sz="0" w:space="0" w:color="auto"/>
        <w:right w:val="none" w:sz="0" w:space="0" w:color="auto"/>
      </w:divBdr>
    </w:div>
    <w:div w:id="946624331">
      <w:bodyDiv w:val="1"/>
      <w:marLeft w:val="0"/>
      <w:marRight w:val="0"/>
      <w:marTop w:val="0"/>
      <w:marBottom w:val="0"/>
      <w:divBdr>
        <w:top w:val="none" w:sz="0" w:space="0" w:color="auto"/>
        <w:left w:val="none" w:sz="0" w:space="0" w:color="auto"/>
        <w:bottom w:val="none" w:sz="0" w:space="0" w:color="auto"/>
        <w:right w:val="none" w:sz="0" w:space="0" w:color="auto"/>
      </w:divBdr>
    </w:div>
    <w:div w:id="965625926">
      <w:bodyDiv w:val="1"/>
      <w:marLeft w:val="0"/>
      <w:marRight w:val="0"/>
      <w:marTop w:val="0"/>
      <w:marBottom w:val="0"/>
      <w:divBdr>
        <w:top w:val="none" w:sz="0" w:space="0" w:color="auto"/>
        <w:left w:val="none" w:sz="0" w:space="0" w:color="auto"/>
        <w:bottom w:val="none" w:sz="0" w:space="0" w:color="auto"/>
        <w:right w:val="none" w:sz="0" w:space="0" w:color="auto"/>
      </w:divBdr>
    </w:div>
    <w:div w:id="968629002">
      <w:bodyDiv w:val="1"/>
      <w:marLeft w:val="0"/>
      <w:marRight w:val="0"/>
      <w:marTop w:val="0"/>
      <w:marBottom w:val="0"/>
      <w:divBdr>
        <w:top w:val="none" w:sz="0" w:space="0" w:color="auto"/>
        <w:left w:val="none" w:sz="0" w:space="0" w:color="auto"/>
        <w:bottom w:val="none" w:sz="0" w:space="0" w:color="auto"/>
        <w:right w:val="none" w:sz="0" w:space="0" w:color="auto"/>
      </w:divBdr>
    </w:div>
    <w:div w:id="1002781828">
      <w:bodyDiv w:val="1"/>
      <w:marLeft w:val="0"/>
      <w:marRight w:val="0"/>
      <w:marTop w:val="0"/>
      <w:marBottom w:val="0"/>
      <w:divBdr>
        <w:top w:val="none" w:sz="0" w:space="0" w:color="auto"/>
        <w:left w:val="none" w:sz="0" w:space="0" w:color="auto"/>
        <w:bottom w:val="none" w:sz="0" w:space="0" w:color="auto"/>
        <w:right w:val="none" w:sz="0" w:space="0" w:color="auto"/>
      </w:divBdr>
    </w:div>
    <w:div w:id="1040934852">
      <w:bodyDiv w:val="1"/>
      <w:marLeft w:val="0"/>
      <w:marRight w:val="0"/>
      <w:marTop w:val="0"/>
      <w:marBottom w:val="0"/>
      <w:divBdr>
        <w:top w:val="none" w:sz="0" w:space="0" w:color="auto"/>
        <w:left w:val="none" w:sz="0" w:space="0" w:color="auto"/>
        <w:bottom w:val="none" w:sz="0" w:space="0" w:color="auto"/>
        <w:right w:val="none" w:sz="0" w:space="0" w:color="auto"/>
      </w:divBdr>
    </w:div>
    <w:div w:id="1055203345">
      <w:bodyDiv w:val="1"/>
      <w:marLeft w:val="0"/>
      <w:marRight w:val="0"/>
      <w:marTop w:val="0"/>
      <w:marBottom w:val="0"/>
      <w:divBdr>
        <w:top w:val="none" w:sz="0" w:space="0" w:color="auto"/>
        <w:left w:val="none" w:sz="0" w:space="0" w:color="auto"/>
        <w:bottom w:val="none" w:sz="0" w:space="0" w:color="auto"/>
        <w:right w:val="none" w:sz="0" w:space="0" w:color="auto"/>
      </w:divBdr>
      <w:divsChild>
        <w:div w:id="1711295178">
          <w:marLeft w:val="0"/>
          <w:marRight w:val="0"/>
          <w:marTop w:val="0"/>
          <w:marBottom w:val="120"/>
          <w:divBdr>
            <w:top w:val="none" w:sz="0" w:space="0" w:color="auto"/>
            <w:left w:val="none" w:sz="0" w:space="0" w:color="auto"/>
            <w:bottom w:val="none" w:sz="0" w:space="0" w:color="auto"/>
            <w:right w:val="none" w:sz="0" w:space="0" w:color="auto"/>
          </w:divBdr>
        </w:div>
        <w:div w:id="1403916377">
          <w:marLeft w:val="0"/>
          <w:marRight w:val="0"/>
          <w:marTop w:val="0"/>
          <w:marBottom w:val="120"/>
          <w:divBdr>
            <w:top w:val="none" w:sz="0" w:space="0" w:color="auto"/>
            <w:left w:val="none" w:sz="0" w:space="0" w:color="auto"/>
            <w:bottom w:val="none" w:sz="0" w:space="0" w:color="auto"/>
            <w:right w:val="none" w:sz="0" w:space="0" w:color="auto"/>
          </w:divBdr>
        </w:div>
      </w:divsChild>
    </w:div>
    <w:div w:id="1071731628">
      <w:bodyDiv w:val="1"/>
      <w:marLeft w:val="0"/>
      <w:marRight w:val="0"/>
      <w:marTop w:val="0"/>
      <w:marBottom w:val="0"/>
      <w:divBdr>
        <w:top w:val="none" w:sz="0" w:space="0" w:color="auto"/>
        <w:left w:val="none" w:sz="0" w:space="0" w:color="auto"/>
        <w:bottom w:val="none" w:sz="0" w:space="0" w:color="auto"/>
        <w:right w:val="none" w:sz="0" w:space="0" w:color="auto"/>
      </w:divBdr>
    </w:div>
    <w:div w:id="1078868980">
      <w:bodyDiv w:val="1"/>
      <w:marLeft w:val="0"/>
      <w:marRight w:val="0"/>
      <w:marTop w:val="0"/>
      <w:marBottom w:val="0"/>
      <w:divBdr>
        <w:top w:val="none" w:sz="0" w:space="0" w:color="auto"/>
        <w:left w:val="none" w:sz="0" w:space="0" w:color="auto"/>
        <w:bottom w:val="none" w:sz="0" w:space="0" w:color="auto"/>
        <w:right w:val="none" w:sz="0" w:space="0" w:color="auto"/>
      </w:divBdr>
    </w:div>
    <w:div w:id="1091194604">
      <w:bodyDiv w:val="1"/>
      <w:marLeft w:val="0"/>
      <w:marRight w:val="0"/>
      <w:marTop w:val="0"/>
      <w:marBottom w:val="0"/>
      <w:divBdr>
        <w:top w:val="none" w:sz="0" w:space="0" w:color="auto"/>
        <w:left w:val="none" w:sz="0" w:space="0" w:color="auto"/>
        <w:bottom w:val="none" w:sz="0" w:space="0" w:color="auto"/>
        <w:right w:val="none" w:sz="0" w:space="0" w:color="auto"/>
      </w:divBdr>
    </w:div>
    <w:div w:id="1120609593">
      <w:bodyDiv w:val="1"/>
      <w:marLeft w:val="0"/>
      <w:marRight w:val="0"/>
      <w:marTop w:val="0"/>
      <w:marBottom w:val="0"/>
      <w:divBdr>
        <w:top w:val="none" w:sz="0" w:space="0" w:color="auto"/>
        <w:left w:val="none" w:sz="0" w:space="0" w:color="auto"/>
        <w:bottom w:val="none" w:sz="0" w:space="0" w:color="auto"/>
        <w:right w:val="none" w:sz="0" w:space="0" w:color="auto"/>
      </w:divBdr>
    </w:div>
    <w:div w:id="1124037440">
      <w:bodyDiv w:val="1"/>
      <w:marLeft w:val="0"/>
      <w:marRight w:val="0"/>
      <w:marTop w:val="0"/>
      <w:marBottom w:val="0"/>
      <w:divBdr>
        <w:top w:val="none" w:sz="0" w:space="0" w:color="auto"/>
        <w:left w:val="none" w:sz="0" w:space="0" w:color="auto"/>
        <w:bottom w:val="none" w:sz="0" w:space="0" w:color="auto"/>
        <w:right w:val="none" w:sz="0" w:space="0" w:color="auto"/>
      </w:divBdr>
    </w:div>
    <w:div w:id="1126582426">
      <w:bodyDiv w:val="1"/>
      <w:marLeft w:val="0"/>
      <w:marRight w:val="0"/>
      <w:marTop w:val="0"/>
      <w:marBottom w:val="0"/>
      <w:divBdr>
        <w:top w:val="none" w:sz="0" w:space="0" w:color="auto"/>
        <w:left w:val="none" w:sz="0" w:space="0" w:color="auto"/>
        <w:bottom w:val="none" w:sz="0" w:space="0" w:color="auto"/>
        <w:right w:val="none" w:sz="0" w:space="0" w:color="auto"/>
      </w:divBdr>
    </w:div>
    <w:div w:id="1157383732">
      <w:bodyDiv w:val="1"/>
      <w:marLeft w:val="0"/>
      <w:marRight w:val="0"/>
      <w:marTop w:val="0"/>
      <w:marBottom w:val="0"/>
      <w:divBdr>
        <w:top w:val="none" w:sz="0" w:space="0" w:color="auto"/>
        <w:left w:val="none" w:sz="0" w:space="0" w:color="auto"/>
        <w:bottom w:val="none" w:sz="0" w:space="0" w:color="auto"/>
        <w:right w:val="none" w:sz="0" w:space="0" w:color="auto"/>
      </w:divBdr>
    </w:div>
    <w:div w:id="1158808818">
      <w:bodyDiv w:val="1"/>
      <w:marLeft w:val="0"/>
      <w:marRight w:val="0"/>
      <w:marTop w:val="0"/>
      <w:marBottom w:val="0"/>
      <w:divBdr>
        <w:top w:val="none" w:sz="0" w:space="0" w:color="auto"/>
        <w:left w:val="none" w:sz="0" w:space="0" w:color="auto"/>
        <w:bottom w:val="none" w:sz="0" w:space="0" w:color="auto"/>
        <w:right w:val="none" w:sz="0" w:space="0" w:color="auto"/>
      </w:divBdr>
    </w:div>
    <w:div w:id="1161888603">
      <w:bodyDiv w:val="1"/>
      <w:marLeft w:val="0"/>
      <w:marRight w:val="0"/>
      <w:marTop w:val="0"/>
      <w:marBottom w:val="0"/>
      <w:divBdr>
        <w:top w:val="none" w:sz="0" w:space="0" w:color="auto"/>
        <w:left w:val="none" w:sz="0" w:space="0" w:color="auto"/>
        <w:bottom w:val="none" w:sz="0" w:space="0" w:color="auto"/>
        <w:right w:val="none" w:sz="0" w:space="0" w:color="auto"/>
      </w:divBdr>
      <w:divsChild>
        <w:div w:id="1928732821">
          <w:marLeft w:val="0"/>
          <w:marRight w:val="0"/>
          <w:marTop w:val="0"/>
          <w:marBottom w:val="120"/>
          <w:divBdr>
            <w:top w:val="none" w:sz="0" w:space="0" w:color="auto"/>
            <w:left w:val="none" w:sz="0" w:space="0" w:color="auto"/>
            <w:bottom w:val="none" w:sz="0" w:space="0" w:color="auto"/>
            <w:right w:val="none" w:sz="0" w:space="0" w:color="auto"/>
          </w:divBdr>
        </w:div>
        <w:div w:id="108625607">
          <w:marLeft w:val="0"/>
          <w:marRight w:val="0"/>
          <w:marTop w:val="0"/>
          <w:marBottom w:val="120"/>
          <w:divBdr>
            <w:top w:val="none" w:sz="0" w:space="0" w:color="auto"/>
            <w:left w:val="none" w:sz="0" w:space="0" w:color="auto"/>
            <w:bottom w:val="none" w:sz="0" w:space="0" w:color="auto"/>
            <w:right w:val="none" w:sz="0" w:space="0" w:color="auto"/>
          </w:divBdr>
        </w:div>
      </w:divsChild>
    </w:div>
    <w:div w:id="1164276101">
      <w:bodyDiv w:val="1"/>
      <w:marLeft w:val="0"/>
      <w:marRight w:val="0"/>
      <w:marTop w:val="0"/>
      <w:marBottom w:val="0"/>
      <w:divBdr>
        <w:top w:val="none" w:sz="0" w:space="0" w:color="auto"/>
        <w:left w:val="none" w:sz="0" w:space="0" w:color="auto"/>
        <w:bottom w:val="none" w:sz="0" w:space="0" w:color="auto"/>
        <w:right w:val="none" w:sz="0" w:space="0" w:color="auto"/>
      </w:divBdr>
    </w:div>
    <w:div w:id="1172911686">
      <w:bodyDiv w:val="1"/>
      <w:marLeft w:val="0"/>
      <w:marRight w:val="0"/>
      <w:marTop w:val="0"/>
      <w:marBottom w:val="0"/>
      <w:divBdr>
        <w:top w:val="none" w:sz="0" w:space="0" w:color="auto"/>
        <w:left w:val="none" w:sz="0" w:space="0" w:color="auto"/>
        <w:bottom w:val="none" w:sz="0" w:space="0" w:color="auto"/>
        <w:right w:val="none" w:sz="0" w:space="0" w:color="auto"/>
      </w:divBdr>
      <w:divsChild>
        <w:div w:id="1319118514">
          <w:marLeft w:val="0"/>
          <w:marRight w:val="0"/>
          <w:marTop w:val="0"/>
          <w:marBottom w:val="120"/>
          <w:divBdr>
            <w:top w:val="none" w:sz="0" w:space="0" w:color="auto"/>
            <w:left w:val="none" w:sz="0" w:space="0" w:color="auto"/>
            <w:bottom w:val="none" w:sz="0" w:space="0" w:color="auto"/>
            <w:right w:val="none" w:sz="0" w:space="0" w:color="auto"/>
          </w:divBdr>
        </w:div>
        <w:div w:id="196823317">
          <w:marLeft w:val="0"/>
          <w:marRight w:val="0"/>
          <w:marTop w:val="0"/>
          <w:marBottom w:val="120"/>
          <w:divBdr>
            <w:top w:val="none" w:sz="0" w:space="0" w:color="auto"/>
            <w:left w:val="none" w:sz="0" w:space="0" w:color="auto"/>
            <w:bottom w:val="none" w:sz="0" w:space="0" w:color="auto"/>
            <w:right w:val="none" w:sz="0" w:space="0" w:color="auto"/>
          </w:divBdr>
        </w:div>
        <w:div w:id="1190144716">
          <w:marLeft w:val="0"/>
          <w:marRight w:val="0"/>
          <w:marTop w:val="0"/>
          <w:marBottom w:val="120"/>
          <w:divBdr>
            <w:top w:val="none" w:sz="0" w:space="0" w:color="auto"/>
            <w:left w:val="none" w:sz="0" w:space="0" w:color="auto"/>
            <w:bottom w:val="none" w:sz="0" w:space="0" w:color="auto"/>
            <w:right w:val="none" w:sz="0" w:space="0" w:color="auto"/>
          </w:divBdr>
        </w:div>
        <w:div w:id="2059627953">
          <w:marLeft w:val="0"/>
          <w:marRight w:val="0"/>
          <w:marTop w:val="0"/>
          <w:marBottom w:val="120"/>
          <w:divBdr>
            <w:top w:val="none" w:sz="0" w:space="0" w:color="auto"/>
            <w:left w:val="none" w:sz="0" w:space="0" w:color="auto"/>
            <w:bottom w:val="none" w:sz="0" w:space="0" w:color="auto"/>
            <w:right w:val="none" w:sz="0" w:space="0" w:color="auto"/>
          </w:divBdr>
        </w:div>
      </w:divsChild>
    </w:div>
    <w:div w:id="1191189319">
      <w:bodyDiv w:val="1"/>
      <w:marLeft w:val="0"/>
      <w:marRight w:val="0"/>
      <w:marTop w:val="0"/>
      <w:marBottom w:val="0"/>
      <w:divBdr>
        <w:top w:val="none" w:sz="0" w:space="0" w:color="auto"/>
        <w:left w:val="none" w:sz="0" w:space="0" w:color="auto"/>
        <w:bottom w:val="none" w:sz="0" w:space="0" w:color="auto"/>
        <w:right w:val="none" w:sz="0" w:space="0" w:color="auto"/>
      </w:divBdr>
    </w:div>
    <w:div w:id="1214076481">
      <w:bodyDiv w:val="1"/>
      <w:marLeft w:val="0"/>
      <w:marRight w:val="0"/>
      <w:marTop w:val="0"/>
      <w:marBottom w:val="0"/>
      <w:divBdr>
        <w:top w:val="none" w:sz="0" w:space="0" w:color="auto"/>
        <w:left w:val="none" w:sz="0" w:space="0" w:color="auto"/>
        <w:bottom w:val="none" w:sz="0" w:space="0" w:color="auto"/>
        <w:right w:val="none" w:sz="0" w:space="0" w:color="auto"/>
      </w:divBdr>
      <w:divsChild>
        <w:div w:id="1341472331">
          <w:marLeft w:val="0"/>
          <w:marRight w:val="0"/>
          <w:marTop w:val="0"/>
          <w:marBottom w:val="120"/>
          <w:divBdr>
            <w:top w:val="none" w:sz="0" w:space="0" w:color="auto"/>
            <w:left w:val="none" w:sz="0" w:space="0" w:color="auto"/>
            <w:bottom w:val="none" w:sz="0" w:space="0" w:color="auto"/>
            <w:right w:val="none" w:sz="0" w:space="0" w:color="auto"/>
          </w:divBdr>
        </w:div>
        <w:div w:id="1684941906">
          <w:marLeft w:val="0"/>
          <w:marRight w:val="0"/>
          <w:marTop w:val="0"/>
          <w:marBottom w:val="120"/>
          <w:divBdr>
            <w:top w:val="none" w:sz="0" w:space="0" w:color="auto"/>
            <w:left w:val="none" w:sz="0" w:space="0" w:color="auto"/>
            <w:bottom w:val="none" w:sz="0" w:space="0" w:color="auto"/>
            <w:right w:val="none" w:sz="0" w:space="0" w:color="auto"/>
          </w:divBdr>
        </w:div>
      </w:divsChild>
    </w:div>
    <w:div w:id="1232886160">
      <w:bodyDiv w:val="1"/>
      <w:marLeft w:val="0"/>
      <w:marRight w:val="0"/>
      <w:marTop w:val="0"/>
      <w:marBottom w:val="0"/>
      <w:divBdr>
        <w:top w:val="none" w:sz="0" w:space="0" w:color="auto"/>
        <w:left w:val="none" w:sz="0" w:space="0" w:color="auto"/>
        <w:bottom w:val="none" w:sz="0" w:space="0" w:color="auto"/>
        <w:right w:val="none" w:sz="0" w:space="0" w:color="auto"/>
      </w:divBdr>
    </w:div>
    <w:div w:id="1262883944">
      <w:bodyDiv w:val="1"/>
      <w:marLeft w:val="0"/>
      <w:marRight w:val="0"/>
      <w:marTop w:val="0"/>
      <w:marBottom w:val="0"/>
      <w:divBdr>
        <w:top w:val="none" w:sz="0" w:space="0" w:color="auto"/>
        <w:left w:val="none" w:sz="0" w:space="0" w:color="auto"/>
        <w:bottom w:val="none" w:sz="0" w:space="0" w:color="auto"/>
        <w:right w:val="none" w:sz="0" w:space="0" w:color="auto"/>
      </w:divBdr>
    </w:div>
    <w:div w:id="1268581111">
      <w:bodyDiv w:val="1"/>
      <w:marLeft w:val="0"/>
      <w:marRight w:val="0"/>
      <w:marTop w:val="0"/>
      <w:marBottom w:val="0"/>
      <w:divBdr>
        <w:top w:val="none" w:sz="0" w:space="0" w:color="auto"/>
        <w:left w:val="none" w:sz="0" w:space="0" w:color="auto"/>
        <w:bottom w:val="none" w:sz="0" w:space="0" w:color="auto"/>
        <w:right w:val="none" w:sz="0" w:space="0" w:color="auto"/>
      </w:divBdr>
    </w:div>
    <w:div w:id="1284731876">
      <w:bodyDiv w:val="1"/>
      <w:marLeft w:val="0"/>
      <w:marRight w:val="0"/>
      <w:marTop w:val="0"/>
      <w:marBottom w:val="0"/>
      <w:divBdr>
        <w:top w:val="none" w:sz="0" w:space="0" w:color="auto"/>
        <w:left w:val="none" w:sz="0" w:space="0" w:color="auto"/>
        <w:bottom w:val="none" w:sz="0" w:space="0" w:color="auto"/>
        <w:right w:val="none" w:sz="0" w:space="0" w:color="auto"/>
      </w:divBdr>
    </w:div>
    <w:div w:id="1298338614">
      <w:bodyDiv w:val="1"/>
      <w:marLeft w:val="0"/>
      <w:marRight w:val="0"/>
      <w:marTop w:val="0"/>
      <w:marBottom w:val="0"/>
      <w:divBdr>
        <w:top w:val="none" w:sz="0" w:space="0" w:color="auto"/>
        <w:left w:val="none" w:sz="0" w:space="0" w:color="auto"/>
        <w:bottom w:val="none" w:sz="0" w:space="0" w:color="auto"/>
        <w:right w:val="none" w:sz="0" w:space="0" w:color="auto"/>
      </w:divBdr>
      <w:divsChild>
        <w:div w:id="1921868336">
          <w:marLeft w:val="0"/>
          <w:marRight w:val="0"/>
          <w:marTop w:val="120"/>
          <w:marBottom w:val="120"/>
          <w:divBdr>
            <w:top w:val="none" w:sz="0" w:space="0" w:color="auto"/>
            <w:left w:val="none" w:sz="0" w:space="0" w:color="auto"/>
            <w:bottom w:val="none" w:sz="0" w:space="0" w:color="auto"/>
            <w:right w:val="none" w:sz="0" w:space="0" w:color="auto"/>
          </w:divBdr>
        </w:div>
        <w:div w:id="1577088988">
          <w:marLeft w:val="0"/>
          <w:marRight w:val="0"/>
          <w:marTop w:val="0"/>
          <w:marBottom w:val="120"/>
          <w:divBdr>
            <w:top w:val="none" w:sz="0" w:space="0" w:color="auto"/>
            <w:left w:val="none" w:sz="0" w:space="0" w:color="auto"/>
            <w:bottom w:val="none" w:sz="0" w:space="0" w:color="auto"/>
            <w:right w:val="none" w:sz="0" w:space="0" w:color="auto"/>
          </w:divBdr>
        </w:div>
      </w:divsChild>
    </w:div>
    <w:div w:id="1345861958">
      <w:bodyDiv w:val="1"/>
      <w:marLeft w:val="0"/>
      <w:marRight w:val="0"/>
      <w:marTop w:val="0"/>
      <w:marBottom w:val="0"/>
      <w:divBdr>
        <w:top w:val="none" w:sz="0" w:space="0" w:color="auto"/>
        <w:left w:val="none" w:sz="0" w:space="0" w:color="auto"/>
        <w:bottom w:val="none" w:sz="0" w:space="0" w:color="auto"/>
        <w:right w:val="none" w:sz="0" w:space="0" w:color="auto"/>
      </w:divBdr>
    </w:div>
    <w:div w:id="1354107967">
      <w:bodyDiv w:val="1"/>
      <w:marLeft w:val="0"/>
      <w:marRight w:val="0"/>
      <w:marTop w:val="0"/>
      <w:marBottom w:val="0"/>
      <w:divBdr>
        <w:top w:val="none" w:sz="0" w:space="0" w:color="auto"/>
        <w:left w:val="none" w:sz="0" w:space="0" w:color="auto"/>
        <w:bottom w:val="none" w:sz="0" w:space="0" w:color="auto"/>
        <w:right w:val="none" w:sz="0" w:space="0" w:color="auto"/>
      </w:divBdr>
    </w:div>
    <w:div w:id="1357660855">
      <w:bodyDiv w:val="1"/>
      <w:marLeft w:val="0"/>
      <w:marRight w:val="0"/>
      <w:marTop w:val="0"/>
      <w:marBottom w:val="0"/>
      <w:divBdr>
        <w:top w:val="none" w:sz="0" w:space="0" w:color="auto"/>
        <w:left w:val="none" w:sz="0" w:space="0" w:color="auto"/>
        <w:bottom w:val="none" w:sz="0" w:space="0" w:color="auto"/>
        <w:right w:val="none" w:sz="0" w:space="0" w:color="auto"/>
      </w:divBdr>
    </w:div>
    <w:div w:id="1362780831">
      <w:bodyDiv w:val="1"/>
      <w:marLeft w:val="0"/>
      <w:marRight w:val="0"/>
      <w:marTop w:val="0"/>
      <w:marBottom w:val="0"/>
      <w:divBdr>
        <w:top w:val="none" w:sz="0" w:space="0" w:color="auto"/>
        <w:left w:val="none" w:sz="0" w:space="0" w:color="auto"/>
        <w:bottom w:val="none" w:sz="0" w:space="0" w:color="auto"/>
        <w:right w:val="none" w:sz="0" w:space="0" w:color="auto"/>
      </w:divBdr>
    </w:div>
    <w:div w:id="1433742191">
      <w:bodyDiv w:val="1"/>
      <w:marLeft w:val="0"/>
      <w:marRight w:val="0"/>
      <w:marTop w:val="0"/>
      <w:marBottom w:val="0"/>
      <w:divBdr>
        <w:top w:val="none" w:sz="0" w:space="0" w:color="auto"/>
        <w:left w:val="none" w:sz="0" w:space="0" w:color="auto"/>
        <w:bottom w:val="none" w:sz="0" w:space="0" w:color="auto"/>
        <w:right w:val="none" w:sz="0" w:space="0" w:color="auto"/>
      </w:divBdr>
    </w:div>
    <w:div w:id="1521820187">
      <w:bodyDiv w:val="1"/>
      <w:marLeft w:val="0"/>
      <w:marRight w:val="0"/>
      <w:marTop w:val="0"/>
      <w:marBottom w:val="0"/>
      <w:divBdr>
        <w:top w:val="none" w:sz="0" w:space="0" w:color="auto"/>
        <w:left w:val="none" w:sz="0" w:space="0" w:color="auto"/>
        <w:bottom w:val="none" w:sz="0" w:space="0" w:color="auto"/>
        <w:right w:val="none" w:sz="0" w:space="0" w:color="auto"/>
      </w:divBdr>
    </w:div>
    <w:div w:id="1536385660">
      <w:bodyDiv w:val="1"/>
      <w:marLeft w:val="0"/>
      <w:marRight w:val="0"/>
      <w:marTop w:val="0"/>
      <w:marBottom w:val="0"/>
      <w:divBdr>
        <w:top w:val="none" w:sz="0" w:space="0" w:color="auto"/>
        <w:left w:val="none" w:sz="0" w:space="0" w:color="auto"/>
        <w:bottom w:val="none" w:sz="0" w:space="0" w:color="auto"/>
        <w:right w:val="none" w:sz="0" w:space="0" w:color="auto"/>
      </w:divBdr>
    </w:div>
    <w:div w:id="1593776746">
      <w:bodyDiv w:val="1"/>
      <w:marLeft w:val="0"/>
      <w:marRight w:val="0"/>
      <w:marTop w:val="0"/>
      <w:marBottom w:val="0"/>
      <w:divBdr>
        <w:top w:val="none" w:sz="0" w:space="0" w:color="auto"/>
        <w:left w:val="none" w:sz="0" w:space="0" w:color="auto"/>
        <w:bottom w:val="none" w:sz="0" w:space="0" w:color="auto"/>
        <w:right w:val="none" w:sz="0" w:space="0" w:color="auto"/>
      </w:divBdr>
    </w:div>
    <w:div w:id="1600413005">
      <w:bodyDiv w:val="1"/>
      <w:marLeft w:val="0"/>
      <w:marRight w:val="0"/>
      <w:marTop w:val="0"/>
      <w:marBottom w:val="0"/>
      <w:divBdr>
        <w:top w:val="none" w:sz="0" w:space="0" w:color="auto"/>
        <w:left w:val="none" w:sz="0" w:space="0" w:color="auto"/>
        <w:bottom w:val="none" w:sz="0" w:space="0" w:color="auto"/>
        <w:right w:val="none" w:sz="0" w:space="0" w:color="auto"/>
      </w:divBdr>
    </w:div>
    <w:div w:id="1619291821">
      <w:bodyDiv w:val="1"/>
      <w:marLeft w:val="0"/>
      <w:marRight w:val="0"/>
      <w:marTop w:val="0"/>
      <w:marBottom w:val="0"/>
      <w:divBdr>
        <w:top w:val="none" w:sz="0" w:space="0" w:color="auto"/>
        <w:left w:val="none" w:sz="0" w:space="0" w:color="auto"/>
        <w:bottom w:val="none" w:sz="0" w:space="0" w:color="auto"/>
        <w:right w:val="none" w:sz="0" w:space="0" w:color="auto"/>
      </w:divBdr>
    </w:div>
    <w:div w:id="1647974294">
      <w:bodyDiv w:val="1"/>
      <w:marLeft w:val="0"/>
      <w:marRight w:val="0"/>
      <w:marTop w:val="0"/>
      <w:marBottom w:val="0"/>
      <w:divBdr>
        <w:top w:val="none" w:sz="0" w:space="0" w:color="auto"/>
        <w:left w:val="none" w:sz="0" w:space="0" w:color="auto"/>
        <w:bottom w:val="none" w:sz="0" w:space="0" w:color="auto"/>
        <w:right w:val="none" w:sz="0" w:space="0" w:color="auto"/>
      </w:divBdr>
      <w:divsChild>
        <w:div w:id="858082363">
          <w:marLeft w:val="0"/>
          <w:marRight w:val="0"/>
          <w:marTop w:val="120"/>
          <w:marBottom w:val="120"/>
          <w:divBdr>
            <w:top w:val="none" w:sz="0" w:space="0" w:color="auto"/>
            <w:left w:val="none" w:sz="0" w:space="0" w:color="auto"/>
            <w:bottom w:val="none" w:sz="0" w:space="0" w:color="auto"/>
            <w:right w:val="none" w:sz="0" w:space="0" w:color="auto"/>
          </w:divBdr>
        </w:div>
        <w:div w:id="139465875">
          <w:marLeft w:val="0"/>
          <w:marRight w:val="0"/>
          <w:marTop w:val="0"/>
          <w:marBottom w:val="120"/>
          <w:divBdr>
            <w:top w:val="none" w:sz="0" w:space="0" w:color="auto"/>
            <w:left w:val="none" w:sz="0" w:space="0" w:color="auto"/>
            <w:bottom w:val="none" w:sz="0" w:space="0" w:color="auto"/>
            <w:right w:val="none" w:sz="0" w:space="0" w:color="auto"/>
          </w:divBdr>
        </w:div>
      </w:divsChild>
    </w:div>
    <w:div w:id="1696033463">
      <w:bodyDiv w:val="1"/>
      <w:marLeft w:val="0"/>
      <w:marRight w:val="0"/>
      <w:marTop w:val="0"/>
      <w:marBottom w:val="0"/>
      <w:divBdr>
        <w:top w:val="none" w:sz="0" w:space="0" w:color="auto"/>
        <w:left w:val="none" w:sz="0" w:space="0" w:color="auto"/>
        <w:bottom w:val="none" w:sz="0" w:space="0" w:color="auto"/>
        <w:right w:val="none" w:sz="0" w:space="0" w:color="auto"/>
      </w:divBdr>
    </w:div>
    <w:div w:id="1710111490">
      <w:bodyDiv w:val="1"/>
      <w:marLeft w:val="0"/>
      <w:marRight w:val="0"/>
      <w:marTop w:val="0"/>
      <w:marBottom w:val="0"/>
      <w:divBdr>
        <w:top w:val="none" w:sz="0" w:space="0" w:color="auto"/>
        <w:left w:val="none" w:sz="0" w:space="0" w:color="auto"/>
        <w:bottom w:val="none" w:sz="0" w:space="0" w:color="auto"/>
        <w:right w:val="none" w:sz="0" w:space="0" w:color="auto"/>
      </w:divBdr>
    </w:div>
    <w:div w:id="1722243170">
      <w:bodyDiv w:val="1"/>
      <w:marLeft w:val="0"/>
      <w:marRight w:val="0"/>
      <w:marTop w:val="0"/>
      <w:marBottom w:val="0"/>
      <w:divBdr>
        <w:top w:val="none" w:sz="0" w:space="0" w:color="auto"/>
        <w:left w:val="none" w:sz="0" w:space="0" w:color="auto"/>
        <w:bottom w:val="none" w:sz="0" w:space="0" w:color="auto"/>
        <w:right w:val="none" w:sz="0" w:space="0" w:color="auto"/>
      </w:divBdr>
    </w:div>
    <w:div w:id="1793936550">
      <w:bodyDiv w:val="1"/>
      <w:marLeft w:val="0"/>
      <w:marRight w:val="0"/>
      <w:marTop w:val="0"/>
      <w:marBottom w:val="0"/>
      <w:divBdr>
        <w:top w:val="none" w:sz="0" w:space="0" w:color="auto"/>
        <w:left w:val="none" w:sz="0" w:space="0" w:color="auto"/>
        <w:bottom w:val="none" w:sz="0" w:space="0" w:color="auto"/>
        <w:right w:val="none" w:sz="0" w:space="0" w:color="auto"/>
      </w:divBdr>
    </w:div>
    <w:div w:id="1828742879">
      <w:bodyDiv w:val="1"/>
      <w:marLeft w:val="0"/>
      <w:marRight w:val="0"/>
      <w:marTop w:val="0"/>
      <w:marBottom w:val="0"/>
      <w:divBdr>
        <w:top w:val="none" w:sz="0" w:space="0" w:color="auto"/>
        <w:left w:val="none" w:sz="0" w:space="0" w:color="auto"/>
        <w:bottom w:val="none" w:sz="0" w:space="0" w:color="auto"/>
        <w:right w:val="none" w:sz="0" w:space="0" w:color="auto"/>
      </w:divBdr>
    </w:div>
    <w:div w:id="1840074593">
      <w:bodyDiv w:val="1"/>
      <w:marLeft w:val="0"/>
      <w:marRight w:val="0"/>
      <w:marTop w:val="0"/>
      <w:marBottom w:val="0"/>
      <w:divBdr>
        <w:top w:val="none" w:sz="0" w:space="0" w:color="auto"/>
        <w:left w:val="none" w:sz="0" w:space="0" w:color="auto"/>
        <w:bottom w:val="none" w:sz="0" w:space="0" w:color="auto"/>
        <w:right w:val="none" w:sz="0" w:space="0" w:color="auto"/>
      </w:divBdr>
    </w:div>
    <w:div w:id="1852645473">
      <w:bodyDiv w:val="1"/>
      <w:marLeft w:val="0"/>
      <w:marRight w:val="0"/>
      <w:marTop w:val="0"/>
      <w:marBottom w:val="0"/>
      <w:divBdr>
        <w:top w:val="none" w:sz="0" w:space="0" w:color="auto"/>
        <w:left w:val="none" w:sz="0" w:space="0" w:color="auto"/>
        <w:bottom w:val="none" w:sz="0" w:space="0" w:color="auto"/>
        <w:right w:val="none" w:sz="0" w:space="0" w:color="auto"/>
      </w:divBdr>
    </w:div>
    <w:div w:id="1880047373">
      <w:bodyDiv w:val="1"/>
      <w:marLeft w:val="0"/>
      <w:marRight w:val="0"/>
      <w:marTop w:val="0"/>
      <w:marBottom w:val="0"/>
      <w:divBdr>
        <w:top w:val="none" w:sz="0" w:space="0" w:color="auto"/>
        <w:left w:val="none" w:sz="0" w:space="0" w:color="auto"/>
        <w:bottom w:val="none" w:sz="0" w:space="0" w:color="auto"/>
        <w:right w:val="none" w:sz="0" w:space="0" w:color="auto"/>
      </w:divBdr>
    </w:div>
    <w:div w:id="1893345196">
      <w:bodyDiv w:val="1"/>
      <w:marLeft w:val="0"/>
      <w:marRight w:val="0"/>
      <w:marTop w:val="0"/>
      <w:marBottom w:val="0"/>
      <w:divBdr>
        <w:top w:val="none" w:sz="0" w:space="0" w:color="auto"/>
        <w:left w:val="none" w:sz="0" w:space="0" w:color="auto"/>
        <w:bottom w:val="none" w:sz="0" w:space="0" w:color="auto"/>
        <w:right w:val="none" w:sz="0" w:space="0" w:color="auto"/>
      </w:divBdr>
    </w:div>
    <w:div w:id="1931231944">
      <w:bodyDiv w:val="1"/>
      <w:marLeft w:val="0"/>
      <w:marRight w:val="0"/>
      <w:marTop w:val="0"/>
      <w:marBottom w:val="0"/>
      <w:divBdr>
        <w:top w:val="none" w:sz="0" w:space="0" w:color="auto"/>
        <w:left w:val="none" w:sz="0" w:space="0" w:color="auto"/>
        <w:bottom w:val="none" w:sz="0" w:space="0" w:color="auto"/>
        <w:right w:val="none" w:sz="0" w:space="0" w:color="auto"/>
      </w:divBdr>
    </w:div>
    <w:div w:id="1954164289">
      <w:bodyDiv w:val="1"/>
      <w:marLeft w:val="0"/>
      <w:marRight w:val="0"/>
      <w:marTop w:val="0"/>
      <w:marBottom w:val="0"/>
      <w:divBdr>
        <w:top w:val="none" w:sz="0" w:space="0" w:color="auto"/>
        <w:left w:val="none" w:sz="0" w:space="0" w:color="auto"/>
        <w:bottom w:val="none" w:sz="0" w:space="0" w:color="auto"/>
        <w:right w:val="none" w:sz="0" w:space="0" w:color="auto"/>
      </w:divBdr>
    </w:div>
    <w:div w:id="1959142613">
      <w:bodyDiv w:val="1"/>
      <w:marLeft w:val="0"/>
      <w:marRight w:val="0"/>
      <w:marTop w:val="0"/>
      <w:marBottom w:val="0"/>
      <w:divBdr>
        <w:top w:val="none" w:sz="0" w:space="0" w:color="auto"/>
        <w:left w:val="none" w:sz="0" w:space="0" w:color="auto"/>
        <w:bottom w:val="none" w:sz="0" w:space="0" w:color="auto"/>
        <w:right w:val="none" w:sz="0" w:space="0" w:color="auto"/>
      </w:divBdr>
    </w:div>
    <w:div w:id="1966933151">
      <w:bodyDiv w:val="1"/>
      <w:marLeft w:val="0"/>
      <w:marRight w:val="0"/>
      <w:marTop w:val="0"/>
      <w:marBottom w:val="0"/>
      <w:divBdr>
        <w:top w:val="none" w:sz="0" w:space="0" w:color="auto"/>
        <w:left w:val="none" w:sz="0" w:space="0" w:color="auto"/>
        <w:bottom w:val="none" w:sz="0" w:space="0" w:color="auto"/>
        <w:right w:val="none" w:sz="0" w:space="0" w:color="auto"/>
      </w:divBdr>
    </w:div>
    <w:div w:id="1980719546">
      <w:bodyDiv w:val="1"/>
      <w:marLeft w:val="0"/>
      <w:marRight w:val="0"/>
      <w:marTop w:val="0"/>
      <w:marBottom w:val="0"/>
      <w:divBdr>
        <w:top w:val="none" w:sz="0" w:space="0" w:color="auto"/>
        <w:left w:val="none" w:sz="0" w:space="0" w:color="auto"/>
        <w:bottom w:val="none" w:sz="0" w:space="0" w:color="auto"/>
        <w:right w:val="none" w:sz="0" w:space="0" w:color="auto"/>
      </w:divBdr>
    </w:div>
    <w:div w:id="1996370173">
      <w:bodyDiv w:val="1"/>
      <w:marLeft w:val="0"/>
      <w:marRight w:val="0"/>
      <w:marTop w:val="0"/>
      <w:marBottom w:val="0"/>
      <w:divBdr>
        <w:top w:val="none" w:sz="0" w:space="0" w:color="auto"/>
        <w:left w:val="none" w:sz="0" w:space="0" w:color="auto"/>
        <w:bottom w:val="none" w:sz="0" w:space="0" w:color="auto"/>
        <w:right w:val="none" w:sz="0" w:space="0" w:color="auto"/>
      </w:divBdr>
    </w:div>
    <w:div w:id="1997493797">
      <w:bodyDiv w:val="1"/>
      <w:marLeft w:val="0"/>
      <w:marRight w:val="0"/>
      <w:marTop w:val="0"/>
      <w:marBottom w:val="0"/>
      <w:divBdr>
        <w:top w:val="none" w:sz="0" w:space="0" w:color="auto"/>
        <w:left w:val="none" w:sz="0" w:space="0" w:color="auto"/>
        <w:bottom w:val="none" w:sz="0" w:space="0" w:color="auto"/>
        <w:right w:val="none" w:sz="0" w:space="0" w:color="auto"/>
      </w:divBdr>
    </w:div>
    <w:div w:id="2000424493">
      <w:bodyDiv w:val="1"/>
      <w:marLeft w:val="0"/>
      <w:marRight w:val="0"/>
      <w:marTop w:val="0"/>
      <w:marBottom w:val="0"/>
      <w:divBdr>
        <w:top w:val="none" w:sz="0" w:space="0" w:color="auto"/>
        <w:left w:val="none" w:sz="0" w:space="0" w:color="auto"/>
        <w:bottom w:val="none" w:sz="0" w:space="0" w:color="auto"/>
        <w:right w:val="none" w:sz="0" w:space="0" w:color="auto"/>
      </w:divBdr>
      <w:divsChild>
        <w:div w:id="380981563">
          <w:marLeft w:val="0"/>
          <w:marRight w:val="0"/>
          <w:marTop w:val="0"/>
          <w:marBottom w:val="0"/>
          <w:divBdr>
            <w:top w:val="none" w:sz="0" w:space="0" w:color="auto"/>
            <w:left w:val="none" w:sz="0" w:space="0" w:color="auto"/>
            <w:bottom w:val="none" w:sz="0" w:space="0" w:color="auto"/>
            <w:right w:val="none" w:sz="0" w:space="0" w:color="auto"/>
          </w:divBdr>
          <w:divsChild>
            <w:div w:id="900554212">
              <w:marLeft w:val="150"/>
              <w:marRight w:val="150"/>
              <w:marTop w:val="450"/>
              <w:marBottom w:val="0"/>
              <w:divBdr>
                <w:top w:val="none" w:sz="0" w:space="0" w:color="auto"/>
                <w:left w:val="none" w:sz="0" w:space="0" w:color="auto"/>
                <w:bottom w:val="none" w:sz="0" w:space="0" w:color="auto"/>
                <w:right w:val="none" w:sz="0" w:space="0" w:color="auto"/>
              </w:divBdr>
              <w:divsChild>
                <w:div w:id="5420621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14255903">
      <w:bodyDiv w:val="1"/>
      <w:marLeft w:val="0"/>
      <w:marRight w:val="0"/>
      <w:marTop w:val="0"/>
      <w:marBottom w:val="0"/>
      <w:divBdr>
        <w:top w:val="none" w:sz="0" w:space="0" w:color="auto"/>
        <w:left w:val="none" w:sz="0" w:space="0" w:color="auto"/>
        <w:bottom w:val="none" w:sz="0" w:space="0" w:color="auto"/>
        <w:right w:val="none" w:sz="0" w:space="0" w:color="auto"/>
      </w:divBdr>
      <w:divsChild>
        <w:div w:id="372115443">
          <w:marLeft w:val="0"/>
          <w:marRight w:val="0"/>
          <w:marTop w:val="0"/>
          <w:marBottom w:val="0"/>
          <w:divBdr>
            <w:top w:val="none" w:sz="0" w:space="0" w:color="auto"/>
            <w:left w:val="none" w:sz="0" w:space="0" w:color="auto"/>
            <w:bottom w:val="none" w:sz="0" w:space="0" w:color="auto"/>
            <w:right w:val="none" w:sz="0" w:space="0" w:color="auto"/>
          </w:divBdr>
          <w:divsChild>
            <w:div w:id="608003927">
              <w:marLeft w:val="150"/>
              <w:marRight w:val="150"/>
              <w:marTop w:val="450"/>
              <w:marBottom w:val="0"/>
              <w:divBdr>
                <w:top w:val="none" w:sz="0" w:space="0" w:color="auto"/>
                <w:left w:val="none" w:sz="0" w:space="0" w:color="auto"/>
                <w:bottom w:val="none" w:sz="0" w:space="0" w:color="auto"/>
                <w:right w:val="none" w:sz="0" w:space="0" w:color="auto"/>
              </w:divBdr>
              <w:divsChild>
                <w:div w:id="16118638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5420987">
      <w:bodyDiv w:val="1"/>
      <w:marLeft w:val="0"/>
      <w:marRight w:val="0"/>
      <w:marTop w:val="0"/>
      <w:marBottom w:val="0"/>
      <w:divBdr>
        <w:top w:val="none" w:sz="0" w:space="0" w:color="auto"/>
        <w:left w:val="none" w:sz="0" w:space="0" w:color="auto"/>
        <w:bottom w:val="none" w:sz="0" w:space="0" w:color="auto"/>
        <w:right w:val="none" w:sz="0" w:space="0" w:color="auto"/>
      </w:divBdr>
    </w:div>
    <w:div w:id="2056536021">
      <w:bodyDiv w:val="1"/>
      <w:marLeft w:val="0"/>
      <w:marRight w:val="0"/>
      <w:marTop w:val="0"/>
      <w:marBottom w:val="0"/>
      <w:divBdr>
        <w:top w:val="none" w:sz="0" w:space="0" w:color="auto"/>
        <w:left w:val="none" w:sz="0" w:space="0" w:color="auto"/>
        <w:bottom w:val="none" w:sz="0" w:space="0" w:color="auto"/>
        <w:right w:val="none" w:sz="0" w:space="0" w:color="auto"/>
      </w:divBdr>
    </w:div>
    <w:div w:id="2062632971">
      <w:bodyDiv w:val="1"/>
      <w:marLeft w:val="0"/>
      <w:marRight w:val="0"/>
      <w:marTop w:val="0"/>
      <w:marBottom w:val="0"/>
      <w:divBdr>
        <w:top w:val="none" w:sz="0" w:space="0" w:color="auto"/>
        <w:left w:val="none" w:sz="0" w:space="0" w:color="auto"/>
        <w:bottom w:val="none" w:sz="0" w:space="0" w:color="auto"/>
        <w:right w:val="none" w:sz="0" w:space="0" w:color="auto"/>
      </w:divBdr>
    </w:div>
    <w:div w:id="2078430179">
      <w:bodyDiv w:val="1"/>
      <w:marLeft w:val="0"/>
      <w:marRight w:val="0"/>
      <w:marTop w:val="0"/>
      <w:marBottom w:val="0"/>
      <w:divBdr>
        <w:top w:val="none" w:sz="0" w:space="0" w:color="auto"/>
        <w:left w:val="none" w:sz="0" w:space="0" w:color="auto"/>
        <w:bottom w:val="none" w:sz="0" w:space="0" w:color="auto"/>
        <w:right w:val="none" w:sz="0" w:space="0" w:color="auto"/>
      </w:divBdr>
    </w:div>
    <w:div w:id="2114939977">
      <w:bodyDiv w:val="1"/>
      <w:marLeft w:val="0"/>
      <w:marRight w:val="0"/>
      <w:marTop w:val="0"/>
      <w:marBottom w:val="0"/>
      <w:divBdr>
        <w:top w:val="none" w:sz="0" w:space="0" w:color="auto"/>
        <w:left w:val="none" w:sz="0" w:space="0" w:color="auto"/>
        <w:bottom w:val="none" w:sz="0" w:space="0" w:color="auto"/>
        <w:right w:val="none" w:sz="0" w:space="0" w:color="auto"/>
      </w:divBdr>
    </w:div>
    <w:div w:id="2116824523">
      <w:bodyDiv w:val="1"/>
      <w:marLeft w:val="0"/>
      <w:marRight w:val="0"/>
      <w:marTop w:val="0"/>
      <w:marBottom w:val="0"/>
      <w:divBdr>
        <w:top w:val="none" w:sz="0" w:space="0" w:color="auto"/>
        <w:left w:val="none" w:sz="0" w:space="0" w:color="auto"/>
        <w:bottom w:val="none" w:sz="0" w:space="0" w:color="auto"/>
        <w:right w:val="none" w:sz="0" w:space="0" w:color="auto"/>
      </w:divBdr>
    </w:div>
    <w:div w:id="2129085638">
      <w:bodyDiv w:val="1"/>
      <w:marLeft w:val="0"/>
      <w:marRight w:val="0"/>
      <w:marTop w:val="0"/>
      <w:marBottom w:val="0"/>
      <w:divBdr>
        <w:top w:val="none" w:sz="0" w:space="0" w:color="auto"/>
        <w:left w:val="none" w:sz="0" w:space="0" w:color="auto"/>
        <w:bottom w:val="none" w:sz="0" w:space="0" w:color="auto"/>
        <w:right w:val="none" w:sz="0" w:space="0" w:color="auto"/>
      </w:divBdr>
    </w:div>
    <w:div w:id="2132552372">
      <w:bodyDiv w:val="1"/>
      <w:marLeft w:val="0"/>
      <w:marRight w:val="0"/>
      <w:marTop w:val="0"/>
      <w:marBottom w:val="0"/>
      <w:divBdr>
        <w:top w:val="none" w:sz="0" w:space="0" w:color="auto"/>
        <w:left w:val="none" w:sz="0" w:space="0" w:color="auto"/>
        <w:bottom w:val="none" w:sz="0" w:space="0" w:color="auto"/>
        <w:right w:val="none" w:sz="0" w:space="0" w:color="auto"/>
      </w:divBdr>
    </w:div>
    <w:div w:id="2142111057">
      <w:bodyDiv w:val="1"/>
      <w:marLeft w:val="0"/>
      <w:marRight w:val="0"/>
      <w:marTop w:val="0"/>
      <w:marBottom w:val="0"/>
      <w:divBdr>
        <w:top w:val="none" w:sz="0" w:space="0" w:color="auto"/>
        <w:left w:val="none" w:sz="0" w:space="0" w:color="auto"/>
        <w:bottom w:val="none" w:sz="0" w:space="0" w:color="auto"/>
        <w:right w:val="none" w:sz="0" w:space="0" w:color="auto"/>
      </w:divBdr>
    </w:div>
    <w:div w:id="214558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coms.com/5g-6g/verizon-points-to-fwa-as-mobile-service-revenues-gro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verizon.com/about/investors/fixed-income" TargetMode="External"/><Relationship Id="rId4" Type="http://schemas.openxmlformats.org/officeDocument/2006/relationships/settings" Target="settings.xml"/><Relationship Id="rId9" Type="http://schemas.openxmlformats.org/officeDocument/2006/relationships/hyperlink" Target="https://www.nasdaq.com/market-activity/stocks/vz/institutional-holding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F5A6D-CD65-4631-AF88-FD83B516F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11</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Cargill</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Michael Haug</dc:creator>
  <cp:lastModifiedBy>Yashica Munjal</cp:lastModifiedBy>
  <cp:revision>238</cp:revision>
  <cp:lastPrinted>2024-11-11T19:20:00Z</cp:lastPrinted>
  <dcterms:created xsi:type="dcterms:W3CDTF">2024-11-07T05:03:00Z</dcterms:created>
  <dcterms:modified xsi:type="dcterms:W3CDTF">2024-11-11T19:25:00Z</dcterms:modified>
</cp:coreProperties>
</file>