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SOP-001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Centrifugal Pump Start-Up Procedure</w:t>
      </w:r>
    </w:p>
    <w:p>
      <w:r>
        <w:t>Equipment: P-101  --  Cooling Water Circulation Pump (Centrifugal Pump)</w:t>
      </w:r>
    </w:p>
    <w:p>
      <w:r>
        <w:t>Department: Operations</w:t>
      </w:r>
    </w:p>
    <w:p>
      <w:r>
        <w:t>Prepared By: Priya Sharma  |  Approved By: Rajesh Mehta</w:t>
        <w:br/>
      </w:r>
    </w:p>
    <w:p>
      <w:pPr>
        <w:pStyle w:val="Heading2"/>
      </w:pPr>
      <w:r>
        <w:t>1. Purpose</w:t>
      </w:r>
    </w:p>
    <w:p>
      <w:r>
        <w:t>To define the safe and systematic procedure for starting centrifugal pump P-101 to ensure reliable operation and prevent equipment damage.</w:t>
      </w:r>
    </w:p>
    <w:p>
      <w:pPr>
        <w:pStyle w:val="Heading2"/>
      </w:pPr>
      <w:r>
        <w:t>2. Prerequisites</w:t>
      </w:r>
    </w:p>
    <w:p>
      <w:pPr>
        <w:pStyle w:val="ListBullet"/>
      </w:pPr>
      <w:r>
        <w:t>Valid work permit obtained</w:t>
      </w:r>
    </w:p>
    <w:p>
      <w:pPr>
        <w:pStyle w:val="ListBullet"/>
      </w:pPr>
      <w:r>
        <w:t>Suction line fully open and vented</w:t>
      </w:r>
    </w:p>
    <w:p>
      <w:pPr>
        <w:pStyle w:val="ListBullet"/>
      </w:pPr>
      <w:r>
        <w:t>Electrical supply verified (415V, 3-phase)</w:t>
      </w:r>
    </w:p>
    <w:p>
      <w:pPr>
        <w:pStyle w:val="ListBullet"/>
      </w:pPr>
      <w:r>
        <w:t>Seal cooling water supply ON</w:t>
      </w:r>
    </w:p>
    <w:p>
      <w:pPr>
        <w:pStyle w:val="ListBullet"/>
      </w:pPr>
      <w:r>
        <w:t>Coupling guard securely fitted</w:t>
      </w:r>
    </w:p>
    <w:p>
      <w:pPr>
        <w:pStyle w:val="Heading2"/>
      </w:pPr>
      <w:r>
        <w:t>3. Start-Up Procedure</w:t>
      </w:r>
    </w:p>
    <w:p>
      <w:r>
        <w:t>1. Verify lubrication oil level in bearing housing at sight-glass centerline.</w:t>
      </w:r>
    </w:p>
    <w:p>
      <w:r>
        <w:t>2. Open suction valve fully; confirm positive suction pressure.</w:t>
      </w:r>
    </w:p>
    <w:p>
      <w:r>
        <w:t>3. Open casing vent valve to release trapped air; then close.</w:t>
      </w:r>
    </w:p>
    <w:p>
      <w:r>
        <w:t>4. Start drive motor from DCS or local push-button station.</w:t>
      </w:r>
    </w:p>
    <w:p>
      <w:r>
        <w:t>5. Monitor discharge pressure rise to 4.5 barg within 5 seconds.</w:t>
      </w:r>
    </w:p>
    <w:p>
      <w:r>
        <w:t>6. Slowly open discharge valve to 25%, then gradually to 100%.</w:t>
      </w:r>
    </w:p>
    <w:p>
      <w:r>
        <w:t>7. Check motor current draw  --  must not exceed nameplate FLA (45 A).</w:t>
      </w:r>
    </w:p>
    <w:p>
      <w:r>
        <w:t>8. Inspect mechanical seal  --  minor weepage acceptable during settling.</w:t>
      </w:r>
    </w:p>
    <w:p>
      <w:r>
        <w:t>9. Verify pump vibration &lt; 4.5 mm/s (alert limit).</w:t>
      </w:r>
    </w:p>
    <w:p>
      <w:r>
        <w:t>10. Log all start-up parameters in shift log.</w:t>
      </w:r>
    </w:p>
    <w:p>
      <w:pPr>
        <w:pStyle w:val="Heading2"/>
      </w:pPr>
      <w:r>
        <w:t>4. Safety Precautions</w:t>
      </w:r>
    </w:p>
    <w:p>
      <w:pPr>
        <w:pStyle w:val="ListBullet"/>
      </w:pPr>
      <w:r>
        <w:t>Ensure pump area is clear before starting.</w:t>
      </w:r>
    </w:p>
    <w:p>
      <w:pPr>
        <w:pStyle w:val="ListBullet"/>
      </w:pPr>
      <w:r>
        <w:t>Never start pump with suction valve closed.</w:t>
      </w:r>
    </w:p>
    <w:p>
      <w:pPr>
        <w:pStyle w:val="ListBullet"/>
      </w:pPr>
      <w:r>
        <w:t>Verify coupling guard is in place before energizing.</w:t>
      </w:r>
    </w:p>
    <w:p>
      <w:pPr>
        <w:pStyle w:val="ListBullet"/>
      </w:pPr>
      <w:r>
        <w:t>If abnormal vibration or noise occurs, stop immediately.</w:t>
      </w:r>
    </w:p>
    <w:p>
      <w:pPr>
        <w:pStyle w:val="Heading2"/>
      </w:pPr>
      <w:r>
        <w:t>5. Revision History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15-Jan-2026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  <w:tc>
          <w:tcPr>
            <w:tcW w:type="dxa" w:w="2160"/>
          </w:tcPr>
          <w:p>
            <w:r>
              <w:t>Priya Sharma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