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Denial Reasons</w:t>
      </w:r>
    </w:p>
    <w:p>
      <w:r>
        <w:t>This folder contains common insurance claim denial reasons used by MediGuard AI. The denial reasons help the system decide whether an appeal is required and which appeal template should be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