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Summary of Findings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A regression analysis of 545 residential properties (12 features: size, rooms, amenities, and furnishing) was used to predict sale price and identify the strongest price drivers.</w:t>
      </w:r>
    </w:p>
    <w:p>
      <w:pPr>
        <w:pStyle w:val="Heading2"/>
      </w:pPr>
      <w: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970,043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1,324,507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1,014,947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1,399,769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0.612</w:t>
            </w:r>
          </w:p>
        </w:tc>
      </w:tr>
    </w:tbl>
    <w:p>
      <w:pPr>
        <w:spacing w:after="160" w:before="120"/>
      </w:pPr>
      <w:r>
        <w:rPr>
          <w:color w:val="444444"/>
          <w:sz w:val="19"/>
          <w:szCs w:val="19"/>
        </w:rPr>
        <w:t xml:space="preserve">Linear Regression slightly outperformed Random Forest, indicating the relationship between features and price is largely linear and additive for this dataset.</w:t>
      </w:r>
    </w:p>
    <w:p>
      <w:pPr>
        <w:pStyle w:val="Heading2"/>
      </w:pPr>
      <w:r>
        <w:t xml:space="preserve">Top Price Drivers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Area (square footage) — the single strongest predictor of price in both models.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Number of bathrooms — a much larger effect than bedroom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Air conditioning and hot water heating — amenities with a sizeable positive impact.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Preferred area location and number of stories also meaningfully raise price.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Furnishing status — unfurnished homes sell for clearly less than furnished ones.</w:t>
      </w:r>
    </w:p>
    <w:p>
      <w:pPr>
        <w:pStyle w:val="Heading2"/>
      </w:pPr>
      <w:r>
        <w:t xml:space="preserve">Insights &amp; Recommendation</w:t>
      </w:r>
    </w:p>
    <w:p>
      <w:pPr>
        <w:spacing w:after="80"/>
      </w:pPr>
      <w:r>
        <w:rPr>
          <w:sz w:val="20"/>
          <w:szCs w:val="20"/>
        </w:rPr>
        <w:t xml:space="preserve">The model explains about 65% of price variation (R² ≈ 0.65) with a typical error under 1,000,000 in the dataset's currency — good for ballpark estimates, not exact pricing. A genuine surprise was how little bedroom count mattered compared to bathrooms, area, and amenities.</w:t>
      </w:r>
    </w:p>
    <w:p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Real estate agents should anchor pricing guidance and marketing on area, bathroom count, AC/heating, and location desirability — and consider that low-cost upgrades like adding air conditioning or furnishing a unit before sale may yield outsized returns relative to bedroom-focused renovations.</w:t>
      </w:r>
    </w:p>
    <w:p>
      <w:pPr>
        <w:spacing w:before="200"/>
        <w:jc w:val="center"/>
      </w:pPr>
      <w:r>
        <w:drawing>
          <wp:inline distT="0" distB="0" distL="0" distR="0">
            <wp:extent cx="3238500" cy="2428875"/>
            <wp:effectExtent t="0" r="0" b="0" l="0"/>
            <wp:docPr id="1" name="Chart3" descr="Actual vs predicted price scatter plot" title="Actual vs Pred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6"/>
          <w:szCs w:val="16"/>
        </w:rPr>
        <w:t xml:space="preserve">Actual vs. Predicted Price (Linear Regression) — points near the dashed line are accurate predictions.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07e1994e8a6027f6aba5ac615d9a183266cc3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2026-06-17T07:33:49.114Z</dcterms:created>
  <dcterms:modified xsi:type="dcterms:W3CDTF">2026-06-17T07:33:49.114Z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