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before="680" w:after="160" w:line="240" w:lineRule="auto"/>
        <w:jc w:val="center"/>
      </w:pPr>
      <w:r>
        <w:rPr>
          <w:rFonts w:ascii="Calibri" w:hAnsi="Calibri"/>
          <w:b/>
          <w:color w:val="0B2545"/>
          <w:sz w:val="56"/>
        </w:rPr>
        <w:t>AI Resume Screening System</w:t>
      </w:r>
    </w:p>
    <w:p>
      <w:pPr>
        <w:pStyle w:val="Subtitle"/>
        <w:spacing w:before="0" w:after="120" w:line="264" w:lineRule="auto"/>
        <w:jc w:val="center"/>
      </w:pPr>
      <w:r>
        <w:rPr>
          <w:rFonts w:ascii="Calibri" w:hAnsi="Calibri"/>
          <w:color w:val="1F4D78"/>
          <w:sz w:val="28"/>
        </w:rPr>
        <w:t>Assignment II: Production Refactoring, API Design, and Quality Assurance</w:t>
      </w:r>
    </w:p>
    <w:p>
      <w:pPr>
        <w:spacing w:before="0" w:after="400" w:line="264" w:lineRule="auto"/>
        <w:jc w:val="center"/>
      </w:pPr>
      <w:r>
        <w:rPr>
          <w:rFonts w:ascii="Calibri" w:hAnsi="Calibri"/>
          <w:b/>
          <w:color w:val="5B6573"/>
          <w:sz w:val="22"/>
        </w:rPr>
        <w:t>AIMLCZG546 - Software Engineering for Machine Learning</w:t>
        <w:br/>
        <w:t>Group No. 179</w:t>
      </w:r>
    </w:p>
    <w:p>
      <w:pPr>
        <w:pStyle w:val="Heading1"/>
        <w:keepNext/>
      </w:pPr>
      <w:r>
        <w:t>Group details</w:t>
      </w:r>
    </w:p>
    <w:tbl>
      <w:tblPr>
        <w:tblStyle w:val="TableGrid"/>
        <w:tblW w:type="dxa" w:w="9360"/>
        <w:jc w:val="left"/>
        <w:tblLayout w:type="fixed"/>
        <w:tblLook w:firstColumn="1" w:firstRow="1" w:lastColumn="0" w:lastRow="0" w:noHBand="0" w:noVBand="1" w:val="04A0"/>
        <w:tblInd w:w="120" w:type="dxa"/>
      </w:tblPr>
      <w:tblGrid>
        <w:gridCol w:w="1900"/>
        <w:gridCol w:w="1800"/>
        <w:gridCol w:w="4460"/>
        <w:gridCol w:w="1200"/>
      </w:tblGrid>
      <w:tr>
        <w:trPr>
          <w:tblHeader w:val="true"/>
          <w:cantSplit/>
        </w:trPr>
        <w:tc>
          <w:tcPr>
            <w:tcW w:type="dxa" w:w="1900"/>
            <w:shd w:fill="E8EEF5"/>
            <w:tcMar>
              <w:top w:w="80" w:type="dxa"/>
              <w:bottom w:w="80" w:type="dxa"/>
              <w:start w:w="120" w:type="dxa"/>
              <w:end w:w="120" w:type="dxa"/>
            </w:tcMar>
            <w:vAlign w:val="center"/>
          </w:tcPr>
          <w:p>
            <w:r>
              <w:t>BITS ID</w:t>
            </w:r>
          </w:p>
        </w:tc>
        <w:tc>
          <w:tcPr>
            <w:tcW w:type="dxa" w:w="1800"/>
            <w:shd w:fill="E8EEF5"/>
            <w:tcMar>
              <w:top w:w="80" w:type="dxa"/>
              <w:bottom w:w="80" w:type="dxa"/>
              <w:start w:w="120" w:type="dxa"/>
              <w:end w:w="120" w:type="dxa"/>
            </w:tcMar>
            <w:vAlign w:val="center"/>
          </w:tcPr>
          <w:p>
            <w:r>
              <w:t>Name</w:t>
            </w:r>
          </w:p>
        </w:tc>
        <w:tc>
          <w:tcPr>
            <w:tcW w:type="dxa" w:w="4460"/>
            <w:shd w:fill="E8EEF5"/>
            <w:tcMar>
              <w:top w:w="80" w:type="dxa"/>
              <w:bottom w:w="80" w:type="dxa"/>
              <w:start w:w="120" w:type="dxa"/>
              <w:end w:w="120" w:type="dxa"/>
            </w:tcMar>
            <w:vAlign w:val="center"/>
          </w:tcPr>
          <w:p>
            <w:r>
              <w:t>Qualitative Task Description</w:t>
            </w:r>
          </w:p>
        </w:tc>
        <w:tc>
          <w:tcPr>
            <w:tcW w:type="dxa" w:w="1200"/>
            <w:shd w:fill="E8EEF5"/>
            <w:tcMar>
              <w:top w:w="80" w:type="dxa"/>
              <w:bottom w:w="80" w:type="dxa"/>
              <w:start w:w="120" w:type="dxa"/>
              <w:end w:w="120" w:type="dxa"/>
            </w:tcMar>
            <w:vAlign w:val="center"/>
          </w:tcPr>
          <w:p>
            <w:r>
              <w:t>Percentage</w:t>
            </w:r>
          </w:p>
        </w:tc>
      </w:tr>
      <w:tr>
        <w:trPr>
          <w:cantSplit/>
        </w:trPr>
        <w:tc>
          <w:tcPr>
            <w:tcW w:type="dxa" w:w="1900"/>
            <w:tcMar>
              <w:top w:w="80" w:type="dxa"/>
              <w:bottom w:w="80" w:type="dxa"/>
              <w:start w:w="120" w:type="dxa"/>
              <w:end w:w="120" w:type="dxa"/>
            </w:tcMar>
            <w:vAlign w:val="center"/>
          </w:tcPr>
          <w:p>
            <w:r>
              <w:t>2025AB05113</w:t>
            </w:r>
          </w:p>
        </w:tc>
        <w:tc>
          <w:tcPr>
            <w:tcW w:type="dxa" w:w="1800"/>
            <w:tcMar>
              <w:top w:w="80" w:type="dxa"/>
              <w:bottom w:w="80" w:type="dxa"/>
              <w:start w:w="120" w:type="dxa"/>
              <w:end w:w="120" w:type="dxa"/>
            </w:tcMar>
            <w:vAlign w:val="center"/>
          </w:tcPr>
          <w:p>
            <w:r>
              <w:t>Prashant</w:t>
            </w:r>
          </w:p>
        </w:tc>
        <w:tc>
          <w:tcPr>
            <w:tcW w:type="dxa" w:w="4460"/>
            <w:tcMar>
              <w:top w:w="80" w:type="dxa"/>
              <w:bottom w:w="80" w:type="dxa"/>
              <w:start w:w="120" w:type="dxa"/>
              <w:end w:w="120" w:type="dxa"/>
            </w:tcMar>
            <w:vAlign w:val="center"/>
          </w:tcPr>
          <w:p>
            <w:r>
              <w:t>Implemented ML training &amp; preprocessing pipelines, built FastAPI REST endpoints, authored automated Pytest suite, and drafted initial report sections.</w:t>
            </w:r>
          </w:p>
        </w:tc>
        <w:tc>
          <w:tcPr>
            <w:tcW w:type="dxa" w:w="1200"/>
            <w:tcMar>
              <w:top w:w="80" w:type="dxa"/>
              <w:bottom w:w="80" w:type="dxa"/>
              <w:start w:w="120" w:type="dxa"/>
              <w:end w:w="120" w:type="dxa"/>
            </w:tcMar>
            <w:vAlign w:val="center"/>
          </w:tcPr>
          <w:p>
            <w:r>
              <w:t>25%</w:t>
            </w:r>
          </w:p>
        </w:tc>
      </w:tr>
      <w:tr>
        <w:trPr>
          <w:cantSplit/>
        </w:trPr>
        <w:tc>
          <w:tcPr>
            <w:tcW w:type="dxa" w:w="1900"/>
            <w:tcMar>
              <w:top w:w="80" w:type="dxa"/>
              <w:bottom w:w="80" w:type="dxa"/>
              <w:start w:w="120" w:type="dxa"/>
              <w:end w:w="120" w:type="dxa"/>
            </w:tcMar>
            <w:vAlign w:val="center"/>
          </w:tcPr>
          <w:p>
            <w:r>
              <w:t>2025AA05032</w:t>
            </w:r>
          </w:p>
        </w:tc>
        <w:tc>
          <w:tcPr>
            <w:tcW w:type="dxa" w:w="1800"/>
            <w:tcMar>
              <w:top w:w="80" w:type="dxa"/>
              <w:bottom w:w="80" w:type="dxa"/>
              <w:start w:w="120" w:type="dxa"/>
              <w:end w:w="120" w:type="dxa"/>
            </w:tcMar>
            <w:vAlign w:val="center"/>
          </w:tcPr>
          <w:p>
            <w:r>
              <w:t>Prathap Wagle</w:t>
            </w:r>
          </w:p>
        </w:tc>
        <w:tc>
          <w:tcPr>
            <w:tcW w:type="dxa" w:w="4460"/>
            <w:tcMar>
              <w:top w:w="80" w:type="dxa"/>
              <w:bottom w:w="80" w:type="dxa"/>
              <w:start w:w="120" w:type="dxa"/>
              <w:end w:w="120" w:type="dxa"/>
            </w:tcMar>
            <w:vAlign w:val="center"/>
          </w:tcPr>
          <w:p>
            <w:r>
              <w:t>Designed system architecture, integrated Streamlit UI &amp; application layer, authored main report, added code comments, and validated submission readiness.</w:t>
            </w:r>
          </w:p>
        </w:tc>
        <w:tc>
          <w:tcPr>
            <w:tcW w:type="dxa" w:w="1200"/>
            <w:tcMar>
              <w:top w:w="80" w:type="dxa"/>
              <w:bottom w:w="80" w:type="dxa"/>
              <w:start w:w="120" w:type="dxa"/>
              <w:end w:w="120" w:type="dxa"/>
            </w:tcMar>
            <w:vAlign w:val="center"/>
          </w:tcPr>
          <w:p>
            <w:r>
              <w:t>25%</w:t>
            </w:r>
          </w:p>
        </w:tc>
      </w:tr>
      <w:tr>
        <w:trPr>
          <w:cantSplit/>
        </w:trPr>
        <w:tc>
          <w:tcPr>
            <w:tcW w:type="dxa" w:w="1900"/>
            <w:tcMar>
              <w:top w:w="80" w:type="dxa"/>
              <w:bottom w:w="80" w:type="dxa"/>
              <w:start w:w="120" w:type="dxa"/>
              <w:end w:w="120" w:type="dxa"/>
            </w:tcMar>
            <w:vAlign w:val="center"/>
          </w:tcPr>
          <w:p>
            <w:r>
              <w:t>2024AC05999</w:t>
            </w:r>
          </w:p>
        </w:tc>
        <w:tc>
          <w:tcPr>
            <w:tcW w:type="dxa" w:w="1800"/>
            <w:tcMar>
              <w:top w:w="80" w:type="dxa"/>
              <w:bottom w:w="80" w:type="dxa"/>
              <w:start w:w="120" w:type="dxa"/>
              <w:end w:w="120" w:type="dxa"/>
            </w:tcMar>
            <w:vAlign w:val="center"/>
          </w:tcPr>
          <w:p>
            <w:r>
              <w:t>Prasanna R T</w:t>
            </w:r>
          </w:p>
        </w:tc>
        <w:tc>
          <w:tcPr>
            <w:tcW w:type="dxa" w:w="4460"/>
            <w:tcMar>
              <w:top w:w="80" w:type="dxa"/>
              <w:bottom w:w="80" w:type="dxa"/>
              <w:start w:w="120" w:type="dxa"/>
              <w:end w:w="120" w:type="dxa"/>
            </w:tcMar>
            <w:vAlign w:val="center"/>
          </w:tcPr>
          <w:p>
            <w:r>
              <w:t>Conducted test design review, performed functional validation of candidate scoring workflows, and verified edge-case handling.</w:t>
            </w:r>
          </w:p>
        </w:tc>
        <w:tc>
          <w:tcPr>
            <w:tcW w:type="dxa" w:w="1200"/>
            <w:tcMar>
              <w:top w:w="80" w:type="dxa"/>
              <w:bottom w:w="80" w:type="dxa"/>
              <w:start w:w="120" w:type="dxa"/>
              <w:end w:w="120" w:type="dxa"/>
            </w:tcMar>
            <w:vAlign w:val="center"/>
          </w:tcPr>
          <w:p>
            <w:r>
              <w:t>25%</w:t>
            </w:r>
          </w:p>
        </w:tc>
      </w:tr>
      <w:tr>
        <w:trPr>
          <w:cantSplit/>
        </w:trPr>
        <w:tc>
          <w:tcPr>
            <w:tcW w:type="dxa" w:w="1900"/>
            <w:tcMar>
              <w:top w:w="80" w:type="dxa"/>
              <w:bottom w:w="80" w:type="dxa"/>
              <w:start w:w="120" w:type="dxa"/>
              <w:end w:w="120" w:type="dxa"/>
            </w:tcMar>
            <w:vAlign w:val="center"/>
          </w:tcPr>
          <w:p>
            <w:r>
              <w:t>2024AC05914</w:t>
            </w:r>
          </w:p>
        </w:tc>
        <w:tc>
          <w:tcPr>
            <w:tcW w:type="dxa" w:w="1800"/>
            <w:tcMar>
              <w:top w:w="80" w:type="dxa"/>
              <w:bottom w:w="80" w:type="dxa"/>
              <w:start w:w="120" w:type="dxa"/>
              <w:end w:w="120" w:type="dxa"/>
            </w:tcMar>
            <w:vAlign w:val="center"/>
          </w:tcPr>
          <w:p>
            <w:r>
              <w:t>Pranav Mehrotra</w:t>
            </w:r>
          </w:p>
        </w:tc>
        <w:tc>
          <w:tcPr>
            <w:tcW w:type="dxa" w:w="4460"/>
            <w:tcMar>
              <w:top w:w="80" w:type="dxa"/>
              <w:bottom w:w="80" w:type="dxa"/>
              <w:start w:w="120" w:type="dxa"/>
              <w:end w:w="120" w:type="dxa"/>
            </w:tcMar>
            <w:vAlign w:val="center"/>
          </w:tcPr>
          <w:p>
            <w:r>
              <w:t>Reviewed quality assurance evidence, conducted code audit reviews, and validated final submission package integrity.</w:t>
            </w:r>
          </w:p>
        </w:tc>
        <w:tc>
          <w:tcPr>
            <w:tcW w:type="dxa" w:w="1200"/>
            <w:tcMar>
              <w:top w:w="80" w:type="dxa"/>
              <w:bottom w:w="80" w:type="dxa"/>
              <w:start w:w="120" w:type="dxa"/>
              <w:end w:w="120" w:type="dxa"/>
            </w:tcMar>
            <w:vAlign w:val="center"/>
          </w:tcPr>
          <w:p>
            <w:r>
              <w:t>25%</w:t>
            </w:r>
          </w:p>
        </w:tc>
      </w:tr>
    </w:tbl>
    <w:p>
      <w:pPr>
        <w:spacing w:before="0" w:after="40" w:line="264" w:lineRule="auto"/>
      </w:pPr>
    </w:p>
    <w:p>
      <w:pPr>
        <w:spacing w:before="0" w:after="120" w:line="264" w:lineRule="auto"/>
      </w:pPr>
      <w:r>
        <w:rPr>
          <w:rFonts w:ascii="Calibri" w:hAnsi="Calibri"/>
          <w:b/>
        </w:rPr>
        <w:t xml:space="preserve">Submission statement. </w:t>
      </w:r>
      <w:r>
        <w:rPr>
          <w:rFonts w:ascii="Calibri" w:hAnsi="Calibri"/>
        </w:rPr>
        <w:t>This submission evolves the working Assignment I system without removing its upload, explanation, human-oversight, or audit features.</w:t>
      </w:r>
    </w:p>
    <w:p>
      <w:r>
        <w:br w:type="page"/>
      </w:r>
    </w:p>
    <w:p>
      <w:pPr>
        <w:pStyle w:val="Heading1"/>
        <w:keepNext/>
      </w:pPr>
      <w:r>
        <w:t>Assignment compliance mapping</w:t>
      </w:r>
    </w:p>
    <w:tbl>
      <w:tblPr>
        <w:tblStyle w:val="TableGrid"/>
        <w:tblW w:type="dxa" w:w="9360"/>
        <w:jc w:val="left"/>
        <w:tblLayout w:type="fixed"/>
        <w:tblLook w:firstColumn="1" w:firstRow="1" w:lastColumn="0" w:lastRow="0" w:noHBand="0" w:noVBand="1" w:val="04A0"/>
        <w:tblInd w:w="120" w:type="dxa"/>
      </w:tblPr>
      <w:tblGrid>
        <w:gridCol w:w="2100"/>
        <w:gridCol w:w="4300"/>
        <w:gridCol w:w="2960"/>
      </w:tblGrid>
      <w:tr>
        <w:trPr>
          <w:tblHeader w:val="true"/>
          <w:cantSplit/>
        </w:trPr>
        <w:tc>
          <w:tcPr>
            <w:tcW w:type="dxa" w:w="21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Requirement</w:t>
            </w:r>
          </w:p>
        </w:tc>
        <w:tc>
          <w:tcPr>
            <w:tcW w:type="dxa" w:w="43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Implementation</w:t>
            </w:r>
          </w:p>
        </w:tc>
        <w:tc>
          <w:tcPr>
            <w:tcW w:type="dxa" w:w="29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Verified evidence</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1. Modular refactoring</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ML, quality, shared application, audit, API, and UI modules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ml/, quality/, services/, app/, streamlit_app.py</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2. Research vs production</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Inline notebook prototype compared with production clean_text</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179.ipynb, Section 3</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3. Logging and errors</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INFO/WARNING/ERROR across six critical modules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logging_config.py, logs/</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4. Formatting and linting</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Recorded initial findings, then Black/isort/Flake8 pass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report/lint_before.txt and lint_after.txt</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5. REST API</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Startup model load; typed prediction, health, and metrics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app/api.py, app/schemas.py</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6-7. Tests and ML tests</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Unit, data, loss, persistence, inference, continuity, API</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35 tests; report/pytest_report.txt</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8. Quality metrics</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Accuracy, F1, Brier, top-3, schema, balance, drift helper</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report/metrics_snapshot.json</w:t>
            </w:r>
          </w:p>
        </w:tc>
      </w:tr>
      <w:tr>
        <w:trPr>
          <w:cantSplit/>
        </w:trPr>
        <w:tc>
          <w:tcPr>
            <w:tcW w:type="dxa" w:w="2100"/>
            <w:tcMar>
              <w:top w:w="80" w:type="dxa"/>
              <w:bottom w:w="80" w:type="dxa"/>
              <w:start w:w="120" w:type="dxa"/>
              <w:end w:w="120" w:type="dxa"/>
            </w:tcMar>
            <w:vAlign w:val="center"/>
          </w:tcPr>
          <w:p>
            <w:pPr>
              <w:spacing w:before="0" w:after="0" w:line="240" w:lineRule="auto"/>
            </w:pPr>
            <w:r>
              <w:rPr>
                <w:rFonts w:ascii="Calibri" w:hAnsi="Calibri"/>
                <w:color w:val="000000"/>
                <w:sz w:val="18"/>
              </w:rPr>
              <w:t>9. Production and security</w:t>
            </w:r>
          </w:p>
        </w:tc>
        <w:tc>
          <w:tcPr>
            <w:tcW w:type="dxa" w:w="4300"/>
            <w:tcMar>
              <w:top w:w="80" w:type="dxa"/>
              <w:bottom w:w="80" w:type="dxa"/>
              <w:start w:w="120" w:type="dxa"/>
              <w:end w:w="120" w:type="dxa"/>
            </w:tcMar>
            <w:vAlign w:val="center"/>
          </w:tcPr>
          <w:p>
            <w:pPr>
              <w:spacing w:before="0" w:after="0" w:line="240" w:lineRule="auto"/>
            </w:pPr>
            <w:r>
              <w:rPr>
                <w:rFonts w:ascii="Calibri" w:hAnsi="Calibri"/>
                <w:color w:val="000000"/>
                <w:sz w:val="18"/>
              </w:rPr>
              <w:t>Shadow/canary strategy and resume-data controls</w:t>
            </w:r>
          </w:p>
        </w:tc>
        <w:tc>
          <w:tcPr>
            <w:tcW w:type="dxa" w:w="2960"/>
            <w:tcMar>
              <w:top w:w="80" w:type="dxa"/>
              <w:bottom w:w="80" w:type="dxa"/>
              <w:start w:w="120" w:type="dxa"/>
              <w:end w:w="120" w:type="dxa"/>
            </w:tcMar>
            <w:vAlign w:val="center"/>
          </w:tcPr>
          <w:p>
            <w:pPr>
              <w:spacing w:before="0" w:after="0" w:line="240" w:lineRule="auto"/>
            </w:pPr>
            <w:r>
              <w:rPr>
                <w:rFonts w:ascii="Calibri" w:hAnsi="Calibri"/>
                <w:color w:val="000000"/>
                <w:sz w:val="18"/>
              </w:rPr>
              <w:t>Section 9</w:t>
            </w:r>
          </w:p>
        </w:tc>
      </w:tr>
    </w:tbl>
    <w:p>
      <w:pPr>
        <w:spacing w:before="0" w:after="40" w:line="264" w:lineRule="auto"/>
      </w:pPr>
    </w:p>
    <w:p>
      <w:pPr>
        <w:pStyle w:val="Heading1"/>
        <w:keepNext/>
      </w:pPr>
      <w:r>
        <w:t>1. Continuity from Assignment I</w:t>
      </w:r>
    </w:p>
    <w:p>
      <w:pPr>
        <w:spacing w:before="0" w:after="120" w:line="264" w:lineRule="auto"/>
      </w:pPr>
      <w:r>
        <w:rPr>
          <w:rFonts w:ascii="Calibri" w:hAnsi="Calibri"/>
        </w:rPr>
        <w:t>Assignment II uses the same HR/recruitment problem, labelled job-role data, TF-IDF and logistic-regression pipeline, keyword explanation, human decision note, and measurable quality goals developed in Assignment I. The monolithic prototype is refactored into production modules and exposed through FastAPI.</w:t>
      </w:r>
    </w:p>
    <w:tbl>
      <w:tblPr>
        <w:tblStyle w:val="TableGrid"/>
        <w:tblW w:type="dxa" w:w="9360"/>
        <w:jc w:val="left"/>
        <w:tblLayout w:type="fixed"/>
        <w:tblLook w:firstColumn="1" w:firstRow="1" w:lastColumn="0" w:lastRow="0" w:noHBand="0" w:noVBand="1" w:val="04A0"/>
        <w:tblInd w:w="120" w:type="dxa"/>
      </w:tblPr>
      <w:tblGrid>
        <w:gridCol w:w="3800"/>
        <w:gridCol w:w="5560"/>
      </w:tblGrid>
      <w:tr>
        <w:trPr>
          <w:tblHeader w:val="true"/>
          <w:cantSplit/>
        </w:trPr>
        <w:tc>
          <w:tcPr>
            <w:tcW w:type="dxa" w:w="38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Assignment I capability</w:t>
            </w:r>
          </w:p>
        </w:tc>
        <w:tc>
          <w:tcPr>
            <w:tcW w:type="dxa" w:w="55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Preserved Assignment II component</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TXT/PDF/DOCX resume upload</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ml/ingestion.py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Text normalization and classification</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ml/preprocessing.py, ml/trainer.py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Explanation and human oversight</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services/scoring.py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Consistent submission orchestration</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services/application.py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Audit history without raw resume storage</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services/audit.py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Recruiter-facing dashboard</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streamlit_app.py</w:t>
            </w:r>
          </w:p>
        </w:tc>
      </w:tr>
      <w:tr>
        <w:trPr>
          <w:cantSplit/>
        </w:trPr>
        <w:tc>
          <w:tcPr>
            <w:tcW w:type="dxa" w:w="3800"/>
            <w:tcMar>
              <w:top w:w="80" w:type="dxa"/>
              <w:bottom w:w="80" w:type="dxa"/>
              <w:start w:w="120" w:type="dxa"/>
              <w:end w:w="120" w:type="dxa"/>
            </w:tcMar>
            <w:vAlign w:val="center"/>
          </w:tcPr>
          <w:p>
            <w:pPr>
              <w:spacing w:before="0" w:after="0" w:line="240" w:lineRule="auto"/>
            </w:pPr>
            <w:r>
              <w:rPr>
                <w:rFonts w:ascii="Calibri" w:hAnsi="Calibri"/>
                <w:color w:val="000000"/>
                <w:sz w:val="18"/>
              </w:rPr>
              <w:t>New production inference contract</w:t>
            </w:r>
          </w:p>
        </w:tc>
        <w:tc>
          <w:tcPr>
            <w:tcW w:type="dxa" w:w="5560"/>
            <w:tcMar>
              <w:top w:w="80" w:type="dxa"/>
              <w:bottom w:w="80" w:type="dxa"/>
              <w:start w:w="120" w:type="dxa"/>
              <w:end w:w="120" w:type="dxa"/>
            </w:tcMar>
            <w:vAlign w:val="center"/>
          </w:tcPr>
          <w:p>
            <w:pPr>
              <w:spacing w:before="0" w:after="0" w:line="240" w:lineRule="auto"/>
            </w:pPr>
            <w:r>
              <w:rPr>
                <w:rFonts w:ascii="Calibri" w:hAnsi="Calibri"/>
                <w:color w:val="000000"/>
                <w:sz w:val="18"/>
              </w:rPr>
              <w:t>app/api.py and app/schemas.py</w:t>
            </w:r>
          </w:p>
        </w:tc>
      </w:tr>
    </w:tbl>
    <w:p>
      <w:pPr>
        <w:spacing w:before="0" w:after="40" w:line="264" w:lineRule="auto"/>
      </w:pPr>
    </w:p>
    <w:p>
      <w:pPr>
        <w:keepNext/>
        <w:jc w:val="center"/>
      </w:pPr>
      <w:r>
        <w:drawing>
          <wp:inline xmlns:a="http://schemas.openxmlformats.org/drawingml/2006/main" xmlns:pic="http://schemas.openxmlformats.org/drawingml/2006/picture">
            <wp:extent cx="5669280" cy="3149600"/>
            <wp:docPr id="1" name="Picture 1" descr="Clients flow through interfaces into one shared application, predictor, model and audit store; research flows through quality gates into versioned release evidence." title="Assignment II evolution architecture"/>
            <wp:cNvGraphicFramePr>
              <a:graphicFrameLocks noChangeAspect="1"/>
            </wp:cNvGraphicFramePr>
            <a:graphic>
              <a:graphicData uri="http://schemas.openxmlformats.org/drawingml/2006/picture">
                <pic:pic>
                  <pic:nvPicPr>
                    <pic:cNvPr id="0" name="assignment2_architecture.png"/>
                    <pic:cNvPicPr/>
                  </pic:nvPicPr>
                  <pic:blipFill>
                    <a:blip r:embed="rId11"/>
                    <a:stretch>
                      <a:fillRect/>
                    </a:stretch>
                  </pic:blipFill>
                  <pic:spPr>
                    <a:xfrm>
                      <a:off x="0" y="0"/>
                      <a:ext cx="5669280" cy="3149600"/>
                    </a:xfrm>
                    <a:prstGeom prst="rect"/>
                  </pic:spPr>
                </pic:pic>
              </a:graphicData>
            </a:graphic>
          </wp:inline>
        </w:drawing>
      </w:r>
    </w:p>
    <w:p>
      <w:pPr>
        <w:keepNext/>
        <w:spacing w:before="80" w:after="160" w:line="240" w:lineRule="auto"/>
        <w:jc w:val="center"/>
      </w:pPr>
      <w:r>
        <w:rPr>
          <w:rFonts w:ascii="Calibri" w:hAnsi="Calibri"/>
          <w:i/>
          <w:color w:val="5B6573"/>
          <w:sz w:val="18"/>
        </w:rPr>
        <w:t>Figure 1. Shared online workflow and evidence-governed offline release.</w:t>
      </w:r>
    </w:p>
    <w:p>
      <w:pPr>
        <w:pStyle w:val="Heading1"/>
        <w:keepNext/>
      </w:pPr>
      <w:r>
        <w:t>2. Refactoring with OOP and functional principles</w:t>
      </w:r>
    </w:p>
    <w:p>
      <w:pPr>
        <w:spacing w:after="120"/>
      </w:pPr>
      <w:r>
        <w:rPr>
          <w:rFonts w:ascii="Calibri" w:hAnsi="Calibri" w:eastAsia="Calibri"/>
          <w:b w:val="0"/>
          <w:i w:val="0"/>
          <w:sz w:val="22"/>
        </w:rPr>
        <w:t>Component view (classes, modules, and key functions) verified against source imports and call paths. Streamlit and FastAPI both call the shared ResumeScreeningApplication; ResumeScoringService uses ModelPredictor and clean_text; train.py drives offline training through ml.data and ml.trainer with quality gates. Editable Mermaid source: docs/component_diagram.mmd.</w:t>
      </w:r>
    </w:p>
    <w:p>
      <w:pPr>
        <w:jc w:val="center"/>
      </w:pPr>
      <w:r>
        <w:drawing>
          <wp:inline xmlns:a="http://schemas.openxmlformats.org/drawingml/2006/main" xmlns:pic="http://schemas.openxmlformats.org/drawingml/2006/picture">
            <wp:extent cx="5852160" cy="1910909"/>
            <wp:docPr id="9" name="Picture 9"/>
            <wp:cNvGraphicFramePr>
              <a:graphicFrameLocks noChangeAspect="1"/>
            </wp:cNvGraphicFramePr>
            <a:graphic>
              <a:graphicData uri="http://schemas.openxmlformats.org/drawingml/2006/picture">
                <pic:pic>
                  <pic:nvPicPr>
                    <pic:cNvPr id="0" name="component_diagram.png"/>
                    <pic:cNvPicPr/>
                  </pic:nvPicPr>
                  <pic:blipFill>
                    <a:blip r:embed="rId20"/>
                    <a:stretch>
                      <a:fillRect/>
                    </a:stretch>
                  </pic:blipFill>
                  <pic:spPr>
                    <a:xfrm>
                      <a:off x="0" y="0"/>
                      <a:ext cx="5852160" cy="1910909"/>
                    </a:xfrm>
                    <a:prstGeom prst="rect"/>
                  </pic:spPr>
                </pic:pic>
              </a:graphicData>
            </a:graphic>
          </wp:inline>
        </w:drawing>
      </w:r>
    </w:p>
    <w:p>
      <w:pPr>
        <w:spacing w:before="80" w:after="200"/>
        <w:jc w:val="center"/>
      </w:pPr>
      <w:r>
        <w:rPr>
          <w:rFonts w:ascii="Calibri" w:hAnsi="Calibri" w:eastAsia="Calibri"/>
          <w:b w:val="0"/>
          <w:i/>
          <w:color w:val="333333"/>
          <w:sz w:val="20"/>
        </w:rPr>
        <w:t>Figure 1b. Production component diagram aligned with the codebase: clients/entrypoints (Streamlit, FastAPI, train.py), domain services (classes), ML lifecycle modules, quality metrics, artifacts, and config/logging. Solid edges are runtime or train dependencies; dotted edges are cross-cutting config and logging. Composition wiring of ModelPredictor into services is done inside API/Streamlit get/load helpers (omitted as construction detail).</w:t>
      </w:r>
    </w:p>
    <w:p>
      <w:pPr>
        <w:spacing w:before="0" w:after="120" w:line="264" w:lineRule="auto"/>
      </w:pPr>
      <w:r>
        <w:rPr>
          <w:rFonts w:ascii="Calibri" w:hAnsi="Calibri"/>
          <w:b/>
        </w:rPr>
        <w:t xml:space="preserve">Data and validation. </w:t>
      </w:r>
      <w:r>
        <w:rPr>
          <w:rFonts w:ascii="Calibri" w:hAnsi="Calibri"/>
        </w:rPr>
        <w:t>ml/data.py creates the labelled dataset and returns an immutable DataQualityReport after schema, missing-value, duplicate, and class coverage checks.</w:t>
      </w:r>
    </w:p>
    <w:p>
      <w:pPr>
        <w:spacing w:before="0" w:after="120" w:line="264" w:lineRule="auto"/>
      </w:pPr>
      <w:r>
        <w:rPr>
          <w:rFonts w:ascii="Calibri" w:hAnsi="Calibri"/>
          <w:b/>
        </w:rPr>
        <w:t xml:space="preserve">Ingestion. </w:t>
      </w:r>
      <w:r>
        <w:rPr>
          <w:rFonts w:ascii="Calibri" w:hAnsi="Calibri"/>
        </w:rPr>
        <w:t>ml/ingestion.py isolates TXT/PDF/DOCX parsing, file-type checks, empty-file checks, and a 5 MB upload limit.</w:t>
      </w:r>
    </w:p>
    <w:p>
      <w:pPr>
        <w:spacing w:before="0" w:after="120" w:line="264" w:lineRule="auto"/>
      </w:pPr>
      <w:r>
        <w:rPr>
          <w:rFonts w:ascii="Calibri" w:hAnsi="Calibri"/>
          <w:b/>
        </w:rPr>
        <w:t xml:space="preserve">Training. </w:t>
      </w:r>
      <w:r>
        <w:rPr>
          <w:rFonts w:ascii="Calibri" w:hAnsi="Calibri"/>
        </w:rPr>
        <w:t>ml/trainer.py constructs the reusable scikit-learn pipeline, measures validation metrics, enforces release gates, retrains on all data, and persists a versionable artifact.</w:t>
      </w:r>
    </w:p>
    <w:p>
      <w:pPr>
        <w:spacing w:before="0" w:after="120" w:line="264" w:lineRule="auto"/>
      </w:pPr>
      <w:r>
        <w:rPr>
          <w:rFonts w:ascii="Calibri" w:hAnsi="Calibri"/>
          <w:b/>
        </w:rPr>
        <w:t xml:space="preserve">Inference and services. </w:t>
      </w:r>
      <w:r>
        <w:rPr>
          <w:rFonts w:ascii="Calibri" w:hAnsi="Calibri"/>
        </w:rPr>
        <w:t>ModelPredictor owns artifact loading and stable probability output. ResumeScoringService adds explanation and human oversight without coupling those rules to the classifier.</w:t>
      </w:r>
    </w:p>
    <w:p>
      <w:pPr>
        <w:spacing w:before="0" w:after="120" w:line="264" w:lineRule="auto"/>
      </w:pPr>
      <w:r>
        <w:rPr>
          <w:rFonts w:ascii="Calibri" w:hAnsi="Calibri"/>
          <w:b/>
        </w:rPr>
        <w:t xml:space="preserve">Application boundaries. </w:t>
      </w:r>
      <w:r>
        <w:rPr>
          <w:rFonts w:ascii="Calibri" w:hAnsi="Calibri"/>
        </w:rPr>
        <w:t>ResumeScreeningApplication coordinates validate, score, and audit for both FastAPI and Streamlit. AuditRepository stores only metadata.</w:t>
      </w:r>
    </w:p>
    <w:p>
      <w:pPr>
        <w:spacing w:before="0" w:after="120" w:line="264" w:lineRule="auto"/>
      </w:pPr>
      <w:r>
        <w:rPr>
          <w:rFonts w:ascii="Calibri" w:hAnsi="Calibri"/>
          <w:b/>
        </w:rPr>
        <w:t xml:space="preserve">Quality and configuration. </w:t>
      </w:r>
      <w:r>
        <w:rPr>
          <w:rFonts w:ascii="Calibri" w:hAnsi="Calibri"/>
        </w:rPr>
        <w:t>config.py centralizes runtime paths and versioning; quality/ computes model/data metrics and drift signals; training persists metrics JSON.</w:t>
      </w:r>
    </w:p>
    <w:p>
      <w:pPr>
        <w:pStyle w:val="Heading1"/>
        <w:keepNext/>
      </w:pPr>
      <w:r>
        <w:t>3. Research code vs production code</w:t>
      </w:r>
    </w:p>
    <w:p>
      <w:pPr>
        <w:spacing w:before="0" w:after="120" w:line="264" w:lineRule="auto"/>
      </w:pPr>
      <w:r>
        <w:rPr>
          <w:rFonts w:ascii="Calibri" w:hAnsi="Calibri"/>
        </w:rPr>
        <w:t>The canonical 179.ipynb now demonstrates the same preprocessing component twice. The first version is deliberately notebook-oriented; the second imports the tested production function. It also records class/text-length EDA, compares MultinomialNB with logistic regression on one fixed split, and displays a classification report and confusion matrix before the production hand-off.</w:t>
      </w:r>
    </w:p>
    <w:p>
      <w:pPr>
        <w:shd w:fill="172033"/>
        <w:spacing w:before="60" w:after="160" w:line="240" w:lineRule="auto"/>
        <w:ind w:left="173" w:right="173"/>
      </w:pPr>
      <w:r>
        <w:rPr>
          <w:rFonts w:ascii="Courier New" w:hAnsi="Courier New"/>
          <w:color w:val="FFFFFF"/>
          <w:sz w:val="17"/>
        </w:rPr>
        <w:t># Research prototype in 179.ipynb</w:t>
        <w:br/>
        <w:t>def prototype_clean_text(text):</w:t>
        <w:br/>
        <w:t xml:space="preserve">    return re.sub(r"\s+", " ", re.sub(r"[^a-z0-9+#. ]", " ", text.lower())).strip()</w:t>
      </w:r>
    </w:p>
    <w:p>
      <w:pPr>
        <w:shd w:fill="172033"/>
        <w:spacing w:before="60" w:after="160" w:line="240" w:lineRule="auto"/>
        <w:ind w:left="173" w:right="173"/>
      </w:pPr>
      <w:r>
        <w:rPr>
          <w:rFonts w:ascii="Courier New" w:hAnsi="Courier New"/>
          <w:color w:val="FFFFFF"/>
          <w:sz w:val="17"/>
        </w:rPr>
        <w:t># Production use</w:t>
        <w:br/>
        <w:t>from ml.preprocessing import clean_text</w:t>
        <w:br/>
        <w:t>clean_text("  Python   TESTING!! ")</w:t>
      </w:r>
    </w:p>
    <w:tbl>
      <w:tblPr>
        <w:tblStyle w:val="TableGrid"/>
        <w:tblW w:type="dxa" w:w="9360"/>
        <w:jc w:val="left"/>
        <w:tblLayout w:type="fixed"/>
        <w:tblLook w:firstColumn="1" w:firstRow="1" w:lastColumn="0" w:lastRow="0" w:noHBand="0" w:noVBand="1" w:val="04A0"/>
        <w:tblInd w:w="120" w:type="dxa"/>
      </w:tblPr>
      <w:tblGrid>
        <w:gridCol w:w="1900"/>
        <w:gridCol w:w="3100"/>
        <w:gridCol w:w="4360"/>
      </w:tblGrid>
      <w:tr>
        <w:trPr>
          <w:tblHeader w:val="true"/>
          <w:cantSplit/>
        </w:trPr>
        <w:tc>
          <w:tcPr>
            <w:tcW w:type="dxa" w:w="19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Aspect</w:t>
            </w:r>
          </w:p>
        </w:tc>
        <w:tc>
          <w:tcPr>
            <w:tcW w:type="dxa" w:w="31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Research prototype</w:t>
            </w:r>
          </w:p>
        </w:tc>
        <w:tc>
          <w:tcPr>
            <w:tcW w:type="dxa" w:w="43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Production component</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Purpose</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Rapid feasibility</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Repeatable service behavior</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Structure</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Inline notebook cell</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Importable typed function</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Validation</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Assumes string input</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Type, empty, size, semantic checks</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Observability</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Displayed output</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Structured INFO/WARNING/ERROR logs</w:t>
            </w:r>
          </w:p>
        </w:tc>
      </w:tr>
      <w:tr>
        <w:trPr>
          <w:cantSplit/>
        </w:trPr>
        <w:tc>
          <w:tcPr>
            <w:tcW w:type="dxa" w:w="1900"/>
            <w:tcMar>
              <w:top w:w="80" w:type="dxa"/>
              <w:bottom w:w="80" w:type="dxa"/>
              <w:start w:w="120" w:type="dxa"/>
              <w:end w:w="120" w:type="dxa"/>
            </w:tcMar>
            <w:vAlign w:val="center"/>
          </w:tcPr>
          <w:p>
            <w:pPr>
              <w:spacing w:before="0" w:after="0" w:line="240" w:lineRule="auto"/>
            </w:pPr>
            <w:r>
              <w:rPr>
                <w:rFonts w:ascii="Calibri" w:hAnsi="Calibri"/>
                <w:color w:val="000000"/>
                <w:sz w:val="18"/>
              </w:rPr>
              <w:t>Quality evidence</w:t>
            </w:r>
          </w:p>
        </w:tc>
        <w:tc>
          <w:tcPr>
            <w:tcW w:type="dxa" w:w="3100"/>
            <w:tcMar>
              <w:top w:w="80" w:type="dxa"/>
              <w:bottom w:w="80" w:type="dxa"/>
              <w:start w:w="120" w:type="dxa"/>
              <w:end w:w="120" w:type="dxa"/>
            </w:tcMar>
            <w:vAlign w:val="center"/>
          </w:tcPr>
          <w:p>
            <w:pPr>
              <w:spacing w:before="0" w:after="0" w:line="240" w:lineRule="auto"/>
            </w:pPr>
            <w:r>
              <w:rPr>
                <w:rFonts w:ascii="Calibri" w:hAnsi="Calibri"/>
                <w:color w:val="000000"/>
                <w:sz w:val="18"/>
              </w:rPr>
              <w:t>Manual inspection</w:t>
            </w:r>
          </w:p>
        </w:tc>
        <w:tc>
          <w:tcPr>
            <w:tcW w:type="dxa" w:w="4360"/>
            <w:tcMar>
              <w:top w:w="80" w:type="dxa"/>
              <w:bottom w:w="80" w:type="dxa"/>
              <w:start w:w="120" w:type="dxa"/>
              <w:end w:w="120" w:type="dxa"/>
            </w:tcMar>
            <w:vAlign w:val="center"/>
          </w:tcPr>
          <w:p>
            <w:pPr>
              <w:spacing w:before="0" w:after="0" w:line="240" w:lineRule="auto"/>
            </w:pPr>
            <w:r>
              <w:rPr>
                <w:rFonts w:ascii="Calibri" w:hAnsi="Calibri"/>
                <w:color w:val="000000"/>
                <w:sz w:val="18"/>
              </w:rPr>
              <w:t>Unit and API integration tests</w:t>
            </w:r>
          </w:p>
        </w:tc>
      </w:tr>
    </w:tbl>
    <w:p>
      <w:pPr>
        <w:spacing w:before="0" w:after="40" w:line="264" w:lineRule="auto"/>
      </w:pPr>
    </w:p>
    <w:p>
      <w:pPr>
        <w:pStyle w:val="Heading1"/>
        <w:keepNext/>
      </w:pPr>
      <w:r>
        <w:t>4. Error handling and logging</w:t>
      </w:r>
    </w:p>
    <w:p>
      <w:pPr>
        <w:spacing w:before="0" w:after="120" w:line="264" w:lineRule="auto"/>
      </w:pPr>
      <w:r>
        <w:rPr>
          <w:rFonts w:ascii="Calibri" w:hAnsi="Calibri"/>
        </w:rPr>
        <w:t>Logging is configured centrally and writes to console plus a rotating project-relative file (1 MB, three backups). Raw resume text is neither logged nor stored in the audit CSV.</w:t>
      </w:r>
    </w:p>
    <w:tbl>
      <w:tblPr>
        <w:tblStyle w:val="TableGrid"/>
        <w:tblW w:type="dxa" w:w="9360"/>
        <w:jc w:val="left"/>
        <w:tblLayout w:type="fixed"/>
        <w:tblLook w:firstColumn="1" w:firstRow="1" w:lastColumn="0" w:lastRow="0" w:noHBand="0" w:noVBand="1" w:val="04A0"/>
        <w:tblInd w:w="120" w:type="dxa"/>
      </w:tblPr>
      <w:tblGrid>
        <w:gridCol w:w="2200"/>
        <w:gridCol w:w="3000"/>
        <w:gridCol w:w="4160"/>
      </w:tblGrid>
      <w:tr>
        <w:trPr>
          <w:tblHeader w:val="true"/>
          <w:cantSplit/>
        </w:trPr>
        <w:tc>
          <w:tcPr>
            <w:tcW w:type="dxa" w:w="22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Critical module</w:t>
            </w:r>
          </w:p>
        </w:tc>
        <w:tc>
          <w:tcPr>
            <w:tcW w:type="dxa" w:w="30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INFO</w:t>
            </w:r>
          </w:p>
        </w:tc>
        <w:tc>
          <w:tcPr>
            <w:tcW w:type="dxa" w:w="41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WARNING / ERROR</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ml/preprocessing.py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Input/output character counts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Wrong type, empty, oversized, or unusable content</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ml/ingestion.py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Type and extracted length</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Unsupported, empty, oversized, or failed extraction</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ml/data.py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Rows, schema, quality report</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Missing schema/values or insufficient classes</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ml/trainer.py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Training rows, artifact, metrics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Fit exception or failed quality gate</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ml/predictor.py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Artifact and prediction metadata</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Missing artifact or inference exception</w:t>
            </w:r>
          </w:p>
        </w:tc>
      </w:tr>
      <w:tr>
        <w:trPr>
          <w:cantSplit/>
        </w:trPr>
        <w:tc>
          <w:tcPr>
            <w:tcW w:type="dxa" w:w="2200"/>
            <w:tcMar>
              <w:top w:w="80" w:type="dxa"/>
              <w:bottom w:w="80" w:type="dxa"/>
              <w:start w:w="120" w:type="dxa"/>
              <w:end w:w="120" w:type="dxa"/>
            </w:tcMar>
            <w:vAlign w:val="center"/>
          </w:tcPr>
          <w:p>
            <w:pPr>
              <w:spacing w:before="0" w:after="0" w:line="240" w:lineRule="auto"/>
            </w:pPr>
            <w:r>
              <w:rPr>
                <w:rFonts w:ascii="Calibri" w:hAnsi="Calibri"/>
                <w:color w:val="000000"/>
                <w:sz w:val="18"/>
              </w:rPr>
              <w:t>app/api.py</w:t>
            </w:r>
          </w:p>
        </w:tc>
        <w:tc>
          <w:tcPr>
            <w:tcW w:type="dxa" w:w="3000"/>
            <w:tcMar>
              <w:top w:w="80" w:type="dxa"/>
              <w:bottom w:w="80" w:type="dxa"/>
              <w:start w:w="120" w:type="dxa"/>
              <w:end w:w="120" w:type="dxa"/>
            </w:tcMar>
            <w:vAlign w:val="center"/>
          </w:tcPr>
          <w:p>
            <w:pPr>
              <w:spacing w:before="0" w:after="0" w:line="240" w:lineRule="auto"/>
            </w:pPr>
            <w:r>
              <w:rPr>
                <w:rFonts w:ascii="Calibri" w:hAnsi="Calibri"/>
                <w:color w:val="000000"/>
                <w:sz w:val="18"/>
              </w:rPr>
              <w:t>Startup model load and successful requests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Invalid request, unavailable model, unexpected error</w:t>
            </w:r>
          </w:p>
        </w:tc>
      </w:tr>
    </w:tbl>
    <w:p>
      <w:pPr>
        <w:spacing w:before="0" w:after="40" w:line="264" w:lineRule="auto"/>
      </w:pPr>
    </w:p>
    <w:p>
      <w:pPr>
        <w:pStyle w:val="Heading1"/>
        <w:keepNext/>
      </w:pPr>
      <w:r>
        <w:t>5. Code formatting and linting</w:t>
      </w:r>
    </w:p>
    <w:p>
      <w:pPr>
        <w:spacing w:before="0" w:after="120" w:line="264" w:lineRule="auto"/>
      </w:pPr>
      <w:r>
        <w:rPr>
          <w:rFonts w:ascii="Calibri" w:hAnsi="Calibri"/>
        </w:rPr>
        <w:t>The initial review established a genuine baseline before remediation. The configured tools were then applied to the complete Python codebase and rerun after implementation changes.</w:t>
      </w:r>
    </w:p>
    <w:p>
      <w:pPr>
        <w:shd w:fill="172033"/>
        <w:spacing w:before="60" w:after="160" w:line="240" w:lineRule="auto"/>
        <w:ind w:left="173" w:right="173"/>
      </w:pPr>
      <w:r>
        <w:rPr>
          <w:rFonts w:ascii="Courier New" w:hAnsi="Courier New"/>
          <w:color w:val="FFFFFF"/>
          <w:sz w:val="17"/>
        </w:rPr>
        <w:t>BEFORE (2026-07-26)</w:t>
        <w:br/>
        <w:t>Black: 15 files needed formatting.</w:t>
        <w:br/>
        <w:t>isort: 6 files had incorrectly sorted imports.</w:t>
        <w:br/>
        <w:t>Flake8: 29 violations.</w:t>
        <w:br/>
        <w:br/>
        <w:t>AFTER (2026-08-01)</w:t>
        <w:br/>
        <w:t>$ black --check .  -&gt; PASS</w:t>
        <w:br/>
        <w:t>$ isort --check-only .</w:t>
        <w:br/>
        <w:t>PASS - no incorrectly sorted imports.</w:t>
        <w:br/>
        <w:br/>
        <w:t>$ flake8 .</w:t>
        <w:br/>
        <w:t>PASS - no violations.</w:t>
      </w:r>
    </w:p>
    <w:p>
      <w:pPr>
        <w:keepNext/>
        <w:spacing w:before="80" w:after="160" w:line="240" w:lineRule="auto"/>
        <w:jc w:val="center"/>
      </w:pPr>
      <w:r>
        <w:rPr>
          <w:rFonts w:ascii="Calibri" w:hAnsi="Calibri"/>
          <w:i/>
          <w:color w:val="5B6573"/>
          <w:sz w:val="18"/>
        </w:rPr>
        <w:t>Evidence 1. Recorded baseline and reproducible post-remediation results.</w:t>
      </w:r>
    </w:p>
    <w:p>
      <w:pPr>
        <w:pStyle w:val="Heading1"/>
        <w:keepNext/>
      </w:pPr>
      <w:r>
        <w:t>6. REST API design</w:t>
      </w:r>
    </w:p>
    <w:tbl>
      <w:tblPr>
        <w:tblStyle w:val="TableGrid"/>
        <w:tblW w:type="dxa" w:w="9360"/>
        <w:jc w:val="left"/>
        <w:tblLayout w:type="fixed"/>
        <w:tblLook w:firstColumn="1" w:firstRow="1" w:lastColumn="0" w:lastRow="0" w:noHBand="0" w:noVBand="1" w:val="04A0"/>
        <w:tblInd w:w="120" w:type="dxa"/>
      </w:tblPr>
      <w:tblGrid>
        <w:gridCol w:w="2000"/>
        <w:gridCol w:w="4160"/>
        <w:gridCol w:w="3200"/>
      </w:tblGrid>
      <w:tr>
        <w:trPr>
          <w:tblHeader w:val="true"/>
          <w:cantSplit/>
        </w:trPr>
        <w:tc>
          <w:tcPr>
            <w:tcW w:type="dxa" w:w="20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Endpoint</w:t>
            </w:r>
          </w:p>
        </w:tc>
        <w:tc>
          <w:tcPr>
            <w:tcW w:type="dxa" w:w="41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Contract</w:t>
            </w:r>
          </w:p>
        </w:tc>
        <w:tc>
          <w:tcPr>
            <w:tcW w:type="dxa" w:w="32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Status behavior</w:t>
            </w:r>
          </w:p>
        </w:tc>
      </w:tr>
      <w:tr>
        <w:trPr>
          <w:cantSplit/>
        </w:trPr>
        <w:tc>
          <w:tcPr>
            <w:tcW w:type="dxa" w:w="2000"/>
            <w:tcMar>
              <w:top w:w="80" w:type="dxa"/>
              <w:bottom w:w="80" w:type="dxa"/>
              <w:start w:w="120" w:type="dxa"/>
              <w:end w:w="120" w:type="dxa"/>
            </w:tcMar>
            <w:vAlign w:val="center"/>
          </w:tcPr>
          <w:p>
            <w:pPr>
              <w:spacing w:before="0" w:after="0" w:line="240" w:lineRule="auto"/>
            </w:pPr>
            <w:r>
              <w:rPr>
                <w:rFonts w:ascii="Calibri" w:hAnsi="Calibri"/>
                <w:color w:val="000000"/>
                <w:sz w:val="18"/>
              </w:rPr>
              <w:t>GET /health</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Typed status, model_loaded, and API version</w:t>
            </w:r>
          </w:p>
        </w:tc>
        <w:tc>
          <w:tcPr>
            <w:tcW w:type="dxa" w:w="3200"/>
            <w:tcMar>
              <w:top w:w="80" w:type="dxa"/>
              <w:bottom w:w="80" w:type="dxa"/>
              <w:start w:w="120" w:type="dxa"/>
              <w:end w:w="120" w:type="dxa"/>
            </w:tcMar>
            <w:vAlign w:val="center"/>
          </w:tcPr>
          <w:p>
            <w:pPr>
              <w:spacing w:before="0" w:after="0" w:line="240" w:lineRule="auto"/>
            </w:pPr>
            <w:r>
              <w:rPr>
                <w:rFonts w:ascii="Calibri" w:hAnsi="Calibri"/>
                <w:color w:val="000000"/>
                <w:sz w:val="18"/>
              </w:rPr>
              <w:t>200 ready; 503 artifact missing</w:t>
            </w:r>
          </w:p>
        </w:tc>
      </w:tr>
      <w:tr>
        <w:trPr>
          <w:cantSplit/>
        </w:trPr>
        <w:tc>
          <w:tcPr>
            <w:tcW w:type="dxa" w:w="2000"/>
            <w:tcMar>
              <w:top w:w="80" w:type="dxa"/>
              <w:bottom w:w="80" w:type="dxa"/>
              <w:start w:w="120" w:type="dxa"/>
              <w:end w:w="120" w:type="dxa"/>
            </w:tcMar>
            <w:vAlign w:val="center"/>
          </w:tcPr>
          <w:p>
            <w:pPr>
              <w:spacing w:before="0" w:after="0" w:line="240" w:lineRule="auto"/>
            </w:pPr>
            <w:r>
              <w:rPr>
                <w:rFonts w:ascii="Calibri" w:hAnsi="Calibri"/>
                <w:color w:val="000000"/>
                <w:sz w:val="18"/>
              </w:rPr>
              <w:t>POST /predict and /v1/predictions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Typed candidate and resume request; typed ranking response</w:t>
            </w:r>
          </w:p>
        </w:tc>
        <w:tc>
          <w:tcPr>
            <w:tcW w:type="dxa" w:w="3200"/>
            <w:tcMar>
              <w:top w:w="80" w:type="dxa"/>
              <w:bottom w:w="80" w:type="dxa"/>
              <w:start w:w="120" w:type="dxa"/>
              <w:end w:w="120" w:type="dxa"/>
            </w:tcMar>
            <w:vAlign w:val="center"/>
          </w:tcPr>
          <w:p>
            <w:pPr>
              <w:spacing w:before="0" w:after="0" w:line="240" w:lineRule="auto"/>
            </w:pPr>
            <w:r>
              <w:rPr>
                <w:rFonts w:ascii="Calibri" w:hAnsi="Calibri"/>
                <w:color w:val="000000"/>
                <w:sz w:val="18"/>
              </w:rPr>
              <w:t>200 success; 422 invalid; 503 model; 500 unexpected</w:t>
            </w:r>
          </w:p>
        </w:tc>
      </w:tr>
      <w:tr>
        <w:trPr>
          <w:cantSplit/>
        </w:trPr>
        <w:tc>
          <w:tcPr>
            <w:tcW w:type="dxa" w:w="2000"/>
            <w:tcMar>
              <w:top w:w="80" w:type="dxa"/>
              <w:bottom w:w="80" w:type="dxa"/>
              <w:start w:w="120" w:type="dxa"/>
              <w:end w:w="120" w:type="dxa"/>
            </w:tcMar>
            <w:vAlign w:val="center"/>
          </w:tcPr>
          <w:p>
            <w:pPr>
              <w:spacing w:before="0" w:after="0" w:line="240" w:lineRule="auto"/>
            </w:pPr>
            <w:r>
              <w:rPr>
                <w:rFonts w:ascii="Calibri" w:hAnsi="Calibri"/>
                <w:color w:val="000000"/>
                <w:sz w:val="18"/>
              </w:rPr>
              <w:t>GET /metrics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Persisted model/data release snapshot</w:t>
            </w:r>
          </w:p>
        </w:tc>
        <w:tc>
          <w:tcPr>
            <w:tcW w:type="dxa" w:w="3200"/>
            <w:tcMar>
              <w:top w:w="80" w:type="dxa"/>
              <w:bottom w:w="80" w:type="dxa"/>
              <w:start w:w="120" w:type="dxa"/>
              <w:end w:w="120" w:type="dxa"/>
            </w:tcMar>
            <w:vAlign w:val="center"/>
          </w:tcPr>
          <w:p>
            <w:pPr>
              <w:spacing w:before="0" w:after="0" w:line="240" w:lineRule="auto"/>
            </w:pPr>
            <w:r>
              <w:rPr>
                <w:rFonts w:ascii="Calibri" w:hAnsi="Calibri"/>
                <w:color w:val="000000"/>
                <w:sz w:val="18"/>
              </w:rPr>
              <w:t>200 available; 404 snapshot missing</w:t>
            </w:r>
          </w:p>
        </w:tc>
      </w:tr>
      <w:tr>
        <w:trPr>
          <w:cantSplit/>
        </w:trPr>
        <w:tc>
          <w:tcPr>
            <w:tcW w:type="dxa" w:w="2000"/>
            <w:tcMar>
              <w:top w:w="80" w:type="dxa"/>
              <w:bottom w:w="80" w:type="dxa"/>
              <w:start w:w="120" w:type="dxa"/>
              <w:end w:w="120" w:type="dxa"/>
            </w:tcMar>
            <w:vAlign w:val="center"/>
          </w:tcPr>
          <w:p>
            <w:pPr>
              <w:spacing w:before="0" w:after="0" w:line="240" w:lineRule="auto"/>
            </w:pPr>
            <w:r>
              <w:rPr>
                <w:rFonts w:ascii="Calibri" w:hAnsi="Calibri"/>
                <w:color w:val="000000"/>
                <w:sz w:val="18"/>
              </w:rPr>
              <w:t>GET /docs</w:t>
            </w:r>
          </w:p>
        </w:tc>
        <w:tc>
          <w:tcPr>
            <w:tcW w:type="dxa" w:w="4160"/>
            <w:tcMar>
              <w:top w:w="80" w:type="dxa"/>
              <w:bottom w:w="80" w:type="dxa"/>
              <w:start w:w="120" w:type="dxa"/>
              <w:end w:w="120" w:type="dxa"/>
            </w:tcMar>
            <w:vAlign w:val="center"/>
          </w:tcPr>
          <w:p>
            <w:pPr>
              <w:spacing w:before="0" w:after="0" w:line="240" w:lineRule="auto"/>
            </w:pPr>
            <w:r>
              <w:rPr>
                <w:rFonts w:ascii="Calibri" w:hAnsi="Calibri"/>
                <w:color w:val="000000"/>
                <w:sz w:val="18"/>
              </w:rPr>
              <w:t>Generated OpenAPI/Swagger documentation</w:t>
            </w:r>
          </w:p>
        </w:tc>
        <w:tc>
          <w:tcPr>
            <w:tcW w:type="dxa" w:w="3200"/>
            <w:tcMar>
              <w:top w:w="80" w:type="dxa"/>
              <w:bottom w:w="80" w:type="dxa"/>
              <w:start w:w="120" w:type="dxa"/>
              <w:end w:w="120" w:type="dxa"/>
            </w:tcMar>
            <w:vAlign w:val="center"/>
          </w:tcPr>
          <w:p>
            <w:pPr>
              <w:spacing w:before="0" w:after="0" w:line="240" w:lineRule="auto"/>
            </w:pPr>
            <w:r>
              <w:rPr>
                <w:rFonts w:ascii="Calibri" w:hAnsi="Calibri"/>
                <w:color w:val="000000"/>
                <w:sz w:val="18"/>
              </w:rPr>
              <w:t>Interactive contract documentation</w:t>
            </w:r>
          </w:p>
        </w:tc>
      </w:tr>
    </w:tbl>
    <w:p>
      <w:pPr>
        <w:spacing w:before="0" w:after="40" w:line="264" w:lineRule="auto"/>
      </w:pPr>
    </w:p>
    <w:p>
      <w:pPr>
        <w:spacing w:before="0" w:after="120" w:line="264" w:lineRule="auto"/>
      </w:pPr>
      <w:r>
        <w:rPr>
          <w:rFonts w:ascii="Calibri" w:hAnsi="Calibri"/>
        </w:rPr>
        <w:t>Validation occurs at both schema and domain layers. A punctuation-only resume is rejected after normalization, blank candidate names are rejected, model loading occurs at startup, and readiness fails when the artifact is missing.</w:t>
      </w:r>
    </w:p>
    <w:p>
      <w:pPr>
        <w:shd w:fill="172033"/>
        <w:spacing w:before="60" w:after="160" w:line="240" w:lineRule="auto"/>
        <w:ind w:left="173" w:right="173"/>
      </w:pPr>
      <w:r>
        <w:rPr>
          <w:rFonts w:ascii="Courier New" w:hAnsi="Courier New"/>
          <w:color w:val="FFFFFF"/>
          <w:sz w:val="17"/>
        </w:rPr>
        <w:t>POST /v1/predictions -&gt; 200</w:t>
        <w:br/>
        <w:t>{candidate_name, predicted_role, confidence,</w:t>
        <w:br/>
        <w:t xml:space="preserve"> role_ranking[6], explanation, decision_note}</w:t>
        <w:br/>
        <w:br/>
        <w:t>GET /health with missing artifact -&gt; 503</w:t>
      </w:r>
    </w:p>
    <w:p>
      <w:pPr>
        <w:spacing w:after="160"/>
      </w:pPr>
      <w:r>
        <w:rPr>
          <w:rFonts w:ascii="Calibri" w:hAnsi="Calibri" w:eastAsia="Calibri"/>
          <w:b w:val="0"/>
          <w:i w:val="0"/>
          <w:sz w:val="22"/>
        </w:rPr>
        <w:t>Runtime evidence for these endpoints is shown in Application screenshots (Figures 4–8): OpenAPI /docs, health check, prediction request/response, and metrics snapshot.</w:t>
      </w:r>
    </w:p>
    <w:p>
      <w:pPr>
        <w:pStyle w:val="Heading1"/>
        <w:keepNext/>
      </w:pPr>
      <w:r>
        <w:t>7. Testing strategy and implementation</w:t>
      </w:r>
    </w:p>
    <w:tbl>
      <w:tblPr>
        <w:tblStyle w:val="TableGrid"/>
        <w:tblW w:type="dxa" w:w="9360"/>
        <w:jc w:val="left"/>
        <w:tblLayout w:type="fixed"/>
        <w:tblLook w:firstColumn="1" w:firstRow="1" w:lastColumn="0" w:lastRow="0" w:noHBand="0" w:noVBand="1" w:val="04A0"/>
        <w:tblInd w:w="120" w:type="dxa"/>
      </w:tblPr>
      <w:tblGrid>
        <w:gridCol w:w="1800"/>
        <w:gridCol w:w="4260"/>
        <w:gridCol w:w="3300"/>
      </w:tblGrid>
      <w:tr>
        <w:trPr>
          <w:tblHeader w:val="true"/>
          <w:cantSplit/>
        </w:trPr>
        <w:tc>
          <w:tcPr>
            <w:tcW w:type="dxa" w:w="18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Type</w:t>
            </w:r>
          </w:p>
        </w:tc>
        <w:tc>
          <w:tcPr>
            <w:tcW w:type="dxa" w:w="42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Representative checks</w:t>
            </w:r>
          </w:p>
        </w:tc>
        <w:tc>
          <w:tcPr>
            <w:tcW w:type="dxa" w:w="33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Evidence</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Unit</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Normalization, invalid content, TXT ingestion, audit privacy</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test_preprocessing.py, test_continuity.py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Data validation</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Schema, missing values, duplicates, class coverage</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test_data_quality.py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Model training</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Loss decreases, gates, determinism, persistence round-trip</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test_training.py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Model inference</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Ranking/probability contract, direction, invariance, empty input</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test_inference.py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API integration</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Lifecycle, aliases, metrics, audit privacy, validation/errors</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test_api.py</w:t>
            </w:r>
          </w:p>
        </w:tc>
      </w:tr>
      <w:tr>
        <w:trPr>
          <w:cantSplit/>
        </w:trPr>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Quality monitoring</w:t>
            </w:r>
          </w:p>
        </w:tc>
        <w:tc>
          <w:tcPr>
            <w:tcW w:type="dxa" w:w="4260"/>
            <w:tcMar>
              <w:top w:w="80" w:type="dxa"/>
              <w:bottom w:w="80" w:type="dxa"/>
              <w:start w:w="120" w:type="dxa"/>
              <w:end w:w="120" w:type="dxa"/>
            </w:tcMar>
            <w:vAlign w:val="center"/>
          </w:tcPr>
          <w:p>
            <w:pPr>
              <w:spacing w:before="0" w:after="0" w:line="240" w:lineRule="auto"/>
            </w:pPr>
            <w:r>
              <w:rPr>
                <w:rFonts w:ascii="Calibri" w:hAnsi="Calibri"/>
                <w:color w:val="000000"/>
                <w:sz w:val="18"/>
              </w:rPr>
              <w:t>Data summary and text-length drift detection</w:t>
            </w:r>
          </w:p>
        </w:tc>
        <w:tc>
          <w:tcPr>
            <w:tcW w:type="dxa" w:w="3300"/>
            <w:tcMar>
              <w:top w:w="80" w:type="dxa"/>
              <w:bottom w:w="80" w:type="dxa"/>
              <w:start w:w="120" w:type="dxa"/>
              <w:end w:w="120" w:type="dxa"/>
            </w:tcMar>
            <w:vAlign w:val="center"/>
          </w:tcPr>
          <w:p>
            <w:pPr>
              <w:spacing w:before="0" w:after="0" w:line="240" w:lineRule="auto"/>
            </w:pPr>
            <w:r>
              <w:rPr>
                <w:rFonts w:ascii="Calibri" w:hAnsi="Calibri"/>
                <w:color w:val="000000"/>
                <w:sz w:val="18"/>
              </w:rPr>
              <w:t>test_quality_metrics.py</w:t>
            </w:r>
          </w:p>
        </w:tc>
      </w:tr>
    </w:tbl>
    <w:p>
      <w:pPr>
        <w:spacing w:before="0" w:after="40" w:line="264" w:lineRule="auto"/>
      </w:pPr>
    </w:p>
    <w:p>
      <w:pPr>
        <w:shd w:fill="172033"/>
        <w:spacing w:before="60" w:after="160" w:line="240" w:lineRule="auto"/>
        <w:ind w:left="173" w:right="173"/>
      </w:pPr>
      <w:r>
        <w:rPr>
          <w:rFonts w:ascii="Courier New" w:hAnsi="Courier New"/>
          <w:color w:val="FFFFFF"/>
          <w:sz w:val="17"/>
        </w:rPr>
        <w:t>$ pytest -q</w:t>
        <w:br/>
        <w:t>...................................              [100%]</w:t>
        <w:br/>
        <w:t>35 passed in 0.51s</w:t>
      </w:r>
    </w:p>
    <w:p>
      <w:pPr>
        <w:keepNext/>
        <w:spacing w:before="80" w:after="160" w:line="240" w:lineRule="auto"/>
        <w:jc w:val="center"/>
      </w:pPr>
      <w:r>
        <w:rPr>
          <w:rFonts w:ascii="Calibri" w:hAnsi="Calibri"/>
          <w:i/>
          <w:color w:val="5B6573"/>
          <w:sz w:val="18"/>
        </w:rPr>
        <w:t>Evidence 2. Automated unit, ML-specific, data, continuity, and API tests.</w:t>
      </w:r>
    </w:p>
    <w:p>
      <w:pPr>
        <w:spacing w:after="160"/>
      </w:pPr>
      <w:r>
        <w:rPr>
          <w:rFonts w:ascii="Calibri" w:hAnsi="Calibri" w:eastAsia="Calibri"/>
          <w:b w:val="0"/>
          <w:i w:val="0"/>
          <w:sz w:val="22"/>
        </w:rPr>
        <w:t>Evidence location (source package). Automated test output, lint before/after results, and the model/data metrics snapshot are included in the attached source zip (or Git repository) under the report/ folder, alongside this document. Key files: report/pytest_report.txt, report/lint_before.txt, report/lint_after.txt, and report/metrics_snapshot.json. Application screenshots are embedded in this report and also stored under Screenshots/ in the source package.</w:t>
      </w:r>
    </w:p>
    <w:p>
      <w:pPr>
        <w:pStyle w:val="Heading1"/>
        <w:keepNext/>
      </w:pPr>
      <w:r>
        <w:t>8. Model and data quality metrics</w:t>
      </w:r>
    </w:p>
    <w:tbl>
      <w:tblPr>
        <w:tblStyle w:val="TableGrid"/>
        <w:tblW w:type="dxa" w:w="9360"/>
        <w:jc w:val="left"/>
        <w:tblLayout w:type="fixed"/>
        <w:tblLook w:firstColumn="1" w:firstRow="1" w:lastColumn="0" w:lastRow="0" w:noHBand="0" w:noVBand="1" w:val="04A0"/>
        <w:tblInd w:w="120" w:type="dxa"/>
      </w:tblPr>
      <w:tblGrid>
        <w:gridCol w:w="1500"/>
        <w:gridCol w:w="2600"/>
        <w:gridCol w:w="1800"/>
        <w:gridCol w:w="3460"/>
      </w:tblGrid>
      <w:tr>
        <w:trPr>
          <w:tblHeader w:val="true"/>
          <w:cantSplit/>
        </w:trPr>
        <w:tc>
          <w:tcPr>
            <w:tcW w:type="dxa" w:w="15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Category</w:t>
            </w:r>
          </w:p>
        </w:tc>
        <w:tc>
          <w:tcPr>
            <w:tcW w:type="dxa" w:w="26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Metric</w:t>
            </w:r>
          </w:p>
        </w:tc>
        <w:tc>
          <w:tcPr>
            <w:tcW w:type="dxa" w:w="18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Measured</w:t>
            </w:r>
          </w:p>
        </w:tc>
        <w:tc>
          <w:tcPr>
            <w:tcW w:type="dxa" w:w="34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Gate / interpretation</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Model</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Accuracy</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1.000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&gt;= 0.800</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Model</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Weighted F1</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1.000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&gt;= 0.800</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Model</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Top-3 accuracy</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1.000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Monitoring metric</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Model</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Multiclass Brier</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0.725</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Lower is better; monitored</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Schema validity</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True</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columns present</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Missing-value rate</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0.000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 0</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Missing required values</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Required = 0</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Duplicate rows</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Monitored for evaluation bias</w:t>
            </w:r>
          </w:p>
        </w:tc>
      </w:tr>
      <w:tr>
        <w:trPr>
          <w:cantSplit/>
        </w:trPr>
        <w:tc>
          <w:tcPr>
            <w:tcW w:type="dxa" w:w="1500"/>
            <w:tcMar>
              <w:top w:w="80" w:type="dxa"/>
              <w:bottom w:w="80" w:type="dxa"/>
              <w:start w:w="120" w:type="dxa"/>
              <w:end w:w="120" w:type="dxa"/>
            </w:tcMar>
            <w:vAlign w:val="center"/>
          </w:tcPr>
          <w:p>
            <w:pPr>
              <w:spacing w:before="0" w:after="0" w:line="240" w:lineRule="auto"/>
            </w:pPr>
            <w:r>
              <w:rPr>
                <w:rFonts w:ascii="Calibri" w:hAnsi="Calibri"/>
                <w:color w:val="000000"/>
                <w:sz w:val="18"/>
              </w:rPr>
              <w:t>Data</w:t>
            </w:r>
          </w:p>
        </w:tc>
        <w:tc>
          <w:tcPr>
            <w:tcW w:type="dxa" w:w="2600"/>
            <w:tcMar>
              <w:top w:w="80" w:type="dxa"/>
              <w:bottom w:w="80" w:type="dxa"/>
              <w:start w:w="120" w:type="dxa"/>
              <w:end w:w="120" w:type="dxa"/>
            </w:tcMar>
            <w:vAlign w:val="center"/>
          </w:tcPr>
          <w:p>
            <w:pPr>
              <w:spacing w:before="0" w:after="0" w:line="240" w:lineRule="auto"/>
            </w:pPr>
            <w:r>
              <w:rPr>
                <w:rFonts w:ascii="Calibri" w:hAnsi="Calibri"/>
                <w:color w:val="000000"/>
                <w:sz w:val="18"/>
              </w:rPr>
              <w:t>Minority-class fraction</w:t>
            </w:r>
          </w:p>
        </w:tc>
        <w:tc>
          <w:tcPr>
            <w:tcW w:type="dxa" w:w="1800"/>
            <w:tcMar>
              <w:top w:w="80" w:type="dxa"/>
              <w:bottom w:w="80" w:type="dxa"/>
              <w:start w:w="120" w:type="dxa"/>
              <w:end w:w="120" w:type="dxa"/>
            </w:tcMar>
            <w:vAlign w:val="center"/>
          </w:tcPr>
          <w:p>
            <w:pPr>
              <w:spacing w:before="0" w:after="0" w:line="240" w:lineRule="auto"/>
            </w:pPr>
            <w:r>
              <w:rPr>
                <w:rFonts w:ascii="Calibri" w:hAnsi="Calibri"/>
                <w:color w:val="000000"/>
                <w:sz w:val="18"/>
              </w:rPr>
              <w:t>0.167</w:t>
            </w:r>
          </w:p>
        </w:tc>
        <w:tc>
          <w:tcPr>
            <w:tcW w:type="dxa" w:w="3460"/>
            <w:tcMar>
              <w:top w:w="80" w:type="dxa"/>
              <w:bottom w:w="80" w:type="dxa"/>
              <w:start w:w="120" w:type="dxa"/>
              <w:end w:w="120" w:type="dxa"/>
            </w:tcMar>
            <w:vAlign w:val="center"/>
          </w:tcPr>
          <w:p>
            <w:pPr>
              <w:spacing w:before="0" w:after="0" w:line="240" w:lineRule="auto"/>
            </w:pPr>
            <w:r>
              <w:rPr>
                <w:rFonts w:ascii="Calibri" w:hAnsi="Calibri"/>
                <w:color w:val="000000"/>
                <w:sz w:val="18"/>
              </w:rPr>
              <w:t>Balanced 6-class set</w:t>
            </w:r>
          </w:p>
        </w:tc>
      </w:tr>
    </w:tbl>
    <w:p>
      <w:pPr>
        <w:spacing w:before="0" w:after="40" w:line="264" w:lineRule="auto"/>
      </w:pPr>
    </w:p>
    <w:p>
      <w:pPr>
        <w:spacing w:before="0" w:after="120" w:line="264" w:lineRule="auto"/>
      </w:pPr>
      <w:r>
        <w:rPr>
          <w:rFonts w:ascii="Calibri" w:hAnsi="Calibri"/>
        </w:rPr>
        <w:t>The evaluation uses 12 stratified validation rows from a deliberately small 24-row synthetic dataset. The results prove that measurement and release gates are implemented; they are not production-performance claims. A reusable text-length drift check flags batches beyond three reference standard deviations.</w:t>
      </w:r>
    </w:p>
    <w:p>
      <w:pPr>
        <w:pStyle w:val="Heading1"/>
        <w:keepNext/>
      </w:pPr>
      <w:r>
        <w:t>9. Testing in production and security</w:t>
      </w:r>
    </w:p>
    <w:p>
      <w:pPr>
        <w:pStyle w:val="Heading2"/>
        <w:keepNext/>
      </w:pPr>
      <w:r>
        <w:t>9.1 Shadow and canary strategy</w:t>
      </w:r>
    </w:p>
    <w:p>
      <w:pPr>
        <w:spacing w:before="0" w:after="120" w:line="264" w:lineRule="auto"/>
      </w:pPr>
      <w:r>
        <w:rPr>
          <w:rFonts w:ascii="Calibri" w:hAnsi="Calibri"/>
        </w:rPr>
        <w:t>A candidate model would receive copies of production requests while the current model remains recruiter-visible. The team would compare latency, error rate, class distribution, confidence, disagreement, and manually reviewed correctness. Promotion would require predefined gates, followed by a small canary with automatic rollback thresholds.</w:t>
      </w:r>
    </w:p>
    <w:p>
      <w:pPr>
        <w:pStyle w:val="Heading2"/>
        <w:keepNext/>
      </w:pPr>
      <w:r>
        <w:t>9.2 Security and privacy</w:t>
      </w:r>
    </w:p>
    <w:p>
      <w:pPr>
        <w:spacing w:before="0" w:after="120" w:line="264" w:lineRule="auto"/>
      </w:pPr>
      <w:r>
        <w:rPr>
          <w:rFonts w:ascii="Calibri" w:hAnsi="Calibri"/>
        </w:rPr>
        <w:t>Resume content is sensitive personal data. The implementation enforces type, length, semantic-content, file-type, and upload-size validation; does not log or persist raw resume text; and separates audit metadata. Operational monitoring should also detect keyword stuffing, input length drift, confidence shifts, and unexpected role distributions. Production deployment additionally requires TLS, authentication, rate limiting, malware scanning, isolated parsing, encryption, retention limits, and least-privilege access to data and model artifacts.</w:t>
      </w:r>
    </w:p>
    <w:p>
      <w:pPr>
        <w:pStyle w:val="Heading1"/>
        <w:keepNext/>
      </w:pPr>
      <w:r>
        <w:t>10. Reproducible execution</w:t>
      </w:r>
    </w:p>
    <w:p>
      <w:pPr>
        <w:shd w:fill="172033"/>
        <w:spacing w:before="60" w:after="160" w:line="240" w:lineRule="auto"/>
        <w:ind w:left="173" w:right="173"/>
      </w:pPr>
      <w:r>
        <w:rPr>
          <w:rFonts w:ascii="Courier New" w:hAnsi="Courier New"/>
          <w:color w:val="FFFFFF"/>
          <w:sz w:val="17"/>
        </w:rPr>
        <w:t>python -m venv .venv</w:t>
        <w:br/>
        <w:t>source .venv/bin/activate</w:t>
        <w:br/>
        <w:t>pip install -r requirements.txt</w:t>
        <w:br/>
        <w:t>python train.py</w:t>
        <w:br/>
        <w:t>pytest -q</w:t>
        <w:br/>
        <w:t>black --check .</w:t>
        <w:br/>
        <w:t>isort --check-only .</w:t>
        <w:br/>
        <w:t>flake8 .</w:t>
        <w:br/>
        <w:t>python run_api.py</w:t>
        <w:br/>
        <w:t># API docs: http://127.0.0.1:8000/docs</w:t>
        <w:br/>
        <w:t># Preserved UI: streamlit run streamlit_app.py</w:t>
      </w:r>
    </w:p>
    <w:p>
      <w:pPr>
        <w:pStyle w:val="Heading1"/>
      </w:pPr>
      <w:r>
        <w:rPr>
          <w:rFonts w:ascii="Calibri" w:hAnsi="Calibri" w:eastAsia="Calibri"/>
          <w:b/>
          <w:i w:val="0"/>
          <w:sz w:val="32"/>
        </w:rPr>
        <w:t>Application screenshots</w:t>
      </w:r>
    </w:p>
    <w:p>
      <w:pPr>
        <w:spacing w:after="160"/>
      </w:pPr>
      <w:r>
        <w:rPr>
          <w:rFonts w:ascii="Calibri" w:hAnsi="Calibri" w:eastAsia="Calibri"/>
          <w:b w:val="0"/>
          <w:i w:val="0"/>
          <w:sz w:val="22"/>
        </w:rPr>
        <w:t>The following screenshots demonstrate the running Assignment II system: the preserved recruiter UI (Streamlit) and the production-style FastAPI inference interface required by the assignment submission guidelines.</w:t>
      </w:r>
    </w:p>
    <w:p>
      <w:pPr>
        <w:pStyle w:val="Heading2"/>
      </w:pPr>
      <w:r>
        <w:rPr>
          <w:rFonts w:ascii="Calibri" w:hAnsi="Calibri" w:eastAsia="Calibri"/>
          <w:b/>
          <w:i w:val="0"/>
          <w:sz w:val="26"/>
        </w:rPr>
        <w:t>A. Recruiter application (Streamlit)</w:t>
      </w:r>
    </w:p>
    <w:p>
      <w:pPr>
        <w:spacing w:after="160"/>
      </w:pPr>
      <w:r>
        <w:rPr>
          <w:rFonts w:ascii="Calibri" w:hAnsi="Calibri" w:eastAsia="Calibri"/>
          <w:b w:val="0"/>
          <w:i w:val="0"/>
          <w:sz w:val="22"/>
        </w:rPr>
        <w:t>The Streamlit app preserves the Assignment I workflow (candidate name, TXT/PDF/DOCX upload or paste, analysis, explanation, and audit history) while routing scoring through the shared modular ResumeScreeningApplication service.</w:t>
      </w:r>
    </w:p>
    <w:p>
      <w:pPr>
        <w:spacing w:before="120" w:after="40"/>
        <w:jc w:val="center"/>
      </w:pPr>
      <w:r>
        <w:drawing>
          <wp:inline xmlns:a="http://schemas.openxmlformats.org/drawingml/2006/main" xmlns:pic="http://schemas.openxmlformats.org/drawingml/2006/picture">
            <wp:extent cx="5760720" cy="3102619"/>
            <wp:docPr id="2" name="Picture 2"/>
            <wp:cNvGraphicFramePr>
              <a:graphicFrameLocks noChangeAspect="1"/>
            </wp:cNvGraphicFramePr>
            <a:graphic>
              <a:graphicData uri="http://schemas.openxmlformats.org/drawingml/2006/picture">
                <pic:pic>
                  <pic:nvPicPr>
                    <pic:cNvPr id="0" name="MainApp.png"/>
                    <pic:cNvPicPr/>
                  </pic:nvPicPr>
                  <pic:blipFill>
                    <a:blip r:embed="rId12"/>
                    <a:stretch>
                      <a:fillRect/>
                    </a:stretch>
                  </pic:blipFill>
                  <pic:spPr>
                    <a:xfrm>
                      <a:off x="0" y="0"/>
                      <a:ext cx="5760720" cy="3102619"/>
                    </a:xfrm>
                    <a:prstGeom prst="rect"/>
                  </pic:spPr>
                </pic:pic>
              </a:graphicData>
            </a:graphic>
          </wp:inline>
        </w:drawing>
      </w:r>
    </w:p>
    <w:p>
      <w:pPr>
        <w:spacing w:before="80" w:after="240"/>
        <w:jc w:val="center"/>
      </w:pPr>
      <w:r>
        <w:rPr>
          <w:rFonts w:ascii="Calibri" w:hAnsi="Calibri" w:eastAsia="Calibri"/>
          <w:b w:val="0"/>
          <w:i/>
          <w:color w:val="333333"/>
          <w:sz w:val="20"/>
        </w:rPr>
        <w:t>Figure 2. Main recruiter UI — upload/paste controls, verified model quality sidebar, and privacy-aware audit history (no raw resume text stored).</w:t>
      </w:r>
    </w:p>
    <w:p>
      <w:pPr>
        <w:spacing w:before="120" w:after="40"/>
        <w:jc w:val="center"/>
      </w:pPr>
      <w:r>
        <w:drawing>
          <wp:inline xmlns:a="http://schemas.openxmlformats.org/drawingml/2006/main" xmlns:pic="http://schemas.openxmlformats.org/drawingml/2006/picture">
            <wp:extent cx="5760720" cy="3093608"/>
            <wp:docPr id="3" name="Picture 3"/>
            <wp:cNvGraphicFramePr>
              <a:graphicFrameLocks noChangeAspect="1"/>
            </wp:cNvGraphicFramePr>
            <a:graphic>
              <a:graphicData uri="http://schemas.openxmlformats.org/drawingml/2006/picture">
                <pic:pic>
                  <pic:nvPicPr>
                    <pic:cNvPr id="0" name="AppSampleResume.png"/>
                    <pic:cNvPicPr/>
                  </pic:nvPicPr>
                  <pic:blipFill>
                    <a:blip r:embed="rId13"/>
                    <a:stretch>
                      <a:fillRect/>
                    </a:stretch>
                  </pic:blipFill>
                  <pic:spPr>
                    <a:xfrm>
                      <a:off x="0" y="0"/>
                      <a:ext cx="5760720" cy="3093608"/>
                    </a:xfrm>
                    <a:prstGeom prst="rect"/>
                  </pic:spPr>
                </pic:pic>
              </a:graphicData>
            </a:graphic>
          </wp:inline>
        </w:drawing>
      </w:r>
    </w:p>
    <w:p>
      <w:pPr>
        <w:spacing w:before="80" w:after="240"/>
        <w:jc w:val="center"/>
      </w:pPr>
      <w:r>
        <w:rPr>
          <w:rFonts w:ascii="Calibri" w:hAnsi="Calibri" w:eastAsia="Calibri"/>
          <w:b w:val="0"/>
          <w:i/>
          <w:color w:val="333333"/>
          <w:sz w:val="20"/>
        </w:rPr>
        <w:t>Figure 3. Sample resume analysis — predicted role, confidence, keyword explanation, advisory decision note, and role ranking table.</w:t>
      </w:r>
    </w:p>
    <w:p>
      <w:pPr>
        <w:pStyle w:val="Heading2"/>
      </w:pPr>
      <w:r>
        <w:rPr>
          <w:rFonts w:ascii="Calibri" w:hAnsi="Calibri" w:eastAsia="Calibri"/>
          <w:b/>
          <w:i w:val="0"/>
          <w:sz w:val="26"/>
        </w:rPr>
        <w:t>B. REST API (FastAPI / OpenAPI)</w:t>
      </w:r>
    </w:p>
    <w:p>
      <w:pPr>
        <w:spacing w:after="160"/>
      </w:pPr>
      <w:r>
        <w:rPr>
          <w:rFonts w:ascii="Calibri" w:hAnsi="Calibri" w:eastAsia="Calibri"/>
          <w:b w:val="0"/>
          <w:i w:val="0"/>
          <w:sz w:val="22"/>
        </w:rPr>
        <w:t>The FastAPI service exposes typed health, prediction, and metrics endpoints with OpenAPI documentation at /docs. Request and response schemas are defined in app/schemas.py; inference uses the same application service as Streamlit.</w:t>
      </w:r>
    </w:p>
    <w:p>
      <w:pPr>
        <w:spacing w:before="120" w:after="40"/>
        <w:jc w:val="center"/>
      </w:pPr>
      <w:r>
        <w:drawing>
          <wp:inline xmlns:a="http://schemas.openxmlformats.org/drawingml/2006/main" xmlns:pic="http://schemas.openxmlformats.org/drawingml/2006/picture">
            <wp:extent cx="5760720" cy="3084598"/>
            <wp:docPr id="4" name="Picture 4"/>
            <wp:cNvGraphicFramePr>
              <a:graphicFrameLocks noChangeAspect="1"/>
            </wp:cNvGraphicFramePr>
            <a:graphic>
              <a:graphicData uri="http://schemas.openxmlformats.org/drawingml/2006/picture">
                <pic:pic>
                  <pic:nvPicPr>
                    <pic:cNvPr id="0" name="APISpec.png"/>
                    <pic:cNvPicPr/>
                  </pic:nvPicPr>
                  <pic:blipFill>
                    <a:blip r:embed="rId14"/>
                    <a:stretch>
                      <a:fillRect/>
                    </a:stretch>
                  </pic:blipFill>
                  <pic:spPr>
                    <a:xfrm>
                      <a:off x="0" y="0"/>
                      <a:ext cx="5760720" cy="3084598"/>
                    </a:xfrm>
                    <a:prstGeom prst="rect"/>
                  </pic:spPr>
                </pic:pic>
              </a:graphicData>
            </a:graphic>
          </wp:inline>
        </w:drawing>
      </w:r>
    </w:p>
    <w:p>
      <w:pPr>
        <w:spacing w:before="80" w:after="240"/>
        <w:jc w:val="center"/>
      </w:pPr>
      <w:r>
        <w:rPr>
          <w:rFonts w:ascii="Calibri" w:hAnsi="Calibri" w:eastAsia="Calibri"/>
          <w:b w:val="0"/>
          <w:i/>
          <w:color w:val="333333"/>
          <w:sz w:val="20"/>
        </w:rPr>
        <w:t>Figure 4. OpenAPI specification — GET /health, POST /v1/predictions, POST /predict, GET /metrics, and generated schema models.</w:t>
      </w:r>
    </w:p>
    <w:p>
      <w:pPr>
        <w:spacing w:before="120" w:after="40"/>
        <w:jc w:val="center"/>
      </w:pPr>
      <w:r>
        <w:drawing>
          <wp:inline xmlns:a="http://schemas.openxmlformats.org/drawingml/2006/main" xmlns:pic="http://schemas.openxmlformats.org/drawingml/2006/picture">
            <wp:extent cx="5486400" cy="1133699"/>
            <wp:docPr id="5" name="Picture 5"/>
            <wp:cNvGraphicFramePr>
              <a:graphicFrameLocks noChangeAspect="1"/>
            </wp:cNvGraphicFramePr>
            <a:graphic>
              <a:graphicData uri="http://schemas.openxmlformats.org/drawingml/2006/picture">
                <pic:pic>
                  <pic:nvPicPr>
                    <pic:cNvPr id="0" name="FastHeatlthCheck.png"/>
                    <pic:cNvPicPr/>
                  </pic:nvPicPr>
                  <pic:blipFill>
                    <a:blip r:embed="rId15"/>
                    <a:stretch>
                      <a:fillRect/>
                    </a:stretch>
                  </pic:blipFill>
                  <pic:spPr>
                    <a:xfrm>
                      <a:off x="0" y="0"/>
                      <a:ext cx="5486400" cy="1133699"/>
                    </a:xfrm>
                    <a:prstGeom prst="rect"/>
                  </pic:spPr>
                </pic:pic>
              </a:graphicData>
            </a:graphic>
          </wp:inline>
        </w:drawing>
      </w:r>
    </w:p>
    <w:p>
      <w:pPr>
        <w:spacing w:before="80" w:after="240"/>
        <w:jc w:val="center"/>
      </w:pPr>
      <w:r>
        <w:rPr>
          <w:rFonts w:ascii="Calibri" w:hAnsi="Calibri" w:eastAsia="Calibri"/>
          <w:b w:val="0"/>
          <w:i/>
          <w:color w:val="333333"/>
          <w:sz w:val="20"/>
        </w:rPr>
        <w:t>Figure 5. GET /health — service ready with model_loaded=true and API version 2.1.0.</w:t>
      </w:r>
    </w:p>
    <w:p>
      <w:pPr>
        <w:spacing w:before="120" w:after="40"/>
        <w:jc w:val="center"/>
      </w:pPr>
      <w:r>
        <w:drawing>
          <wp:inline xmlns:a="http://schemas.openxmlformats.org/drawingml/2006/main" xmlns:pic="http://schemas.openxmlformats.org/drawingml/2006/picture">
            <wp:extent cx="5760720" cy="3093608"/>
            <wp:docPr id="6" name="Picture 6"/>
            <wp:cNvGraphicFramePr>
              <a:graphicFrameLocks noChangeAspect="1"/>
            </wp:cNvGraphicFramePr>
            <a:graphic>
              <a:graphicData uri="http://schemas.openxmlformats.org/drawingml/2006/picture">
                <pic:pic>
                  <pic:nvPicPr>
                    <pic:cNvPr id="0" name="APIExecution_Predict_1.png"/>
                    <pic:cNvPicPr/>
                  </pic:nvPicPr>
                  <pic:blipFill>
                    <a:blip r:embed="rId16"/>
                    <a:stretch>
                      <a:fillRect/>
                    </a:stretch>
                  </pic:blipFill>
                  <pic:spPr>
                    <a:xfrm>
                      <a:off x="0" y="0"/>
                      <a:ext cx="5760720" cy="3093608"/>
                    </a:xfrm>
                    <a:prstGeom prst="rect"/>
                  </pic:spPr>
                </pic:pic>
              </a:graphicData>
            </a:graphic>
          </wp:inline>
        </w:drawing>
      </w:r>
    </w:p>
    <w:p>
      <w:pPr>
        <w:spacing w:before="80" w:after="240"/>
        <w:jc w:val="center"/>
      </w:pPr>
      <w:r>
        <w:rPr>
          <w:rFonts w:ascii="Calibri" w:hAnsi="Calibri" w:eastAsia="Calibri"/>
          <w:b w:val="0"/>
          <w:i/>
          <w:color w:val="333333"/>
          <w:sz w:val="20"/>
        </w:rPr>
        <w:t>Figure 6. POST /v1/predictions — interactive request form (candidate_name, resume_text).</w:t>
      </w:r>
    </w:p>
    <w:p>
      <w:pPr>
        <w:spacing w:before="120" w:after="40"/>
        <w:jc w:val="center"/>
      </w:pPr>
      <w:r>
        <w:drawing>
          <wp:inline xmlns:a="http://schemas.openxmlformats.org/drawingml/2006/main" xmlns:pic="http://schemas.openxmlformats.org/drawingml/2006/picture">
            <wp:extent cx="5760720" cy="3081594"/>
            <wp:docPr id="7" name="Picture 7"/>
            <wp:cNvGraphicFramePr>
              <a:graphicFrameLocks noChangeAspect="1"/>
            </wp:cNvGraphicFramePr>
            <a:graphic>
              <a:graphicData uri="http://schemas.openxmlformats.org/drawingml/2006/picture">
                <pic:pic>
                  <pic:nvPicPr>
                    <pic:cNvPr id="0" name="APIExecution_Predict_2.png"/>
                    <pic:cNvPicPr/>
                  </pic:nvPicPr>
                  <pic:blipFill>
                    <a:blip r:embed="rId17"/>
                    <a:stretch>
                      <a:fillRect/>
                    </a:stretch>
                  </pic:blipFill>
                  <pic:spPr>
                    <a:xfrm>
                      <a:off x="0" y="0"/>
                      <a:ext cx="5760720" cy="3081594"/>
                    </a:xfrm>
                    <a:prstGeom prst="rect"/>
                  </pic:spPr>
                </pic:pic>
              </a:graphicData>
            </a:graphic>
          </wp:inline>
        </w:drawing>
      </w:r>
    </w:p>
    <w:p>
      <w:pPr>
        <w:spacing w:before="80" w:after="240"/>
        <w:jc w:val="center"/>
      </w:pPr>
      <w:r>
        <w:rPr>
          <w:rFonts w:ascii="Calibri" w:hAnsi="Calibri" w:eastAsia="Calibri"/>
          <w:b w:val="0"/>
          <w:i/>
          <w:color w:val="333333"/>
          <w:sz w:val="20"/>
        </w:rPr>
        <w:t>Figure 7. POST /v1/predictions — successful 200 response with predicted_role, confidence, role_ranking, explanation, and decision_note.</w:t>
      </w:r>
    </w:p>
    <w:p>
      <w:pPr>
        <w:spacing w:before="120" w:after="40"/>
        <w:jc w:val="center"/>
      </w:pPr>
      <w:r>
        <w:drawing>
          <wp:inline xmlns:a="http://schemas.openxmlformats.org/drawingml/2006/main" xmlns:pic="http://schemas.openxmlformats.org/drawingml/2006/picture">
            <wp:extent cx="5760720" cy="3118745"/>
            <wp:docPr id="8" name="Picture 8"/>
            <wp:cNvGraphicFramePr>
              <a:graphicFrameLocks noChangeAspect="1"/>
            </wp:cNvGraphicFramePr>
            <a:graphic>
              <a:graphicData uri="http://schemas.openxmlformats.org/drawingml/2006/picture">
                <pic:pic>
                  <pic:nvPicPr>
                    <pic:cNvPr id="0" name="API_PredictionMetrics.png"/>
                    <pic:cNvPicPr/>
                  </pic:nvPicPr>
                  <pic:blipFill>
                    <a:blip r:embed="rId18"/>
                    <a:stretch>
                      <a:fillRect/>
                    </a:stretch>
                  </pic:blipFill>
                  <pic:spPr>
                    <a:xfrm>
                      <a:off x="0" y="0"/>
                      <a:ext cx="5760720" cy="3118745"/>
                    </a:xfrm>
                    <a:prstGeom prst="rect"/>
                  </pic:spPr>
                </pic:pic>
              </a:graphicData>
            </a:graphic>
          </wp:inline>
        </w:drawing>
      </w:r>
    </w:p>
    <w:p>
      <w:pPr>
        <w:spacing w:before="80" w:after="240"/>
        <w:jc w:val="center"/>
      </w:pPr>
      <w:r>
        <w:rPr>
          <w:rFonts w:ascii="Calibri" w:hAnsi="Calibri" w:eastAsia="Calibri"/>
          <w:b w:val="0"/>
          <w:i/>
          <w:color w:val="333333"/>
          <w:sz w:val="20"/>
        </w:rPr>
        <w:t>Figure 8. GET /metrics — persisted model and data quality snapshot used for release evidence and UI sidebar metrics.</w:t>
      </w:r>
    </w:p>
    <w:p>
      <w:pPr>
        <w:spacing w:after="160"/>
      </w:pPr>
      <w:r>
        <w:rPr>
          <w:rFonts w:ascii="Calibri" w:hAnsi="Calibri" w:eastAsia="Calibri"/>
          <w:b w:val="0"/>
          <w:i w:val="0"/>
          <w:sz w:val="22"/>
        </w:rPr>
        <w:t>These screenshots, together with report/pytest_report.txt and report/lint_*.txt, constitute runtime evidence that the modular production package executes as described in Sections 5–8.</w:t>
      </w:r>
    </w:p>
    <w:p>
      <w:pPr>
        <w:pStyle w:val="Heading1"/>
        <w:keepNext/>
      </w:pPr>
      <w:r>
        <w:t>11. Conclusion</w:t>
      </w:r>
    </w:p>
    <w:p>
      <w:pPr>
        <w:spacing w:before="0" w:after="120" w:line="264" w:lineRule="auto"/>
      </w:pPr>
      <w:r>
        <w:rPr>
          <w:rFonts w:ascii="Calibri" w:hAnsi="Calibri"/>
        </w:rPr>
        <w:t>The Assignment I prototype has been evolved into a feature-preserving, production-style ML system. The final package demonstrates explicit research-to-production separation, modular architecture, persistent artifacts, structured logging, robust validation, a typed REST API, multi-level automated testing, quality gates, privacy-aware audit history, and production experimentation planning.</w:t>
      </w:r>
    </w:p>
    <w:p>
      <w:pPr>
        <w:pStyle w:val="Heading1"/>
        <w:keepNext/>
      </w:pPr>
      <w:r>
        <w:t>Appendix A - Canonical submission artifacts</w:t>
      </w:r>
    </w:p>
    <w:p>
      <w:pPr>
        <w:spacing w:before="0" w:after="120" w:line="264" w:lineRule="auto"/>
      </w:pPr>
      <w:r>
        <w:rPr>
          <w:rFonts w:ascii="Calibri" w:hAnsi="Calibri"/>
        </w:rPr>
        <w:t>The following files form the canonical submission. Earlier draft artifacts remain only as working history and are not required for grading.</w:t>
      </w:r>
    </w:p>
    <w:p>
      <w:r>
        <w:rPr>
          <w:rFonts w:ascii="Calibri" w:hAnsi="Calibri" w:eastAsia="Calibri"/>
          <w:b w:val="0"/>
          <w:i w:val="0"/>
          <w:sz w:val="22"/>
        </w:rPr>
        <w:t>Evidence location. Full source code, automated tests (tests/), and quality evidence live in the attached source zip / Git package. The report/ folder holds this Word/PDF narrative together with pytest, lint, and metrics artifacts (pytest_report.txt, lint_before.txt, lint_after.txt, metrics_snapshot.json). UI and API screenshots used above are under Screenshots/ in the same package.</w:t>
      </w:r>
    </w:p>
    <w:tbl>
      <w:tblPr>
        <w:tblStyle w:val="TableGrid"/>
        <w:tblW w:type="dxa" w:w="9360"/>
        <w:jc w:val="left"/>
        <w:tblLayout w:type="fixed"/>
        <w:tblLook w:firstColumn="1" w:firstRow="1" w:lastColumn="0" w:lastRow="0" w:noHBand="0" w:noVBand="1" w:val="04A0"/>
        <w:tblInd w:w="120" w:type="dxa"/>
      </w:tblPr>
      <w:tblGrid>
        <w:gridCol w:w="3400"/>
        <w:gridCol w:w="5960"/>
      </w:tblGrid>
      <w:tr>
        <w:trPr>
          <w:tblHeader w:val="true"/>
          <w:cantSplit/>
        </w:trPr>
        <w:tc>
          <w:tcPr>
            <w:tcW w:type="dxa" w:w="34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Artifact</w:t>
            </w:r>
          </w:p>
        </w:tc>
        <w:tc>
          <w:tcPr>
            <w:tcW w:type="dxa" w:w="59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Purpose</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179.ipynb</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Canonical implementation notebook</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179_executed.ipynb</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Notebook with verified outputs</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179.docx and 179.pdf</w:t>
            </w:r>
          </w:p>
        </w:tc>
        <w:tc>
          <w:tcPr>
            <w:tcW w:type="dxa" w:w="5960"/>
            <w:tcMar>
              <w:top w:w="80" w:type="dxa"/>
              <w:bottom w:w="80" w:type="dxa"/>
              <w:start w:w="120" w:type="dxa"/>
              <w:end w:w="120" w:type="dxa"/>
            </w:tcMar>
            <w:vAlign w:val="center"/>
          </w:tcPr>
          <w:p>
            <w:r>
              <w:t>Submission report (this document); evidence paths described in Appendix</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app/, ml/, quality/, services/</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Production source package</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streamlit_app.py</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Preserved Assignment I recruiter workflow</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tests/</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35 automated tests</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report/</w:t>
            </w:r>
          </w:p>
        </w:tc>
        <w:tc>
          <w:tcPr>
            <w:tcW w:type="dxa" w:w="5960"/>
            <w:tcMar>
              <w:top w:w="80" w:type="dxa"/>
              <w:bottom w:w="80" w:type="dxa"/>
              <w:start w:w="120" w:type="dxa"/>
              <w:end w:w="120" w:type="dxa"/>
            </w:tcMar>
            <w:vAlign w:val="center"/>
          </w:tcPr>
          <w:p>
            <w:r>
              <w:t>Taxila report plus pytest, lint, and metrics snapshot in the source zip</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models/resume_classifier.joblib</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Trained model artifact</w:t>
            </w:r>
          </w:p>
        </w:tc>
      </w:tr>
      <w:tr>
        <w:trPr>
          <w:cantSplit/>
        </w:trPr>
        <w:tc>
          <w:tcPr>
            <w:tcW w:type="dxa" w:w="3400"/>
            <w:tcMar>
              <w:top w:w="80" w:type="dxa"/>
              <w:bottom w:w="80" w:type="dxa"/>
              <w:start w:w="120" w:type="dxa"/>
              <w:end w:w="120" w:type="dxa"/>
            </w:tcMar>
            <w:vAlign w:val="center"/>
          </w:tcPr>
          <w:p>
            <w:pPr>
              <w:spacing w:before="0" w:after="0" w:line="240" w:lineRule="auto"/>
            </w:pPr>
            <w:r>
              <w:rPr>
                <w:rFonts w:ascii="Calibri" w:hAnsi="Calibri"/>
                <w:color w:val="000000"/>
                <w:sz w:val="18"/>
              </w:rPr>
              <w:t>README.md and requirements.txt</w:t>
            </w:r>
          </w:p>
        </w:tc>
        <w:tc>
          <w:tcPr>
            <w:tcW w:type="dxa" w:w="5960"/>
            <w:tcMar>
              <w:top w:w="80" w:type="dxa"/>
              <w:bottom w:w="80" w:type="dxa"/>
              <w:start w:w="120" w:type="dxa"/>
              <w:end w:w="120" w:type="dxa"/>
            </w:tcMar>
            <w:vAlign w:val="center"/>
          </w:tcPr>
          <w:p>
            <w:pPr>
              <w:spacing w:before="0" w:after="0" w:line="240" w:lineRule="auto"/>
            </w:pPr>
            <w:r>
              <w:rPr>
                <w:rFonts w:ascii="Calibri" w:hAnsi="Calibri"/>
                <w:color w:val="000000"/>
                <w:sz w:val="18"/>
              </w:rPr>
              <w:t>Setup and dependencies</w:t>
            </w:r>
          </w:p>
        </w:tc>
      </w:tr>
      <w:tr>
        <w:tc>
          <w:tcPr>
            <w:tcW w:type="dxa" w:w="3400"/>
          </w:tcPr>
          <w:p>
            <w:r>
              <w:t>Screenshots/</w:t>
            </w:r>
          </w:p>
        </w:tc>
        <w:tc>
          <w:tcPr>
            <w:tcW w:type="dxa" w:w="5960"/>
          </w:tcPr>
          <w:p>
            <w:r>
              <w:t>UI and API runtime screenshots embedded in Application screenshots section</w:t>
            </w:r>
          </w:p>
        </w:tc>
      </w:tr>
    </w:tbl>
    <w:p>
      <w:pPr>
        <w:spacing w:before="0" w:after="40" w:line="264" w:lineRule="auto"/>
      </w:pPr>
    </w:p>
    <w:p>
      <w:pPr>
        <w:pStyle w:val="Heading2"/>
        <w:keepNext/>
      </w:pPr>
      <w:r>
        <w:t>Final submission checklist</w:t>
      </w:r>
    </w:p>
    <w:tbl>
      <w:tblPr>
        <w:tblStyle w:val="TableGrid"/>
        <w:tblW w:type="dxa" w:w="9360"/>
        <w:jc w:val="left"/>
        <w:tblLayout w:type="fixed"/>
        <w:tblLook w:firstColumn="1" w:firstRow="1" w:lastColumn="0" w:lastRow="0" w:noHBand="0" w:noVBand="1" w:val="04A0"/>
        <w:tblInd w:w="120" w:type="dxa"/>
      </w:tblPr>
      <w:tblGrid>
        <w:gridCol w:w="4100"/>
        <w:gridCol w:w="5260"/>
      </w:tblGrid>
      <w:tr>
        <w:trPr>
          <w:tblHeader w:val="true"/>
          <w:cantSplit/>
        </w:trPr>
        <w:tc>
          <w:tcPr>
            <w:tcW w:type="dxa" w:w="410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Check</w:t>
            </w:r>
          </w:p>
        </w:tc>
        <w:tc>
          <w:tcPr>
            <w:tcW w:type="dxa" w:w="5260"/>
            <w:shd w:fill="E8EEF5"/>
            <w:tcMar>
              <w:top w:w="80" w:type="dxa"/>
              <w:bottom w:w="80" w:type="dxa"/>
              <w:start w:w="120" w:type="dxa"/>
              <w:end w:w="120" w:type="dxa"/>
            </w:tcMar>
            <w:vAlign w:val="center"/>
          </w:tcPr>
          <w:p>
            <w:pPr>
              <w:spacing w:before="0" w:after="0" w:line="240" w:lineRule="auto"/>
            </w:pPr>
            <w:r>
              <w:rPr>
                <w:rFonts w:ascii="Calibri" w:hAnsi="Calibri"/>
                <w:b/>
                <w:color w:val="0B2545"/>
                <w:sz w:val="19"/>
              </w:rPr>
              <w:t>Verified result</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Canonical notebook name</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179.ipynb</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Notebook execution</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179_executed.ipynb completes successfully</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Automated tests</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35 passed</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Model/data quality gates</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All required gates pass</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Code quality</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Black, isort, and Flake8 pass</w:t>
            </w:r>
          </w:p>
        </w:tc>
      </w:tr>
      <w:tr>
        <w:trPr>
          <w:cantSplit/>
        </w:trPr>
        <w:tc>
          <w:tcPr>
            <w:tcW w:type="dxa" w:w="4100"/>
            <w:tcMar>
              <w:top w:w="80" w:type="dxa"/>
              <w:bottom w:w="80" w:type="dxa"/>
              <w:start w:w="120" w:type="dxa"/>
              <w:end w:w="120" w:type="dxa"/>
            </w:tcMar>
            <w:vAlign w:val="center"/>
          </w:tcPr>
          <w:p>
            <w:pPr>
              <w:spacing w:before="0" w:after="0" w:line="240" w:lineRule="auto"/>
            </w:pPr>
            <w:r>
              <w:rPr>
                <w:rFonts w:ascii="Calibri" w:hAnsi="Calibri"/>
                <w:color w:val="000000"/>
                <w:sz w:val="18"/>
              </w:rPr>
              <w:t>Report render</w:t>
            </w:r>
          </w:p>
        </w:tc>
        <w:tc>
          <w:tcPr>
            <w:tcW w:type="dxa" w:w="5260"/>
            <w:tcMar>
              <w:top w:w="80" w:type="dxa"/>
              <w:bottom w:w="80" w:type="dxa"/>
              <w:start w:w="120" w:type="dxa"/>
              <w:end w:w="120" w:type="dxa"/>
            </w:tcMar>
            <w:vAlign w:val="center"/>
          </w:tcPr>
          <w:p>
            <w:pPr>
              <w:spacing w:before="0" w:after="0" w:line="240" w:lineRule="auto"/>
            </w:pPr>
            <w:r>
              <w:rPr>
                <w:rFonts w:ascii="Calibri" w:hAnsi="Calibri"/>
                <w:color w:val="000000"/>
                <w:sz w:val="18"/>
              </w:rPr>
              <w:t>DOCX and PDF visually inspected page by page</w:t>
            </w:r>
          </w:p>
        </w:tc>
      </w:tr>
      <w:tr>
        <w:tc>
          <w:tcPr>
            <w:tcW w:type="dxa" w:w="4100"/>
          </w:tcPr>
          <w:p>
            <w:r>
              <w:t>QA evidence path</w:t>
            </w:r>
          </w:p>
        </w:tc>
        <w:tc>
          <w:tcPr>
            <w:tcW w:type="dxa" w:w="5260"/>
          </w:tcPr>
          <w:p>
            <w:r>
              <w:t>report/ in source zip (pytest, lint, metrics); Screenshots/ for UI/API</w:t>
            </w:r>
          </w:p>
        </w:tc>
      </w:tr>
    </w:tbl>
    <w:p>
      <w:pPr>
        <w:spacing w:before="0" w:after="40" w:line="264" w:lineRule="auto"/>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after="0" w:line="240" w:lineRule="auto"/>
      <w:jc w:val="right"/>
    </w:pPr>
    <w:r>
      <w:rPr>
        <w:rFonts w:ascii="Calibri" w:hAnsi="Calibri"/>
        <w:color w:val="5B6573"/>
        <w:sz w:val="17"/>
      </w:rPr>
      <w:t xml:space="preserve">Assignment II  |  </w:t>
    </w:r>
    <w:r>
      <w:rPr>
        <w:rFonts w:ascii="Calibri" w:hAnsi="Calibri"/>
        <w:color w:val="5B6573"/>
        <w:sz w:val="18"/>
      </w:rP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before="0" w:after="0" w:line="240" w:lineRule="auto"/>
    </w:pPr>
    <w:r>
      <w:rPr>
        <w:rFonts w:ascii="Calibri" w:hAnsi="Calibri"/>
        <w:color w:val="5B6573"/>
        <w:sz w:val="17"/>
      </w:rPr>
      <w:t>AIMLCZG546 | Software Engineering for Machine Learning | Group 179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680"/>
      <w:contextualSpacing/>
    </w:pPr>
    <w:rPr>
      <w:rFonts w:asciiTheme="majorHAnsi" w:eastAsiaTheme="majorEastAsia" w:hAnsiTheme="majorHAnsi" w:cstheme="majorBidi" w:ascii="Calibri" w:hAnsi="Calibri"/>
      <w:b/>
      <w:color w:val="0B2545"/>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120" w:line="264" w:lineRule="auto"/>
    </w:pPr>
    <w:rPr>
      <w:rFonts w:asciiTheme="majorHAnsi" w:eastAsiaTheme="majorEastAsia" w:hAnsiTheme="majorHAnsi" w:cstheme="majorBidi" w:ascii="Calibri" w:hAnsi="Calibri"/>
      <w:i/>
      <w:iCs/>
      <w:color w:val="1F4D7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Group 179 - Software Engineering for Machine Learning Assignment II</dc:title>
  <dc:subject/>
  <dc:creator>Group 179</dc:creator>
  <cp:keywords/>
  <dc:description>generated by python-docx</dc:description>
  <cp:lastModifiedBy/>
  <cp:revision>1</cp:revision>
  <dcterms:created xsi:type="dcterms:W3CDTF">2013-12-23T23:15:00Z</dcterms:created>
  <dcterms:modified xsi:type="dcterms:W3CDTF">2013-12-23T23:15:00Z</dcterms:modified>
  <cp:category/>
</cp:coreProperties>
</file>