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160" w:line="240" w:lineRule="auto"/>
        <w:jc w:val="center"/>
      </w:pPr>
      <w:r>
        <w:rPr>
          <w:rFonts w:ascii="Calibri" w:hAnsi="Calibri"/>
          <w:b/>
          <w:color w:val="0B2545"/>
          <w:sz w:val="56"/>
        </w:rPr>
        <w:t>AI Resume Screening System</w:t>
      </w:r>
    </w:p>
    <w:p>
      <w:pPr>
        <w:pStyle w:val="Subtitle"/>
        <w:spacing w:before="0" w:after="120" w:line="264" w:lineRule="auto"/>
        <w:jc w:val="center"/>
      </w:pPr>
      <w:r>
        <w:rPr>
          <w:rFonts w:ascii="Calibri" w:hAnsi="Calibri"/>
          <w:color w:val="1F4D78"/>
          <w:sz w:val="28"/>
        </w:rPr>
        <w:t>Assignment II: Production Refactoring, API Design, and Quality Assurance</w:t>
      </w:r>
    </w:p>
    <w:p>
      <w:pPr>
        <w:spacing w:before="0" w:after="400" w:line="264" w:lineRule="auto"/>
        <w:jc w:val="center"/>
      </w:pPr>
      <w:r>
        <w:rPr>
          <w:rFonts w:ascii="Calibri" w:hAnsi="Calibri"/>
          <w:b/>
          <w:color w:val="5B6573"/>
          <w:sz w:val="22"/>
        </w:rPr>
        <w:t>AIMLCZG546 - Software Engineering for Machine Learning</w:t>
        <w:br/>
        <w:t>Group No. 179</w:t>
      </w:r>
    </w:p>
    <w:p>
      <w:pPr>
        <w:pStyle w:val="Heading1"/>
        <w:keepNext/>
      </w:pPr>
      <w:r>
        <w:t>Group details</w:t>
      </w:r>
    </w:p>
    <w:tbl>
      <w:tblPr>
        <w:tblStyle w:val="TableGrid"/>
        <w:tblW w:type="dxa" w:w="9360"/>
        <w:jc w:val="left"/>
        <w:tblLayout w:type="fixed"/>
        <w:tblLook w:firstColumn="1" w:firstRow="1" w:lastColumn="0" w:lastRow="0" w:noHBand="0" w:noVBand="1" w:val="04A0"/>
        <w:tblInd w:w="120" w:type="dxa"/>
      </w:tblPr>
      <w:tblGrid>
        <w:gridCol w:w="1900"/>
        <w:gridCol w:w="1800"/>
        <w:gridCol w:w="4460"/>
        <w:gridCol w:w="120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BITS ID</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Name</w:t>
            </w:r>
          </w:p>
        </w:tc>
        <w:tc>
          <w:tcPr>
            <w:tcW w:type="dxa" w:w="4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Contribution</w:t>
            </w:r>
          </w:p>
        </w:tc>
        <w:tc>
          <w:tcPr>
            <w:tcW w:type="dxa" w:w="1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Percentage</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2025AB05113</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Prashant</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ML implementation and API, Architecture and code quality</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2025AA05032</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Prathap Wagle</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ML implementation and API, Architecture and code quality</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2024AC05999</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Prasanna R T</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Test design, execution and review</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2024AC05914</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Pranav Mehrotra</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QA evidence and final review</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bl>
    <w:p>
      <w:pPr>
        <w:spacing w:before="0" w:after="40" w:line="264" w:lineRule="auto"/>
      </w:pPr>
    </w:p>
    <w:p>
      <w:pPr>
        <w:spacing w:before="0" w:after="120" w:line="264" w:lineRule="auto"/>
      </w:pPr>
      <w:r>
        <w:rPr>
          <w:rFonts w:ascii="Calibri" w:hAnsi="Calibri"/>
          <w:b/>
        </w:rPr>
        <w:t xml:space="preserve">Submission statement. </w:t>
      </w:r>
      <w:r>
        <w:rPr>
          <w:rFonts w:ascii="Calibri" w:hAnsi="Calibri"/>
        </w:rPr>
        <w:t>This submission evolves the working Assignment I system without removing its upload, explanation, human-oversight, or audit features.</w:t>
      </w:r>
    </w:p>
    <w:p>
      <w:r>
        <w:br w:type="page"/>
      </w:r>
    </w:p>
    <w:p>
      <w:pPr>
        <w:pStyle w:val="Heading1"/>
        <w:keepNext/>
      </w:pPr>
      <w:r>
        <w:t>Assignment compliance mapping</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rPr>
          <w:tblHeader w:val="true"/>
          <w:cantSplit/>
        </w:trPr>
        <w:tc>
          <w:tcPr>
            <w:tcW w:type="dxa" w:w="2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Requirement</w:t>
            </w:r>
          </w:p>
        </w:tc>
        <w:tc>
          <w:tcPr>
            <w:tcW w:type="dxa" w:w="4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Implementation</w:t>
            </w:r>
          </w:p>
        </w:tc>
        <w:tc>
          <w:tcPr>
            <w:tcW w:type="dxa" w:w="2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evidence</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1. Modular refactoring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ML, quality, shared application, audit, API, and UI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ml/, quality/, services/, app/, streamlit_app.py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2. Research vs production</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prototype compared with production clean_text</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179.ipynb, Section 3</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3. Logging and errors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INFO/WARNING/ERROR across six critical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logging_config.py, logs/</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4. Formatting and linting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Recorded initial findings, then Black/isort/Flake8 pass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report/lint_before.txt and lint_after.txt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5. REST API</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typed prediction, health, and metrics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app/api.py, app/schemas.py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6-7. Tests and ML tests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Unit, data, loss, persistence, inference, continuity, API</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35 tests; report/pytest_report.txt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8. Quality metrics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Accuracy, F1, Brier, top-3, schema, balance, drift helper</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report/metrics_snapshot.json</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9. Production and security</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Shadow/canary strategy and resume-data controls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Section 9</w:t>
            </w:r>
          </w:p>
        </w:tc>
      </w:tr>
    </w:tbl>
    <w:p>
      <w:pPr>
        <w:spacing w:before="0" w:after="40" w:line="264" w:lineRule="auto"/>
      </w:pPr>
    </w:p>
    <w:p>
      <w:pPr>
        <w:pStyle w:val="Heading1"/>
        <w:keepNext/>
      </w:pPr>
      <w:r>
        <w:t>1. Continuity from Assignment I</w:t>
      </w:r>
    </w:p>
    <w:p>
      <w:pPr>
        <w:spacing w:before="0" w:after="120" w:line="264" w:lineRule="auto"/>
      </w:pPr>
      <w:r>
        <w:rPr>
          <w:rFonts w:ascii="Calibri" w:hAnsi="Calibri"/>
        </w:rP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cantSplit/>
        </w:trPr>
        <w:tc>
          <w:tcPr>
            <w:tcW w:type="dxa" w:w="3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Assignment I capability</w:t>
            </w:r>
          </w:p>
        </w:tc>
        <w:tc>
          <w:tcPr>
            <w:tcW w:type="dxa" w:w="55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Preserved Assignment II component</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TXT/PDF/DOCX resume upload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Text normalization and classification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 ml/trainer.py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Explanation and human oversight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services/scoring.py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Consistent submission orchestration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services/application.py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Audit history without raw resume storage</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services/audit.py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Recruiter-facing dashboard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New production inference contract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app/api.py and app/schemas.py</w:t>
            </w:r>
          </w:p>
        </w:tc>
      </w:tr>
    </w:tbl>
    <w:p>
      <w:pPr>
        <w:spacing w:before="0" w:after="40" w:line="264" w:lineRule="auto"/>
      </w:pPr>
    </w:p>
    <w:p>
      <w:pPr>
        <w:keepNext/>
        <w:jc w:val="center"/>
      </w:pPr>
      <w:r>
        <w:drawing>
          <wp:inline xmlns:a="http://schemas.openxmlformats.org/drawingml/2006/main" xmlns:pic="http://schemas.openxmlformats.org/drawingml/2006/picture">
            <wp:extent cx="5669280" cy="3149600"/>
            <wp:docPr id="1" name="Picture 1" descr="Clients flow through interfaces into one shared application, predictor, model and audit store; research flows through quality gates into versioned release evidence." title="Assignment II evolution architecture"/>
            <wp:cNvGraphicFramePr>
              <a:graphicFrameLocks noChangeAspect="1"/>
            </wp:cNvGraphicFramePr>
            <a:graphic>
              <a:graphicData uri="http://schemas.openxmlformats.org/drawingml/2006/picture">
                <pic:pic>
                  <pic:nvPicPr>
                    <pic:cNvPr id="0" name="assignment2_architecture.png"/>
                    <pic:cNvPicPr/>
                  </pic:nvPicPr>
                  <pic:blipFill>
                    <a:blip r:embed="rId11"/>
                    <a:stretch>
                      <a:fillRect/>
                    </a:stretch>
                  </pic:blipFill>
                  <pic:spPr>
                    <a:xfrm>
                      <a:off x="0" y="0"/>
                      <a:ext cx="5669280" cy="3149600"/>
                    </a:xfrm>
                    <a:prstGeom prst="rect"/>
                  </pic:spPr>
                </pic:pic>
              </a:graphicData>
            </a:graphic>
          </wp:inline>
        </w:drawing>
      </w:r>
    </w:p>
    <w:p>
      <w:pPr>
        <w:keepNext/>
        <w:spacing w:before="80" w:after="160" w:line="240" w:lineRule="auto"/>
        <w:jc w:val="center"/>
      </w:pPr>
      <w:r>
        <w:rPr>
          <w:rFonts w:ascii="Calibri" w:hAnsi="Calibri"/>
          <w:i/>
          <w:color w:val="5B6573"/>
          <w:sz w:val="18"/>
        </w:rPr>
        <w:t>Figure 1. Shared online workflow and evidence-governed offline release.</w:t>
      </w:r>
    </w:p>
    <w:p>
      <w:pPr>
        <w:pStyle w:val="Heading1"/>
        <w:keepNext/>
      </w:pPr>
      <w:r>
        <w:t>2. Refactoring with OOP and functional principles</w:t>
      </w:r>
    </w:p>
    <w:p>
      <w:pPr>
        <w:spacing w:after="120"/>
      </w:pPr>
      <w:r>
        <w:rPr>
          <w:rFonts w:ascii="Calibri" w:hAnsi="Calibri" w:eastAsia="Calibri"/>
          <w:b w:val="0"/>
          <w:i w:val="0"/>
          <w:sz w:val="22"/>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pPr>
        <w:jc w:val="center"/>
      </w:pPr>
      <w:r>
        <w:drawing>
          <wp:inline xmlns:a="http://schemas.openxmlformats.org/drawingml/2006/main" xmlns:pic="http://schemas.openxmlformats.org/drawingml/2006/picture">
            <wp:extent cx="5852160" cy="1910909"/>
            <wp:docPr id="9" name="Picture 9"/>
            <wp:cNvGraphicFramePr>
              <a:graphicFrameLocks noChangeAspect="1"/>
            </wp:cNvGraphicFramePr>
            <a:graphic>
              <a:graphicData uri="http://schemas.openxmlformats.org/drawingml/2006/picture">
                <pic:pic>
                  <pic:nvPicPr>
                    <pic:cNvPr id="0" name="component_diagram.png"/>
                    <pic:cNvPicPr/>
                  </pic:nvPicPr>
                  <pic:blipFill>
                    <a:blip r:embed="rId20"/>
                    <a:stretch>
                      <a:fillRect/>
                    </a:stretch>
                  </pic:blipFill>
                  <pic:spPr>
                    <a:xfrm>
                      <a:off x="0" y="0"/>
                      <a:ext cx="5852160" cy="1910909"/>
                    </a:xfrm>
                    <a:prstGeom prst="rect"/>
                  </pic:spPr>
                </pic:pic>
              </a:graphicData>
            </a:graphic>
          </wp:inline>
        </w:drawing>
      </w:r>
    </w:p>
    <w:p>
      <w:pPr>
        <w:spacing w:before="80" w:after="200"/>
        <w:jc w:val="center"/>
      </w:pPr>
      <w:r>
        <w:rPr>
          <w:rFonts w:ascii="Calibri" w:hAnsi="Calibri" w:eastAsia="Calibri"/>
          <w:b w:val="0"/>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pPr>
        <w:spacing w:before="0" w:after="120" w:line="264" w:lineRule="auto"/>
      </w:pPr>
      <w:r>
        <w:rPr>
          <w:rFonts w:ascii="Calibri" w:hAnsi="Calibri"/>
          <w:b/>
        </w:rPr>
        <w:t xml:space="preserve">Data and validation. </w:t>
      </w:r>
      <w:r>
        <w:rPr>
          <w:rFonts w:ascii="Calibri" w:hAnsi="Calibri"/>
        </w:rPr>
        <w:t>ml/data.py creates the labelled dataset and returns an immutable DataQualityReport after schema, missing-value, duplicate, and class coverage checks.</w:t>
      </w:r>
    </w:p>
    <w:p>
      <w:pPr>
        <w:spacing w:before="0" w:after="120" w:line="264" w:lineRule="auto"/>
      </w:pPr>
      <w:r>
        <w:rPr>
          <w:rFonts w:ascii="Calibri" w:hAnsi="Calibri"/>
          <w:b/>
        </w:rPr>
        <w:t xml:space="preserve">Ingestion. </w:t>
      </w:r>
      <w:r>
        <w:rPr>
          <w:rFonts w:ascii="Calibri" w:hAnsi="Calibri"/>
        </w:rPr>
        <w:t>ml/ingestion.py isolates TXT/PDF/DOCX parsing, file-type checks, empty-file checks, and a 5 MB upload limit.</w:t>
      </w:r>
    </w:p>
    <w:p>
      <w:pPr>
        <w:spacing w:before="0" w:after="120" w:line="264" w:lineRule="auto"/>
      </w:pPr>
      <w:r>
        <w:rPr>
          <w:rFonts w:ascii="Calibri" w:hAnsi="Calibri"/>
          <w:b/>
        </w:rPr>
        <w:t xml:space="preserve">Training. </w:t>
      </w:r>
      <w:r>
        <w:rPr>
          <w:rFonts w:ascii="Calibri" w:hAnsi="Calibri"/>
        </w:rPr>
        <w:t>ml/trainer.py constructs the reusable scikit-learn pipeline, measures validation metrics, enforces release gates, retrains on all data, and persists a versionable artifact.</w:t>
      </w:r>
    </w:p>
    <w:p>
      <w:pPr>
        <w:spacing w:before="0" w:after="120" w:line="264" w:lineRule="auto"/>
      </w:pPr>
      <w:r>
        <w:rPr>
          <w:rFonts w:ascii="Calibri" w:hAnsi="Calibri"/>
          <w:b/>
        </w:rPr>
        <w:t xml:space="preserve">Inference and services. </w:t>
      </w:r>
      <w:r>
        <w:rPr>
          <w:rFonts w:ascii="Calibri" w:hAnsi="Calibri"/>
        </w:rPr>
        <w:t>ModelPredictor owns artifact loading and stable probability output. ResumeScoringService adds explanation and human oversight without coupling those rules to the classifier.</w:t>
      </w:r>
    </w:p>
    <w:p>
      <w:pPr>
        <w:spacing w:before="0" w:after="120" w:line="264" w:lineRule="auto"/>
      </w:pPr>
      <w:r>
        <w:rPr>
          <w:rFonts w:ascii="Calibri" w:hAnsi="Calibri"/>
          <w:b/>
        </w:rPr>
        <w:t xml:space="preserve">Application boundaries. </w:t>
      </w:r>
      <w:r>
        <w:rPr>
          <w:rFonts w:ascii="Calibri" w:hAnsi="Calibri"/>
        </w:rPr>
        <w:t>ResumeScreeningApplication coordinates validate, score, and audit for both FastAPI and Streamlit. AuditRepository stores only metadata.</w:t>
      </w:r>
    </w:p>
    <w:p>
      <w:pPr>
        <w:spacing w:before="0" w:after="120" w:line="264" w:lineRule="auto"/>
      </w:pPr>
      <w:r>
        <w:rPr>
          <w:rFonts w:ascii="Calibri" w:hAnsi="Calibri"/>
          <w:b/>
        </w:rPr>
        <w:t xml:space="preserve">Quality and configuration. </w:t>
      </w:r>
      <w:r>
        <w:rPr>
          <w:rFonts w:ascii="Calibri" w:hAnsi="Calibri"/>
        </w:rPr>
        <w:t>config.py centralizes runtime paths and versioning; quality/ computes model/data metrics and drift signals; training persists metrics JSON.</w:t>
      </w:r>
    </w:p>
    <w:p>
      <w:pPr>
        <w:pStyle w:val="Heading1"/>
        <w:keepNext/>
      </w:pPr>
      <w:r>
        <w:t>3. Research code vs production code</w:t>
      </w:r>
    </w:p>
    <w:p>
      <w:pPr>
        <w:spacing w:before="0" w:after="120" w:line="264" w:lineRule="auto"/>
      </w:pPr>
      <w:r>
        <w:rPr>
          <w:rFonts w:ascii="Calibri" w:hAnsi="Calibri"/>
        </w:rP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pPr>
        <w:shd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p>
    <w:p>
      <w:pPr>
        <w:shd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Aspect</w:t>
            </w:r>
          </w:p>
        </w:tc>
        <w:tc>
          <w:tcPr>
            <w:tcW w:type="dxa" w:w="3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Research prototype</w:t>
            </w:r>
          </w:p>
        </w:tc>
        <w:tc>
          <w:tcPr>
            <w:tcW w:type="dxa" w:w="43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Production component</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Purpose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Rapid feasibility</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Repeatable service behavior</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Structure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cell</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Importable typed function</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Validation</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Assumes string input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Type, empty, size, semantic checks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Observability</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Displayed output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Structured INFO/WARNING/ERROR logs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Quality evidence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Manual inspection</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Unit and API integration tests</w:t>
            </w:r>
          </w:p>
        </w:tc>
      </w:tr>
    </w:tbl>
    <w:p>
      <w:pPr>
        <w:spacing w:before="0" w:after="40" w:line="264" w:lineRule="auto"/>
      </w:pPr>
    </w:p>
    <w:p>
      <w:pPr>
        <w:pStyle w:val="Heading1"/>
        <w:keepNext/>
      </w:pPr>
      <w:r>
        <w:t>4. Error handling and logging</w:t>
      </w:r>
    </w:p>
    <w:p>
      <w:pPr>
        <w:spacing w:before="0" w:after="120" w:line="264" w:lineRule="auto"/>
      </w:pPr>
      <w:r>
        <w:rPr>
          <w:rFonts w:ascii="Calibri" w:hAnsi="Calibri"/>
        </w:rPr>
        <w:t>Logging is configured centrally and writes to console plus a rotating project-relative file (1 MB, three backups). Raw resume text is neither logged nor stored in the audit CSV.</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trPr>
        <w:tc>
          <w:tcPr>
            <w:tcW w:type="dxa" w:w="2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Critical module</w:t>
            </w:r>
          </w:p>
        </w:tc>
        <w:tc>
          <w:tcPr>
            <w:tcW w:type="dxa" w:w="3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INFO</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WARNING / ERROR</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Input/output character counts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Wrong type, empty, oversized, or unusable content</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Type and extracted length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Unsupported, empty, oversized, or failed extraction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ml/data.py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Rows, schema, quality report</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schema/values or insufficient classes</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ml/trainer.py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Training rows, artifact,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Fit exception or failed quality gate</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ml/predictor.py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Artifact and prediction metadata</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artifact or inference exception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app/api.py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and successful requests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Invalid request, unavailable model, unexpected error</w:t>
            </w:r>
          </w:p>
        </w:tc>
      </w:tr>
    </w:tbl>
    <w:p>
      <w:pPr>
        <w:spacing w:before="0" w:after="40" w:line="264" w:lineRule="auto"/>
      </w:pPr>
    </w:p>
    <w:p>
      <w:pPr>
        <w:pStyle w:val="Heading1"/>
        <w:keepNext/>
      </w:pPr>
      <w:r>
        <w:t>5. Code formatting and linting</w:t>
      </w:r>
    </w:p>
    <w:p>
      <w:pPr>
        <w:spacing w:before="0" w:after="120" w:line="264" w:lineRule="auto"/>
      </w:pPr>
      <w:r>
        <w:rPr>
          <w:rFonts w:ascii="Calibri" w:hAnsi="Calibri"/>
        </w:rPr>
        <w:t>The initial review established a genuine baseline before remediation. The configured tools were then applied to the complete Python codebase and rerun after implementation changes.</w:t>
      </w:r>
    </w:p>
    <w:p>
      <w:pPr>
        <w:shd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p>
    <w:p>
      <w:pPr>
        <w:keepNext/>
        <w:spacing w:before="80" w:after="160" w:line="240" w:lineRule="auto"/>
        <w:jc w:val="center"/>
      </w:pPr>
      <w:r>
        <w:rPr>
          <w:rFonts w:ascii="Calibri" w:hAnsi="Calibri"/>
          <w:i/>
          <w:color w:val="5B6573"/>
          <w:sz w:val="18"/>
        </w:rPr>
        <w:t>Evidence 1. Recorded baseline and reproducible post-remediation results.</w:t>
      </w:r>
    </w:p>
    <w:p>
      <w:pPr>
        <w:pStyle w:val="Heading1"/>
        <w:keepNext/>
      </w:pPr>
      <w:r>
        <w:t>6. REST API design</w:t>
      </w:r>
    </w:p>
    <w:tbl>
      <w:tblPr>
        <w:tblStyle w:val="TableGrid"/>
        <w:tblW w:type="dxa" w:w="9360"/>
        <w:jc w:val="left"/>
        <w:tblLayout w:type="fixed"/>
        <w:tblLook w:firstColumn="1" w:firstRow="1" w:lastColumn="0" w:lastRow="0" w:noHBand="0" w:noVBand="1" w:val="04A0"/>
        <w:tblInd w:w="120" w:type="dxa"/>
      </w:tblPr>
      <w:tblGrid>
        <w:gridCol w:w="2000"/>
        <w:gridCol w:w="4160"/>
        <w:gridCol w:w="3200"/>
      </w:tblGrid>
      <w:tr>
        <w:trPr>
          <w:tblHeader w:val="true"/>
          <w:cantSplit/>
        </w:trPr>
        <w:tc>
          <w:tcPr>
            <w:tcW w:type="dxa" w:w="2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Endpoint</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Contract</w:t>
            </w:r>
          </w:p>
        </w:tc>
        <w:tc>
          <w:tcPr>
            <w:tcW w:type="dxa" w:w="3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Status behavior</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/health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status, model_loaded, and API version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ready; 503 artifact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POST /predict and /v1/predictions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candidate and resume request; typed ranking response</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success; 422 invalid; 503 model; 500 unexpected</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Persisted model/data release snapshot</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available; 404 snapshot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/docs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Generated OpenAPI/Swagger documentation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Interactive contract documentation</w:t>
            </w:r>
          </w:p>
        </w:tc>
      </w:tr>
    </w:tbl>
    <w:p>
      <w:pPr>
        <w:spacing w:before="0" w:after="40" w:line="264" w:lineRule="auto"/>
      </w:pPr>
    </w:p>
    <w:p>
      <w:pPr>
        <w:spacing w:before="0" w:after="120" w:line="264" w:lineRule="auto"/>
      </w:pPr>
      <w:r>
        <w:rPr>
          <w:rFonts w:ascii="Calibri" w:hAnsi="Calibri"/>
        </w:rPr>
        <w:t>Validation occurs at both schema and domain layers. A punctuation-only resume is rejected after normalization, blank candidate names are rejected, model loading occurs at startup, and readiness fails when the artifact is missing.</w:t>
      </w:r>
    </w:p>
    <w:p>
      <w:pPr>
        <w:shd w:fill="172033"/>
        <w:spacing w:before="60" w:after="160" w:line="240" w:lineRule="auto"/>
        <w:ind w:left="173" w:right="173"/>
      </w:pPr>
      <w:r>
        <w:rPr>
          <w:rFonts w:ascii="Courier New" w:hAnsi="Courier New"/>
          <w:color w:val="FFFFFF"/>
          <w:sz w:val="17"/>
        </w:rPr>
        <w:t>POST /v1/predictions -&gt; 200</w:t>
        <w:br/>
        <w:t>{candidate_name, predicted_role, confidence,</w:t>
        <w:br/>
        <w:t xml:space="preserve"> role_ranking[6], explanation, decision_note}</w:t>
        <w:br/>
        <w:br/>
        <w:t>GET /health with missing artifact -&gt; 503</w:t>
      </w:r>
    </w:p>
    <w:p>
      <w:pPr>
        <w:spacing w:after="160"/>
      </w:pPr>
      <w:r>
        <w:rPr>
          <w:rFonts w:ascii="Calibri" w:hAnsi="Calibri" w:eastAsia="Calibri"/>
          <w:b w:val="0"/>
          <w:i w:val="0"/>
          <w:sz w:val="22"/>
        </w:rPr>
        <w:t>Runtime evidence for these endpoints is shown in Application screenshots (Figures 4–8): OpenAPI /docs, health check, prediction request/response, and metrics snapshot.</w:t>
      </w:r>
    </w:p>
    <w:p>
      <w:pPr>
        <w:pStyle w:val="Heading1"/>
        <w:keepNext/>
      </w:pPr>
      <w:r>
        <w:t>7. Testing strategy and implementation</w:t>
      </w:r>
    </w:p>
    <w:tbl>
      <w:tblPr>
        <w:tblStyle w:val="TableGrid"/>
        <w:tblW w:type="dxa" w:w="9360"/>
        <w:jc w:val="left"/>
        <w:tblLayout w:type="fixed"/>
        <w:tblLook w:firstColumn="1" w:firstRow="1" w:lastColumn="0" w:lastRow="0" w:noHBand="0" w:noVBand="1" w:val="04A0"/>
        <w:tblInd w:w="120" w:type="dxa"/>
      </w:tblPr>
      <w:tblGrid>
        <w:gridCol w:w="1800"/>
        <w:gridCol w:w="4260"/>
        <w:gridCol w:w="3300"/>
      </w:tblGrid>
      <w:tr>
        <w:trPr>
          <w:tblHeader w:val="true"/>
          <w:cantSplit/>
        </w:trPr>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Type</w:t>
            </w:r>
          </w:p>
        </w:tc>
        <w:tc>
          <w:tcPr>
            <w:tcW w:type="dxa" w:w="4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Representative checks</w:t>
            </w:r>
          </w:p>
        </w:tc>
        <w:tc>
          <w:tcPr>
            <w:tcW w:type="dxa" w:w="3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Evidence</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Unit</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Normalization, invalid content, TXT ingestion, audit privacy</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test_preprocessing.py, test_continuity.py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Data validation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Schema, missing values, duplicates, class coverage</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test_data_quality.py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training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Loss decreases, gates, determinism, persistence round-trip</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test_training.py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inference</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Ranking/probability contract, direction, invariance, empty input</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test_inference.py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API integration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Lifecycle, aliases, metrics, audit privacy, validation/errors</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test_api.py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Quality monitoring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Data summary and text-length drift detection</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test_quality_metrics.py</w:t>
            </w:r>
          </w:p>
        </w:tc>
      </w:tr>
    </w:tbl>
    <w:p>
      <w:pPr>
        <w:spacing w:before="0" w:after="40" w:line="264" w:lineRule="auto"/>
      </w:pPr>
    </w:p>
    <w:p>
      <w:pPr>
        <w:shd w:fill="172033"/>
        <w:spacing w:before="60" w:after="160" w:line="240" w:lineRule="auto"/>
        <w:ind w:left="173" w:right="173"/>
      </w:pPr>
      <w:r>
        <w:rPr>
          <w:rFonts w:ascii="Courier New" w:hAnsi="Courier New"/>
          <w:color w:val="FFFFFF"/>
          <w:sz w:val="17"/>
        </w:rPr>
        <w:t>$ pytest -q</w:t>
        <w:br/>
        <w:t>...................................              [100%]</w:t>
        <w:br/>
        <w:t>35 passed in 0.51s</w:t>
      </w:r>
    </w:p>
    <w:p>
      <w:pPr>
        <w:keepNext/>
        <w:spacing w:before="80" w:after="160" w:line="240" w:lineRule="auto"/>
        <w:jc w:val="center"/>
      </w:pPr>
      <w:r>
        <w:rPr>
          <w:rFonts w:ascii="Calibri" w:hAnsi="Calibri"/>
          <w:i/>
          <w:color w:val="5B6573"/>
          <w:sz w:val="18"/>
        </w:rPr>
        <w:t>Evidence 2. Automated unit, ML-specific, data, continuity, and API tests.</w:t>
      </w:r>
    </w:p>
    <w:p>
      <w:pPr>
        <w:pStyle w:val="Heading1"/>
        <w:keepNext/>
      </w:pPr>
      <w:r>
        <w:t>8. Model and data quality metrics</w:t>
      </w:r>
    </w:p>
    <w:tbl>
      <w:tblPr>
        <w:tblStyle w:val="TableGrid"/>
        <w:tblW w:type="dxa" w:w="9360"/>
        <w:jc w:val="left"/>
        <w:tblLayout w:type="fixed"/>
        <w:tblLook w:firstColumn="1" w:firstRow="1" w:lastColumn="0" w:lastRow="0" w:noHBand="0" w:noVBand="1" w:val="04A0"/>
        <w:tblInd w:w="120" w:type="dxa"/>
      </w:tblPr>
      <w:tblGrid>
        <w:gridCol w:w="1500"/>
        <w:gridCol w:w="2600"/>
        <w:gridCol w:w="1800"/>
        <w:gridCol w:w="3460"/>
      </w:tblGrid>
      <w:tr>
        <w:trPr>
          <w:tblHeader w:val="true"/>
          <w:cantSplit/>
        </w:trPr>
        <w:tc>
          <w:tcPr>
            <w:tcW w:type="dxa" w:w="15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Category</w:t>
            </w:r>
          </w:p>
        </w:tc>
        <w:tc>
          <w:tcPr>
            <w:tcW w:type="dxa" w:w="26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Metric</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Measured</w:t>
            </w:r>
          </w:p>
        </w:tc>
        <w:tc>
          <w:tcPr>
            <w:tcW w:type="dxa" w:w="3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Gate / interpretation</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Weighted F1</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Top-3 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Monitoring metric</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Multiclass Brier</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0.725</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Lower is better; monitored</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Schema validity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True</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columns present</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Missing-value rate</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 required values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Duplicate rows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Monitored for evaluation bias</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Minority-class fraction</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0.167</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Balanced 6-class set</w:t>
            </w:r>
          </w:p>
        </w:tc>
      </w:tr>
    </w:tbl>
    <w:p>
      <w:pPr>
        <w:spacing w:before="0" w:after="40" w:line="264" w:lineRule="auto"/>
      </w:pPr>
    </w:p>
    <w:p>
      <w:pPr>
        <w:spacing w:before="0" w:after="120" w:line="264" w:lineRule="auto"/>
      </w:pPr>
      <w:r>
        <w:rPr>
          <w:rFonts w:ascii="Calibri" w:hAnsi="Calibri"/>
        </w:rPr>
        <w:t>The evaluation uses 12 stratified validation rows from a deliberately small 24-row synthetic dataset. The results prove that measurement and release gates are implemented; they are not production-performance claims. A reusable text-length drift check flags batches beyond three reference standard deviations.</w:t>
      </w:r>
    </w:p>
    <w:p>
      <w:pPr>
        <w:pStyle w:val="Heading1"/>
        <w:keepNext/>
      </w:pPr>
      <w:r>
        <w:t>9. Testing in production and security</w:t>
      </w:r>
    </w:p>
    <w:p>
      <w:pPr>
        <w:pStyle w:val="Heading2"/>
        <w:keepNext/>
      </w:pPr>
      <w:r>
        <w:t>9.1 Shadow and canary strategy</w:t>
      </w:r>
    </w:p>
    <w:p>
      <w:pPr>
        <w:spacing w:before="0" w:after="120" w:line="264" w:lineRule="auto"/>
      </w:pPr>
      <w:r>
        <w:rPr>
          <w:rFonts w:ascii="Calibri" w:hAnsi="Calibri"/>
        </w:rP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pPr>
        <w:pStyle w:val="Heading2"/>
        <w:keepNext/>
      </w:pPr>
      <w:r>
        <w:t>9.2 Security and privacy</w:t>
      </w:r>
    </w:p>
    <w:p>
      <w:pPr>
        <w:spacing w:before="0" w:after="120" w:line="264" w:lineRule="auto"/>
      </w:pPr>
      <w:r>
        <w:rPr>
          <w:rFonts w:ascii="Calibri" w:hAnsi="Calibri"/>
        </w:rP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pPr>
        <w:pStyle w:val="Heading1"/>
        <w:keepNext/>
      </w:pPr>
      <w:r>
        <w:t>10. Reproducible execution</w:t>
      </w:r>
    </w:p>
    <w:p>
      <w:pPr>
        <w:shd w:fill="172033"/>
        <w:spacing w:before="60" w:after="160" w:line="240" w:lineRule="auto"/>
        <w:ind w:left="173" w:right="173"/>
      </w:pPr>
      <w:r>
        <w:rPr>
          <w:rFonts w:ascii="Courier New" w:hAnsi="Courier New"/>
          <w:color w:val="FFFFFF"/>
          <w:sz w:val="17"/>
        </w:rPr>
        <w:t>python -m venv .venv</w:t>
        <w:br/>
        <w:t>source .venv/bin/activate</w:t>
        <w:br/>
        <w:t>pip install -r requirements.txt</w:t>
        <w:br/>
        <w:t>python train.py</w:t>
        <w:br/>
        <w:t>pytest -q</w:t>
        <w:br/>
        <w:t>black --check .</w:t>
        <w:br/>
        <w:t>isort --check-only .</w:t>
        <w:br/>
        <w:t>flake8 .</w:t>
        <w:br/>
        <w:t>python run_api.py</w:t>
        <w:br/>
        <w:t># API docs: http://127.0.0.1:8000/docs</w:t>
        <w:br/>
        <w:t># Preserved UI: streamlit run streamlit_app.py</w:t>
      </w:r>
    </w:p>
    <w:p>
      <w:pPr>
        <w:pStyle w:val="Heading1"/>
        <w:keepNext/>
      </w:pPr>
      <w:r>
        <w:t>11. Conclusion</w:t>
      </w:r>
    </w:p>
    <w:p>
      <w:pPr>
        <w:spacing w:before="0" w:after="120" w:line="264" w:lineRule="auto"/>
      </w:pPr>
      <w:r>
        <w:rPr>
          <w:rFonts w:ascii="Calibri" w:hAnsi="Calibri"/>
        </w:rP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r>
        <w:br w:type="page"/>
      </w:r>
    </w:p>
    <w:p>
      <w:pPr>
        <w:pStyle w:val="Heading1"/>
      </w:pPr>
      <w:r>
        <w:rPr>
          <w:rFonts w:ascii="Calibri" w:hAnsi="Calibri" w:eastAsia="Calibri"/>
          <w:b/>
          <w:i w:val="0"/>
          <w:sz w:val="32"/>
        </w:rPr>
        <w:t>Application screenshots</w:t>
      </w:r>
    </w:p>
    <w:p>
      <w:pPr>
        <w:spacing w:after="160"/>
      </w:pPr>
      <w:r>
        <w:rPr>
          <w:rFonts w:ascii="Calibri" w:hAnsi="Calibri" w:eastAsia="Calibri"/>
          <w:b w:val="0"/>
          <w:i w:val="0"/>
          <w:sz w:val="22"/>
        </w:rPr>
        <w:t>The following screenshots demonstrate the running Assignment II system: the preserved recruiter UI (Streamlit) and the production-style FastAPI inference interface required by the assignment submission guidelines.</w:t>
      </w:r>
    </w:p>
    <w:p>
      <w:pPr>
        <w:pStyle w:val="Heading2"/>
      </w:pPr>
      <w:r>
        <w:rPr>
          <w:rFonts w:ascii="Calibri" w:hAnsi="Calibri" w:eastAsia="Calibri"/>
          <w:b/>
          <w:i w:val="0"/>
          <w:sz w:val="26"/>
        </w:rPr>
        <w:t>A. Recruiter application (Streamlit)</w:t>
      </w:r>
    </w:p>
    <w:p>
      <w:pPr>
        <w:spacing w:after="160"/>
      </w:pPr>
      <w:r>
        <w:rPr>
          <w:rFonts w:ascii="Calibri" w:hAnsi="Calibri" w:eastAsia="Calibri"/>
          <w:b w:val="0"/>
          <w:i w:val="0"/>
          <w:sz w:val="22"/>
        </w:rPr>
        <w:t>The Streamlit app preserves the Assignment I workflow (candidate name, TXT/PDF/DOCX upload or paste, analysis, explanation, and audit history) while routing scoring through the shared modular ResumeScreeningApplication service.</w:t>
      </w:r>
    </w:p>
    <w:p>
      <w:pPr>
        <w:spacing w:before="120" w:after="40"/>
        <w:jc w:val="center"/>
      </w:pPr>
      <w:r>
        <w:drawing>
          <wp:inline xmlns:a="http://schemas.openxmlformats.org/drawingml/2006/main" xmlns:pic="http://schemas.openxmlformats.org/drawingml/2006/picture">
            <wp:extent cx="5760720" cy="3102619"/>
            <wp:docPr id="2" name="Picture 2"/>
            <wp:cNvGraphicFramePr>
              <a:graphicFrameLocks noChangeAspect="1"/>
            </wp:cNvGraphicFramePr>
            <a:graphic>
              <a:graphicData uri="http://schemas.openxmlformats.org/drawingml/2006/picture">
                <pic:pic>
                  <pic:nvPicPr>
                    <pic:cNvPr id="0" name="MainApp.png"/>
                    <pic:cNvPicPr/>
                  </pic:nvPicPr>
                  <pic:blipFill>
                    <a:blip r:embed="rId12"/>
                    <a:stretch>
                      <a:fillRect/>
                    </a:stretch>
                  </pic:blipFill>
                  <pic:spPr>
                    <a:xfrm>
                      <a:off x="0" y="0"/>
                      <a:ext cx="5760720" cy="3102619"/>
                    </a:xfrm>
                    <a:prstGeom prst="rect"/>
                  </pic:spPr>
                </pic:pic>
              </a:graphicData>
            </a:graphic>
          </wp:inline>
        </w:drawing>
      </w:r>
    </w:p>
    <w:p>
      <w:pPr>
        <w:spacing w:before="80" w:after="240"/>
        <w:jc w:val="center"/>
      </w:pPr>
      <w:r>
        <w:rPr>
          <w:rFonts w:ascii="Calibri" w:hAnsi="Calibri" w:eastAsia="Calibri"/>
          <w:b w:val="0"/>
          <w:i/>
          <w:color w:val="333333"/>
          <w:sz w:val="20"/>
        </w:rPr>
        <w:t>Figure 2. Main recruiter UI — upload/paste controls, verified model quality sidebar, and privacy-aware audit history (no raw resume text stored).</w:t>
      </w:r>
    </w:p>
    <w:p>
      <w:pPr>
        <w:spacing w:before="120" w:after="40"/>
        <w:jc w:val="center"/>
      </w:pPr>
      <w:r>
        <w:drawing>
          <wp:inline xmlns:a="http://schemas.openxmlformats.org/drawingml/2006/main" xmlns:pic="http://schemas.openxmlformats.org/drawingml/2006/picture">
            <wp:extent cx="5760720" cy="3093608"/>
            <wp:docPr id="3" name="Picture 3"/>
            <wp:cNvGraphicFramePr>
              <a:graphicFrameLocks noChangeAspect="1"/>
            </wp:cNvGraphicFramePr>
            <a:graphic>
              <a:graphicData uri="http://schemas.openxmlformats.org/drawingml/2006/picture">
                <pic:pic>
                  <pic:nvPicPr>
                    <pic:cNvPr id="0" name="AppSampleResume.png"/>
                    <pic:cNvPicPr/>
                  </pic:nvPicPr>
                  <pic:blipFill>
                    <a:blip r:embed="rId13"/>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3. Sample resume analysis — predicted role, confidence, keyword explanation, advisory decision note, and role ranking table.</w:t>
      </w:r>
    </w:p>
    <w:p>
      <w:pPr>
        <w:pStyle w:val="Heading2"/>
      </w:pPr>
      <w:r>
        <w:rPr>
          <w:rFonts w:ascii="Calibri" w:hAnsi="Calibri" w:eastAsia="Calibri"/>
          <w:b/>
          <w:i w:val="0"/>
          <w:sz w:val="26"/>
        </w:rPr>
        <w:t>B. REST API (FastAPI / OpenAPI)</w:t>
      </w:r>
    </w:p>
    <w:p>
      <w:pPr>
        <w:spacing w:after="160"/>
      </w:pPr>
      <w:r>
        <w:rPr>
          <w:rFonts w:ascii="Calibri" w:hAnsi="Calibri" w:eastAsia="Calibri"/>
          <w:b w:val="0"/>
          <w:i w:val="0"/>
          <w:sz w:val="22"/>
        </w:rPr>
        <w:t>The FastAPI service exposes typed health, prediction, and metrics endpoints with OpenAPI documentation at /docs. Request and response schemas are defined in app/schemas.py; inference uses the same application service as Streamlit.</w:t>
      </w:r>
    </w:p>
    <w:p>
      <w:pPr>
        <w:spacing w:before="120" w:after="40"/>
        <w:jc w:val="center"/>
      </w:pPr>
      <w:r>
        <w:drawing>
          <wp:inline xmlns:a="http://schemas.openxmlformats.org/drawingml/2006/main" xmlns:pic="http://schemas.openxmlformats.org/drawingml/2006/picture">
            <wp:extent cx="5760720" cy="3084598"/>
            <wp:docPr id="4" name="Picture 4"/>
            <wp:cNvGraphicFramePr>
              <a:graphicFrameLocks noChangeAspect="1"/>
            </wp:cNvGraphicFramePr>
            <a:graphic>
              <a:graphicData uri="http://schemas.openxmlformats.org/drawingml/2006/picture">
                <pic:pic>
                  <pic:nvPicPr>
                    <pic:cNvPr id="0" name="APISpec.png"/>
                    <pic:cNvPicPr/>
                  </pic:nvPicPr>
                  <pic:blipFill>
                    <a:blip r:embed="rId14"/>
                    <a:stretch>
                      <a:fillRect/>
                    </a:stretch>
                  </pic:blipFill>
                  <pic:spPr>
                    <a:xfrm>
                      <a:off x="0" y="0"/>
                      <a:ext cx="5760720" cy="3084598"/>
                    </a:xfrm>
                    <a:prstGeom prst="rect"/>
                  </pic:spPr>
                </pic:pic>
              </a:graphicData>
            </a:graphic>
          </wp:inline>
        </w:drawing>
      </w:r>
    </w:p>
    <w:p>
      <w:pPr>
        <w:spacing w:before="80" w:after="240"/>
        <w:jc w:val="center"/>
      </w:pPr>
      <w:r>
        <w:rPr>
          <w:rFonts w:ascii="Calibri" w:hAnsi="Calibri" w:eastAsia="Calibri"/>
          <w:b w:val="0"/>
          <w:i/>
          <w:color w:val="333333"/>
          <w:sz w:val="20"/>
        </w:rPr>
        <w:t>Figure 4. OpenAPI specification — GET /health, POST /v1/predictions, POST /predict, GET /metrics, and generated schema models.</w:t>
      </w:r>
    </w:p>
    <w:p>
      <w:pPr>
        <w:spacing w:before="120" w:after="40"/>
        <w:jc w:val="center"/>
      </w:pPr>
      <w:r>
        <w:drawing>
          <wp:inline xmlns:a="http://schemas.openxmlformats.org/drawingml/2006/main" xmlns:pic="http://schemas.openxmlformats.org/drawingml/2006/picture">
            <wp:extent cx="5486400" cy="1133699"/>
            <wp:docPr id="5" name="Picture 5"/>
            <wp:cNvGraphicFramePr>
              <a:graphicFrameLocks noChangeAspect="1"/>
            </wp:cNvGraphicFramePr>
            <a:graphic>
              <a:graphicData uri="http://schemas.openxmlformats.org/drawingml/2006/picture">
                <pic:pic>
                  <pic:nvPicPr>
                    <pic:cNvPr id="0" name="FastHeatlthCheck.png"/>
                    <pic:cNvPicPr/>
                  </pic:nvPicPr>
                  <pic:blipFill>
                    <a:blip r:embed="rId15"/>
                    <a:stretch>
                      <a:fillRect/>
                    </a:stretch>
                  </pic:blipFill>
                  <pic:spPr>
                    <a:xfrm>
                      <a:off x="0" y="0"/>
                      <a:ext cx="5486400" cy="1133699"/>
                    </a:xfrm>
                    <a:prstGeom prst="rect"/>
                  </pic:spPr>
                </pic:pic>
              </a:graphicData>
            </a:graphic>
          </wp:inline>
        </w:drawing>
      </w:r>
    </w:p>
    <w:p>
      <w:pPr>
        <w:spacing w:before="80" w:after="240"/>
        <w:jc w:val="center"/>
      </w:pPr>
      <w:r>
        <w:rPr>
          <w:rFonts w:ascii="Calibri" w:hAnsi="Calibri" w:eastAsia="Calibri"/>
          <w:b w:val="0"/>
          <w:i/>
          <w:color w:val="333333"/>
          <w:sz w:val="20"/>
        </w:rPr>
        <w:t>Figure 5. GET /health — service ready with model_loaded=true and API version 2.1.0.</w:t>
      </w:r>
    </w:p>
    <w:p>
      <w:pPr>
        <w:spacing w:before="120" w:after="40"/>
        <w:jc w:val="center"/>
      </w:pPr>
      <w:r>
        <w:drawing>
          <wp:inline xmlns:a="http://schemas.openxmlformats.org/drawingml/2006/main" xmlns:pic="http://schemas.openxmlformats.org/drawingml/2006/picture">
            <wp:extent cx="5760720" cy="3093608"/>
            <wp:docPr id="6" name="Picture 6"/>
            <wp:cNvGraphicFramePr>
              <a:graphicFrameLocks noChangeAspect="1"/>
            </wp:cNvGraphicFramePr>
            <a:graphic>
              <a:graphicData uri="http://schemas.openxmlformats.org/drawingml/2006/picture">
                <pic:pic>
                  <pic:nvPicPr>
                    <pic:cNvPr id="0" name="APIExecution_Predict_1.png"/>
                    <pic:cNvPicPr/>
                  </pic:nvPicPr>
                  <pic:blipFill>
                    <a:blip r:embed="rId16"/>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6. POST /v1/predictions — interactive request form (candidate_name, resume_text).</w:t>
      </w:r>
    </w:p>
    <w:p>
      <w:pPr>
        <w:spacing w:before="120" w:after="40"/>
        <w:jc w:val="center"/>
      </w:pPr>
      <w:r>
        <w:drawing>
          <wp:inline xmlns:a="http://schemas.openxmlformats.org/drawingml/2006/main" xmlns:pic="http://schemas.openxmlformats.org/drawingml/2006/picture">
            <wp:extent cx="5760720" cy="3081594"/>
            <wp:docPr id="7" name="Picture 7"/>
            <wp:cNvGraphicFramePr>
              <a:graphicFrameLocks noChangeAspect="1"/>
            </wp:cNvGraphicFramePr>
            <a:graphic>
              <a:graphicData uri="http://schemas.openxmlformats.org/drawingml/2006/picture">
                <pic:pic>
                  <pic:nvPicPr>
                    <pic:cNvPr id="0" name="APIExecution_Predict_2.png"/>
                    <pic:cNvPicPr/>
                  </pic:nvPicPr>
                  <pic:blipFill>
                    <a:blip r:embed="rId17"/>
                    <a:stretch>
                      <a:fillRect/>
                    </a:stretch>
                  </pic:blipFill>
                  <pic:spPr>
                    <a:xfrm>
                      <a:off x="0" y="0"/>
                      <a:ext cx="5760720" cy="3081594"/>
                    </a:xfrm>
                    <a:prstGeom prst="rect"/>
                  </pic:spPr>
                </pic:pic>
              </a:graphicData>
            </a:graphic>
          </wp:inline>
        </w:drawing>
      </w:r>
    </w:p>
    <w:p>
      <w:pPr>
        <w:spacing w:before="80" w:after="240"/>
        <w:jc w:val="center"/>
      </w:pPr>
      <w:r>
        <w:rPr>
          <w:rFonts w:ascii="Calibri" w:hAnsi="Calibri" w:eastAsia="Calibri"/>
          <w:b w:val="0"/>
          <w:i/>
          <w:color w:val="333333"/>
          <w:sz w:val="20"/>
        </w:rPr>
        <w:t>Figure 7. POST /v1/predictions — successful 200 response with predicted_role, confidence, role_ranking, explanation, and decision_note.</w:t>
      </w:r>
    </w:p>
    <w:p>
      <w:pPr>
        <w:spacing w:before="120" w:after="40"/>
        <w:jc w:val="center"/>
      </w:pPr>
      <w:r>
        <w:drawing>
          <wp:inline xmlns:a="http://schemas.openxmlformats.org/drawingml/2006/main" xmlns:pic="http://schemas.openxmlformats.org/drawingml/2006/picture">
            <wp:extent cx="5760720" cy="3118745"/>
            <wp:docPr id="8" name="Picture 8"/>
            <wp:cNvGraphicFramePr>
              <a:graphicFrameLocks noChangeAspect="1"/>
            </wp:cNvGraphicFramePr>
            <a:graphic>
              <a:graphicData uri="http://schemas.openxmlformats.org/drawingml/2006/picture">
                <pic:pic>
                  <pic:nvPicPr>
                    <pic:cNvPr id="0" name="API_PredictionMetrics.png"/>
                    <pic:cNvPicPr/>
                  </pic:nvPicPr>
                  <pic:blipFill>
                    <a:blip r:embed="rId18"/>
                    <a:stretch>
                      <a:fillRect/>
                    </a:stretch>
                  </pic:blipFill>
                  <pic:spPr>
                    <a:xfrm>
                      <a:off x="0" y="0"/>
                      <a:ext cx="5760720" cy="3118745"/>
                    </a:xfrm>
                    <a:prstGeom prst="rect"/>
                  </pic:spPr>
                </pic:pic>
              </a:graphicData>
            </a:graphic>
          </wp:inline>
        </w:drawing>
      </w:r>
    </w:p>
    <w:p>
      <w:pPr>
        <w:spacing w:before="80" w:after="240"/>
        <w:jc w:val="center"/>
      </w:pPr>
      <w:r>
        <w:rPr>
          <w:rFonts w:ascii="Calibri" w:hAnsi="Calibri" w:eastAsia="Calibri"/>
          <w:b w:val="0"/>
          <w:i/>
          <w:color w:val="333333"/>
          <w:sz w:val="20"/>
        </w:rPr>
        <w:t>Figure 8. GET /metrics — persisted model and data quality snapshot used for release evidence and UI sidebar metrics.</w:t>
      </w:r>
    </w:p>
    <w:p>
      <w:pPr>
        <w:spacing w:after="160"/>
      </w:pPr>
      <w:r>
        <w:rPr>
          <w:rFonts w:ascii="Calibri" w:hAnsi="Calibri" w:eastAsia="Calibri"/>
          <w:b w:val="0"/>
          <w:i w:val="0"/>
          <w:sz w:val="22"/>
        </w:rPr>
        <w:t>These screenshots, together with report/pytest_report.txt and report/lint_*.txt, constitute runtime evidence that the modular production package executes as described in Sections 5–8.</w:t>
      </w:r>
    </w:p>
    <w:p>
      <w:pPr>
        <w:pStyle w:val="Heading1"/>
        <w:keepNext/>
      </w:pPr>
      <w:r>
        <w:t>Appendix A - Canonical submission artifacts</w:t>
      </w:r>
    </w:p>
    <w:p>
      <w:pPr>
        <w:spacing w:before="0" w:after="120" w:line="264" w:lineRule="auto"/>
      </w:pPr>
      <w:r>
        <w:rPr>
          <w:rFonts w:ascii="Calibri" w:hAnsi="Calibri"/>
        </w:rPr>
        <w:t>The following files form the canonical submission. Earlier draft artifacts remain only as working history and are not required for grading.</w:t>
      </w:r>
    </w:p>
    <w:p>
      <w:r>
        <w:rPr>
          <w:rFonts w:ascii="Calibri" w:hAnsi="Calibri" w:eastAsia="Calibri"/>
          <w:b w:val="0"/>
          <w:i w:val="0"/>
          <w:sz w:val="22"/>
        </w:rPr>
        <w:t>Application screenshots used in this report are stored under Screenshots/ (Streamlit UI and FastAPI /docs execution evidence).</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trPr>
        <w:tc>
          <w:tcPr>
            <w:tcW w:type="dxa" w:w="34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Artifact</w:t>
            </w:r>
          </w:p>
        </w:tc>
        <w:tc>
          <w:tcPr>
            <w:tcW w:type="dxa" w:w="5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Purpose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Canonical implementation notebook</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Notebook with verified outputs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179.docx and 179.pdf</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Submission report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app/, ml/, quality/, services/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Production source package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Preserved Assignment I recruiter workflow</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tests/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35 automated tests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report/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Pytest, lint, and metric evidence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models/resume_classifier.joblib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Trained model artifact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README.md and requirements.txt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Setup and dependencies</w:t>
            </w:r>
          </w:p>
        </w:tc>
      </w:tr>
      <w:tr>
        <w:tc>
          <w:tcPr>
            <w:tcW w:type="dxa" w:w="3400"/>
          </w:tcPr>
          <w:p>
            <w:r>
              <w:t>Screenshots/</w:t>
            </w:r>
          </w:p>
        </w:tc>
        <w:tc>
          <w:tcPr>
            <w:tcW w:type="dxa" w:w="5960"/>
          </w:tcPr>
          <w:p>
            <w:r>
              <w:t>UI and API runtime screenshots embedded in Application screenshots section</w:t>
            </w:r>
          </w:p>
        </w:tc>
      </w:tr>
    </w:tbl>
    <w:p>
      <w:pPr>
        <w:spacing w:before="0" w:after="40" w:line="264" w:lineRule="auto"/>
      </w:pPr>
    </w:p>
    <w:p>
      <w:pPr>
        <w:pStyle w:val="Heading2"/>
        <w:keepNext/>
      </w:pPr>
      <w:r>
        <w:t>Final submission checklist</w:t>
      </w:r>
    </w:p>
    <w:tbl>
      <w:tblPr>
        <w:tblStyle w:val="TableGrid"/>
        <w:tblW w:type="dxa" w:w="9360"/>
        <w:jc w:val="left"/>
        <w:tblLayout w:type="fixed"/>
        <w:tblLook w:firstColumn="1" w:firstRow="1" w:lastColumn="0" w:lastRow="0" w:noHBand="0" w:noVBand="1" w:val="04A0"/>
        <w:tblInd w:w="120" w:type="dxa"/>
      </w:tblPr>
      <w:tblGrid>
        <w:gridCol w:w="4100"/>
        <w:gridCol w:w="5260"/>
      </w:tblGrid>
      <w:tr>
        <w:trPr>
          <w:tblHeader w:val="true"/>
          <w:cantSplit/>
        </w:trPr>
        <w:tc>
          <w:tcPr>
            <w:tcW w:type="dxa" w:w="4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Check</w:t>
            </w:r>
          </w:p>
        </w:tc>
        <w:tc>
          <w:tcPr>
            <w:tcW w:type="dxa" w:w="5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result</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Canonical notebook name</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Notebook execution</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 completes successfully</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Automated tests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35 passed</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Model/data quality gates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All required gates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Code quality</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Black, isort, and Flake8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Report render</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DOCX and PDF visually inspected page by page</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B6573"/>
        <w:sz w:val="17"/>
      </w:rPr>
      <w:t xml:space="preserve">Assignment II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Calibri" w:hAnsi="Calibri"/>
        <w:color w:val="5B6573"/>
        <w:sz w:val="17"/>
      </w:rPr>
      <w:t>AIMLCZG546 | Software Engineering for Machine Learning | Group 179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8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264" w:lineRule="auto"/>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
  <cp:revision>1</cp:revision>
  <dcterms:created xsi:type="dcterms:W3CDTF">2013-12-23T23:15:00Z</dcterms:created>
  <dcterms:modified xsi:type="dcterms:W3CDTF">2013-12-23T23:15:00Z</dcterms:modified>
  <cp:category/>
</cp:coreProperties>
</file>