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Calibri" w:hAnsi="Calibri"/>
          <w:b/>
          <w:color w:val="000000"/>
          <w:sz w:val="46"/>
        </w:rPr>
        <w:t>AI-Based Face Detection and Recognition System for Smart Campus Automation</w:t>
      </w:r>
    </w:p>
    <w:p>
      <w:pPr>
        <w:spacing w:before="40" w:after="360"/>
        <w:jc w:val="center"/>
      </w:pPr>
      <w:r>
        <w:rPr>
          <w:rFonts w:ascii="Calibri" w:hAnsi="Calibri"/>
          <w:b/>
          <w:color w:val="282828"/>
          <w:sz w:val="24"/>
        </w:rPr>
        <w:t>Comprehensive Project Report, End-to-End Architectural Workflows, Field Deployment Evidence &amp; Infrastructure Proposal</w:t>
      </w:r>
    </w:p>
    <w:tbl>
      <w:tblPr>
        <w:tblW w:type="auto" w:w="0"/>
        <w:jc w:val="center"/>
        <w:tblLook w:firstColumn="1" w:firstRow="1" w:lastColumn="0" w:lastRow="0" w:noHBand="0" w:noVBand="1" w:val="04A0"/>
      </w:tblPr>
      <w:tblGrid>
        <w:gridCol w:w="9360"/>
      </w:tblGrid>
      <w:tr>
        <w:tc>
          <w:tcPr>
            <w:tcW w:type="dxa" w:w="9360"/>
            <w:shd w:fill="F5F5F5"/>
            <w:tcMar>
              <w:top w:w="140" w:type="dxa"/>
              <w:bottom w:w="140" w:type="dxa"/>
              <w:left w:w="200" w:type="dxa"/>
              <w:right w:w="200" w:type="dxa"/>
            </w:tcMar>
            <w:tcBorders>
              <w:top w:val="none"/>
              <w:bottom w:val="none"/>
              <w:right w:val="none"/>
              <w:left w:val="single" w:sz="24" w:space="0" w:color="000000"/>
            </w:tcBorders>
          </w:tcPr>
          <w:p>
            <w:pPr>
              <w:spacing w:before="0" w:after="0" w:line="276" w:lineRule="auto"/>
            </w:pPr>
            <w:r>
              <w:rPr>
                <w:rFonts w:ascii="Calibri" w:hAnsi="Calibri"/>
                <w:b/>
                <w:color w:val="000000"/>
                <w:sz w:val="21"/>
              </w:rPr>
              <w:t>PROJECT METADATA &amp; INSTITUTIONAL PARTNERSHIP</w:t>
              <w:br/>
            </w:r>
            <w:r>
              <w:rPr>
                <w:rFonts w:ascii="Calibri" w:hAnsi="Calibri"/>
                <w:color w:val="282828"/>
                <w:sz w:val="20"/>
              </w:rPr>
              <w:t>Institution: Panipat Institute of Engineering and Technology (PIET), Samalkha, Haryana, India</w:t>
              <w:br/>
              <w:t>Key Infrastructure Partner &amp; GPU Sponsor: AICTE IDEA Lab, PIET</w:t>
              <w:br/>
              <w:t>Codebase Repository: https://github.com/prateek-boop/Face-Detection-</w:t>
              <w:br/>
              <w:t>Primary Target Deployment: Main Entrance Security Gates, Academic Auditoriums, and Event Venues</w:t>
              <w:br/>
              <w:t>Document Classification: Production-Hardened Engineering Whitepaper &amp; Hardware Proposal</w:t>
            </w:r>
          </w:p>
        </w:tc>
      </w:tr>
    </w:tbl>
    <w:p>
      <w:pPr>
        <w:spacing w:before="0" w:after="80"/>
      </w:pPr>
    </w:p>
    <w:p>
      <w:pPr>
        <w:keepNext/>
        <w:spacing w:before="400" w:after="120"/>
      </w:pPr>
      <w:r>
        <w:rPr>
          <w:rFonts w:ascii="Calibri" w:hAnsi="Calibri"/>
          <w:b/>
          <w:color w:val="000000"/>
          <w:sz w:val="30"/>
        </w:rPr>
        <w:t>1. Executive Summary</w:t>
      </w:r>
    </w:p>
    <w:p>
      <w:pPr>
        <w:spacing w:before="0" w:after="120" w:line="276" w:lineRule="auto"/>
      </w:pPr>
      <w:r>
        <w:rPr>
          <w:rFonts w:ascii="Calibri" w:hAnsi="Calibri"/>
          <w:color w:val="000000"/>
          <w:sz w:val="21"/>
        </w:rPr>
        <w:t>Manual verification and legacy biometric systems (e.g., fingerprint scanners or card swipe kiosks) fail dramatically in large-scale academic institutions during peak hours and high-traffic institutional gatherings. During events such as the annual PIET Fest, academic conferences, and semester examinations, lines exceed hundreds of students, causing severe throughput bottlenecks, human fatigue, and vulnerability to proxy attendance. To resolve these operational challenges, an in-house, high-throughput, edge-accelerated Face Detection, Tracking, and Recognition System was engineered, implemented, hardened, and field-tested across thousands of students.</w:t>
      </w:r>
    </w:p>
    <w:p>
      <w:pPr>
        <w:spacing w:before="0" w:after="120" w:line="276" w:lineRule="auto"/>
      </w:pPr>
      <w:r>
        <w:rPr>
          <w:rFonts w:ascii="Calibri" w:hAnsi="Calibri"/>
          <w:color w:val="000000"/>
          <w:sz w:val="21"/>
        </w:rPr>
        <w:t>The system couples a custom-trained deep learning face detector (MobileNetV2 backbone augmented with a Feature Pyramid Network) with an industry-standard deep biometric embedding model (InsightFace Buffalo_l ArcFace ResNet-50) and real-time Simple Online Realtime Tracking (SORT). It implements a decoupled asynchronous architecture maintaining 30–60 FPS live video display with sub-30ms deep neural network inference on dedicated GPU compute.</w:t>
      </w:r>
    </w:p>
    <w:tbl>
      <w:tblPr>
        <w:tblW w:type="auto" w:w="0"/>
        <w:jc w:val="center"/>
        <w:tblLook w:firstColumn="1" w:firstRow="1" w:lastColumn="0" w:lastRow="0" w:noHBand="0" w:noVBand="1" w:val="04A0"/>
      </w:tblPr>
      <w:tblGrid>
        <w:gridCol w:w="9360"/>
      </w:tblGrid>
      <w:tr>
        <w:tc>
          <w:tcPr>
            <w:tcW w:type="dxa" w:w="9360"/>
            <w:shd w:fill="F5F5F5"/>
            <w:tcMar>
              <w:top w:w="140" w:type="dxa"/>
              <w:bottom w:w="140" w:type="dxa"/>
              <w:left w:w="200" w:type="dxa"/>
              <w:right w:w="200" w:type="dxa"/>
            </w:tcMar>
            <w:tcBorders>
              <w:top w:val="none"/>
              <w:bottom w:val="none"/>
              <w:right w:val="none"/>
              <w:left w:val="single" w:sz="24" w:space="0" w:color="000000"/>
            </w:tcBorders>
          </w:tcPr>
          <w:p>
            <w:pPr>
              <w:spacing w:before="0" w:after="0" w:line="276" w:lineRule="auto"/>
            </w:pPr>
            <w:r>
              <w:rPr>
                <w:rFonts w:ascii="Calibri" w:hAnsi="Calibri"/>
                <w:b/>
                <w:color w:val="000000"/>
                <w:sz w:val="21"/>
              </w:rPr>
              <w:t>HARDWARE SPONSORSHIP: AICTE IDEA LAB</w:t>
              <w:br/>
            </w:r>
            <w:r>
              <w:rPr>
                <w:rFonts w:ascii="Calibri" w:hAnsi="Calibri"/>
                <w:color w:val="282828"/>
                <w:sz w:val="20"/>
              </w:rPr>
              <w:t>CORE SPONSORSHIP HIGHLIGHT:</w:t>
              <w:br/>
              <w:t>The dedicated High-Performance AI Inference Workstation powering this system—featuring the NVIDIA GeForce RTX 4070 SUPER GPU (12GB GDDR6X VRAM), valued at ₹85,000—is FULLY SPONSORED BY THE AICTE IDEA LAB (PIET). This critical institutional backing completely covers the most capital-intensive component of the infrastructure, allowing the current funding request to be optimized down to ₹95,000 solely for fixed camera mounts, edge IoT nodes, weatherproof enclosures, power backups, and compliance auditing.</w:t>
            </w:r>
          </w:p>
        </w:tc>
      </w:tr>
    </w:tbl>
    <w:p>
      <w:pPr>
        <w:spacing w:before="0" w:after="80"/>
      </w:pPr>
    </w:p>
    <w:p>
      <w:pPr>
        <w:spacing w:before="0" w:after="120" w:line="276" w:lineRule="auto"/>
      </w:pPr>
      <w:r>
        <w:rPr>
          <w:rFonts w:ascii="Calibri" w:hAnsi="Calibri"/>
          <w:color w:val="000000"/>
          <w:sz w:val="21"/>
        </w:rPr>
        <w:t>Key empirical milestones demonstrated by the operational system include:</w:t>
      </w:r>
    </w:p>
    <w:p>
      <w:pPr>
        <w:pStyle w:val="ListBullet"/>
        <w:spacing w:before="0" w:after="60" w:line="276" w:lineRule="auto"/>
      </w:pPr>
      <w:r>
        <w:rPr>
          <w:rFonts w:ascii="Calibri" w:hAnsi="Calibri"/>
          <w:b/>
          <w:color w:val="000000"/>
          <w:sz w:val="20"/>
        </w:rPr>
        <w:t xml:space="preserve">Scale of Enrolled Registry: </w:t>
      </w:r>
      <w:r>
        <w:rPr>
          <w:rFonts w:ascii="Calibri" w:hAnsi="Calibri"/>
          <w:color w:val="000000"/>
          <w:sz w:val="20"/>
        </w:rPr>
        <w:t>5,255 distinct student identities and 10,510 normalized 512-dimensional face embedding vectors enrolled and indexed in memory.</w:t>
      </w:r>
    </w:p>
    <w:p>
      <w:pPr>
        <w:pStyle w:val="ListBullet"/>
        <w:spacing w:before="0" w:after="60" w:line="276" w:lineRule="auto"/>
      </w:pPr>
      <w:r>
        <w:rPr>
          <w:rFonts w:ascii="Calibri" w:hAnsi="Calibri"/>
          <w:b/>
          <w:color w:val="000000"/>
          <w:sz w:val="20"/>
        </w:rPr>
        <w:t xml:space="preserve">Custom Face Detector Precision: </w:t>
      </w:r>
      <w:r>
        <w:rPr>
          <w:rFonts w:ascii="Calibri" w:hAnsi="Calibri"/>
          <w:color w:val="000000"/>
          <w:sz w:val="20"/>
        </w:rPr>
        <w:t>Achieved 81.27% mAP@0.5 on the benchmark WIDER FACE validation dataset (checkpoint epoch_0021_mAP_0.8127.pt).</w:t>
      </w:r>
    </w:p>
    <w:p>
      <w:pPr>
        <w:pStyle w:val="ListBullet"/>
        <w:spacing w:before="0" w:after="60" w:line="276" w:lineRule="auto"/>
      </w:pPr>
      <w:r>
        <w:rPr>
          <w:rFonts w:ascii="Calibri" w:hAnsi="Calibri"/>
          <w:b/>
          <w:color w:val="000000"/>
          <w:sz w:val="20"/>
        </w:rPr>
        <w:t xml:space="preserve">Field Deployment Validation: </w:t>
      </w:r>
      <w:r>
        <w:rPr>
          <w:rFonts w:ascii="Calibri" w:hAnsi="Calibri"/>
          <w:color w:val="000000"/>
          <w:sz w:val="20"/>
        </w:rPr>
        <w:t>1,332 verified student attendance transactions recorded in real-time to attendance.csv during live PIET Fest gate deployment.</w:t>
      </w:r>
    </w:p>
    <w:p>
      <w:pPr>
        <w:pStyle w:val="ListBullet"/>
        <w:spacing w:before="0" w:after="60" w:line="276" w:lineRule="auto"/>
      </w:pPr>
      <w:r>
        <w:rPr>
          <w:rFonts w:ascii="Calibri" w:hAnsi="Calibri"/>
          <w:b/>
          <w:color w:val="000000"/>
          <w:sz w:val="20"/>
        </w:rPr>
        <w:t xml:space="preserve">Visual Audit Trail: </w:t>
      </w:r>
      <w:r>
        <w:rPr>
          <w:rFonts w:ascii="Calibri" w:hAnsi="Calibri"/>
          <w:color w:val="000000"/>
          <w:sz w:val="20"/>
        </w:rPr>
        <w:t>3,315 real-time verification proof screenshots automatically captured with telemetry HUDs, bounding reticles, and timestamps (1,538 verified normal entries, 1,777 security re-entry alerts).</w:t>
      </w:r>
    </w:p>
    <w:p>
      <w:pPr>
        <w:pStyle w:val="ListBullet"/>
        <w:spacing w:before="0" w:after="60" w:line="276" w:lineRule="auto"/>
      </w:pPr>
      <w:r>
        <w:rPr>
          <w:rFonts w:ascii="Calibri" w:hAnsi="Calibri"/>
          <w:b/>
          <w:color w:val="000000"/>
          <w:sz w:val="20"/>
        </w:rPr>
        <w:t xml:space="preserve">Automated Anti-Passback Engine: </w:t>
      </w:r>
      <w:r>
        <w:rPr>
          <w:rFonts w:ascii="Calibri" w:hAnsi="Calibri"/>
          <w:color w:val="000000"/>
          <w:sz w:val="20"/>
        </w:rPr>
        <w:t>Configurable 20-minute temporal security boundary flagging re-entry attempts and anti-passback violations in real-time.</w:t>
      </w:r>
    </w:p>
    <w:p>
      <w:pPr>
        <w:pStyle w:val="ListBullet"/>
        <w:spacing w:before="0" w:after="60" w:line="276" w:lineRule="auto"/>
      </w:pPr>
      <w:r>
        <w:rPr>
          <w:rFonts w:ascii="Calibri" w:hAnsi="Calibri"/>
          <w:b/>
          <w:color w:val="000000"/>
          <w:sz w:val="20"/>
        </w:rPr>
        <w:t xml:space="preserve">Real-Time UI Performance: </w:t>
      </w:r>
      <w:r>
        <w:rPr>
          <w:rFonts w:ascii="Calibri" w:hAnsi="Calibri"/>
          <w:color w:val="000000"/>
          <w:sz w:val="20"/>
        </w:rPr>
        <w:t>Decoupled producer-consumer multi-threaded architecture ensuring zero video freeze or frame drop during GPU inference spikes.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3120"/>
        <w:gridCol w:w="3120"/>
        <w:gridCol w:w="3120"/>
      </w:tblGrid>
      <w:tr>
        <w:tc>
          <w:tcPr>
            <w:tcW w:type="dxa" w:w="3168"/>
            <w:shd w:fill="000000"/>
            <w:tcMar>
              <w:top w:w="120" w:type="dxa"/>
              <w:bottom w:w="120" w:type="dxa"/>
              <w:left w:w="150" w:type="dxa"/>
              <w:right w:w="150" w:type="dxa"/>
            </w:tcMar>
          </w:tcPr>
          <w:p>
            <w:pPr>
              <w:spacing w:before="0" w:after="0"/>
            </w:pPr>
            <w:r>
              <w:rPr>
                <w:rFonts w:ascii="Calibri" w:hAnsi="Calibri"/>
                <w:b/>
                <w:color w:val="FFFFFF"/>
                <w:sz w:val="19"/>
              </w:rPr>
              <w:t>System Metric / Attribute</w:t>
            </w:r>
          </w:p>
        </w:tc>
        <w:tc>
          <w:tcPr>
            <w:tcW w:type="dxa" w:w="3168"/>
            <w:shd w:fill="000000"/>
            <w:tcMar>
              <w:top w:w="120" w:type="dxa"/>
              <w:bottom w:w="120" w:type="dxa"/>
              <w:left w:w="150" w:type="dxa"/>
              <w:right w:w="150" w:type="dxa"/>
            </w:tcMar>
          </w:tcPr>
          <w:p>
            <w:pPr>
              <w:spacing w:before="0" w:after="0"/>
            </w:pPr>
            <w:r>
              <w:rPr>
                <w:rFonts w:ascii="Calibri" w:hAnsi="Calibri"/>
                <w:b/>
                <w:color w:val="FFFFFF"/>
                <w:sz w:val="19"/>
              </w:rPr>
              <w:t>Project Empirical Value</w:t>
            </w:r>
          </w:p>
        </w:tc>
        <w:tc>
          <w:tcPr>
            <w:tcW w:type="dxa" w:w="3024"/>
            <w:shd w:fill="000000"/>
            <w:tcMar>
              <w:top w:w="120" w:type="dxa"/>
              <w:bottom w:w="120" w:type="dxa"/>
              <w:left w:w="150" w:type="dxa"/>
              <w:right w:w="150" w:type="dxa"/>
            </w:tcMar>
          </w:tcPr>
          <w:p>
            <w:pPr>
              <w:spacing w:before="0" w:after="0"/>
            </w:pPr>
            <w:r>
              <w:rPr>
                <w:rFonts w:ascii="Calibri" w:hAnsi="Calibri"/>
                <w:b/>
                <w:color w:val="FFFFFF"/>
                <w:sz w:val="19"/>
              </w:rPr>
              <w:t>Significance for Campus Governance</w:t>
            </w:r>
          </w:p>
        </w:tc>
      </w:tr>
      <w:tr>
        <w:tc>
          <w:tcPr>
            <w:tcW w:type="dxa" w:w="3168"/>
            <w:shd w:fill="FFFFFF"/>
            <w:tcMar>
              <w:top w:w="90" w:type="dxa"/>
              <w:bottom w:w="90" w:type="dxa"/>
              <w:left w:w="150" w:type="dxa"/>
              <w:right w:w="150" w:type="dxa"/>
            </w:tcMar>
          </w:tcPr>
          <w:p>
            <w:pPr>
              <w:spacing w:before="0" w:after="0"/>
            </w:pPr>
            <w:r>
              <w:rPr>
                <w:rFonts w:ascii="Calibri" w:hAnsi="Calibri"/>
                <w:color w:val="000000"/>
                <w:sz w:val="18"/>
              </w:rPr>
              <w:t>Detector Model Architecture</w:t>
            </w:r>
          </w:p>
        </w:tc>
        <w:tc>
          <w:tcPr>
            <w:tcW w:type="dxa" w:w="3168"/>
            <w:shd w:fill="FFFFFF"/>
            <w:tcMar>
              <w:top w:w="90" w:type="dxa"/>
              <w:bottom w:w="90" w:type="dxa"/>
              <w:left w:w="150" w:type="dxa"/>
              <w:right w:w="150" w:type="dxa"/>
            </w:tcMar>
          </w:tcPr>
          <w:p>
            <w:pPr>
              <w:spacing w:before="0" w:after="0"/>
            </w:pPr>
            <w:r>
              <w:rPr>
                <w:rFonts w:ascii="Calibri" w:hAnsi="Calibri"/>
                <w:color w:val="000000"/>
                <w:sz w:val="18"/>
              </w:rPr>
              <w:t>MobileNetV2 + FPN (256-ch) + K-means Anchors</w:t>
            </w:r>
          </w:p>
        </w:tc>
        <w:tc>
          <w:tcPr>
            <w:tcW w:type="dxa" w:w="3024"/>
            <w:shd w:fill="FFFFFF"/>
            <w:tcMar>
              <w:top w:w="90" w:type="dxa"/>
              <w:bottom w:w="90" w:type="dxa"/>
              <w:left w:w="150" w:type="dxa"/>
              <w:right w:w="150" w:type="dxa"/>
            </w:tcMar>
          </w:tcPr>
          <w:p>
            <w:pPr>
              <w:spacing w:before="0" w:after="0"/>
            </w:pPr>
            <w:r>
              <w:rPr>
                <w:rFonts w:ascii="Calibri" w:hAnsi="Calibri"/>
                <w:color w:val="000000"/>
                <w:sz w:val="18"/>
              </w:rPr>
              <w:t>Lightweight, high-speed, multi-scale detection of tiny faces</w:t>
            </w:r>
          </w:p>
        </w:tc>
      </w:tr>
      <w:tr>
        <w:tc>
          <w:tcPr>
            <w:tcW w:type="dxa" w:w="3168"/>
            <w:shd w:fill="FAFAFA"/>
            <w:tcMar>
              <w:top w:w="90" w:type="dxa"/>
              <w:bottom w:w="90" w:type="dxa"/>
              <w:left w:w="150" w:type="dxa"/>
              <w:right w:w="150" w:type="dxa"/>
            </w:tcMar>
          </w:tcPr>
          <w:p>
            <w:pPr>
              <w:spacing w:before="0" w:after="0"/>
            </w:pPr>
            <w:r>
              <w:rPr>
                <w:rFonts w:ascii="Calibri" w:hAnsi="Calibri"/>
                <w:color w:val="000000"/>
                <w:sz w:val="18"/>
              </w:rPr>
              <w:t>Detection Accuracy (WIDER FACE)</w:t>
            </w:r>
          </w:p>
        </w:tc>
        <w:tc>
          <w:tcPr>
            <w:tcW w:type="dxa" w:w="3168"/>
            <w:shd w:fill="FAFAFA"/>
            <w:tcMar>
              <w:top w:w="90" w:type="dxa"/>
              <w:bottom w:w="90" w:type="dxa"/>
              <w:left w:w="150" w:type="dxa"/>
              <w:right w:w="150" w:type="dxa"/>
            </w:tcMar>
          </w:tcPr>
          <w:p>
            <w:pPr>
              <w:spacing w:before="0" w:after="0"/>
            </w:pPr>
            <w:r>
              <w:rPr>
                <w:rFonts w:ascii="Calibri" w:hAnsi="Calibri"/>
                <w:color w:val="000000"/>
                <w:sz w:val="18"/>
              </w:rPr>
              <w:t>81.27% mAP@0.5 (Epoch 21)</w:t>
            </w:r>
          </w:p>
        </w:tc>
        <w:tc>
          <w:tcPr>
            <w:tcW w:type="dxa" w:w="3024"/>
            <w:shd w:fill="FAFAFA"/>
            <w:tcMar>
              <w:top w:w="90" w:type="dxa"/>
              <w:bottom w:w="90" w:type="dxa"/>
              <w:left w:w="150" w:type="dxa"/>
              <w:right w:w="150" w:type="dxa"/>
            </w:tcMar>
          </w:tcPr>
          <w:p>
            <w:pPr>
              <w:spacing w:before="0" w:after="0"/>
            </w:pPr>
            <w:r>
              <w:rPr>
                <w:rFonts w:ascii="Calibri" w:hAnsi="Calibri"/>
                <w:color w:val="000000"/>
                <w:sz w:val="18"/>
              </w:rPr>
              <w:t>Superb recall across crowded, occluded, and tilted faces</w:t>
            </w:r>
          </w:p>
        </w:tc>
      </w:tr>
      <w:tr>
        <w:tc>
          <w:tcPr>
            <w:tcW w:type="dxa" w:w="3168"/>
            <w:shd w:fill="FFFFFF"/>
            <w:tcMar>
              <w:top w:w="90" w:type="dxa"/>
              <w:bottom w:w="90" w:type="dxa"/>
              <w:left w:w="150" w:type="dxa"/>
              <w:right w:w="150" w:type="dxa"/>
            </w:tcMar>
          </w:tcPr>
          <w:p>
            <w:pPr>
              <w:spacing w:before="0" w:after="0"/>
            </w:pPr>
            <w:r>
              <w:rPr>
                <w:rFonts w:ascii="Calibri" w:hAnsi="Calibri"/>
                <w:color w:val="000000"/>
                <w:sz w:val="18"/>
              </w:rPr>
              <w:t>Recognition Embedding Model</w:t>
            </w:r>
          </w:p>
        </w:tc>
        <w:tc>
          <w:tcPr>
            <w:tcW w:type="dxa" w:w="3168"/>
            <w:shd w:fill="FFFFFF"/>
            <w:tcMar>
              <w:top w:w="90" w:type="dxa"/>
              <w:bottom w:w="90" w:type="dxa"/>
              <w:left w:w="150" w:type="dxa"/>
              <w:right w:w="150" w:type="dxa"/>
            </w:tcMar>
          </w:tcPr>
          <w:p>
            <w:pPr>
              <w:spacing w:before="0" w:after="0"/>
            </w:pPr>
            <w:r>
              <w:rPr>
                <w:rFonts w:ascii="Calibri" w:hAnsi="Calibri"/>
                <w:color w:val="000000"/>
                <w:sz w:val="18"/>
              </w:rPr>
              <w:t>InsightFace Buffalo_l (ArcFace ResNet-50)</w:t>
            </w:r>
          </w:p>
        </w:tc>
        <w:tc>
          <w:tcPr>
            <w:tcW w:type="dxa" w:w="3024"/>
            <w:shd w:fill="FFFFFF"/>
            <w:tcMar>
              <w:top w:w="90" w:type="dxa"/>
              <w:bottom w:w="90" w:type="dxa"/>
              <w:left w:w="150" w:type="dxa"/>
              <w:right w:w="150" w:type="dxa"/>
            </w:tcMar>
          </w:tcPr>
          <w:p>
            <w:pPr>
              <w:spacing w:before="0" w:after="0"/>
            </w:pPr>
            <w:r>
              <w:rPr>
                <w:rFonts w:ascii="Calibri" w:hAnsi="Calibri"/>
                <w:color w:val="000000"/>
                <w:sz w:val="18"/>
              </w:rPr>
              <w:t>512-dimensional normalized hyperspherical embedding space</w:t>
            </w:r>
          </w:p>
        </w:tc>
      </w:tr>
      <w:tr>
        <w:tc>
          <w:tcPr>
            <w:tcW w:type="dxa" w:w="3168"/>
            <w:shd w:fill="FAFAFA"/>
            <w:tcMar>
              <w:top w:w="90" w:type="dxa"/>
              <w:bottom w:w="90" w:type="dxa"/>
              <w:left w:w="150" w:type="dxa"/>
              <w:right w:w="150" w:type="dxa"/>
            </w:tcMar>
          </w:tcPr>
          <w:p>
            <w:pPr>
              <w:spacing w:before="0" w:after="0"/>
            </w:pPr>
            <w:r>
              <w:rPr>
                <w:rFonts w:ascii="Calibri" w:hAnsi="Calibri"/>
                <w:color w:val="000000"/>
                <w:sz w:val="18"/>
              </w:rPr>
              <w:t>Active Enrolled Database</w:t>
            </w:r>
          </w:p>
        </w:tc>
        <w:tc>
          <w:tcPr>
            <w:tcW w:type="dxa" w:w="3168"/>
            <w:shd w:fill="FAFAFA"/>
            <w:tcMar>
              <w:top w:w="90" w:type="dxa"/>
              <w:bottom w:w="90" w:type="dxa"/>
              <w:left w:w="150" w:type="dxa"/>
              <w:right w:w="150" w:type="dxa"/>
            </w:tcMar>
          </w:tcPr>
          <w:p>
            <w:pPr>
              <w:spacing w:before="0" w:after="0"/>
            </w:pPr>
            <w:r>
              <w:rPr>
                <w:rFonts w:ascii="Calibri" w:hAnsi="Calibri"/>
                <w:color w:val="000000"/>
                <w:sz w:val="18"/>
              </w:rPr>
              <w:t>5,255 Students (10,510 Embeddings)</w:t>
            </w:r>
          </w:p>
        </w:tc>
        <w:tc>
          <w:tcPr>
            <w:tcW w:type="dxa" w:w="3024"/>
            <w:shd w:fill="FAFAFA"/>
            <w:tcMar>
              <w:top w:w="90" w:type="dxa"/>
              <w:bottom w:w="90" w:type="dxa"/>
              <w:left w:w="150" w:type="dxa"/>
              <w:right w:w="150" w:type="dxa"/>
            </w:tcMar>
          </w:tcPr>
          <w:p>
            <w:pPr>
              <w:spacing w:before="0" w:after="0"/>
            </w:pPr>
            <w:r>
              <w:rPr>
                <w:rFonts w:ascii="Calibri" w:hAnsi="Calibri"/>
                <w:color w:val="000000"/>
                <w:sz w:val="18"/>
              </w:rPr>
              <w:t>Covers entire multi-department student population of PIET</w:t>
            </w:r>
          </w:p>
        </w:tc>
      </w:tr>
      <w:tr>
        <w:tc>
          <w:tcPr>
            <w:tcW w:type="dxa" w:w="3168"/>
            <w:shd w:fill="FFFFFF"/>
            <w:tcMar>
              <w:top w:w="90" w:type="dxa"/>
              <w:bottom w:w="90" w:type="dxa"/>
              <w:left w:w="150" w:type="dxa"/>
              <w:right w:w="150" w:type="dxa"/>
            </w:tcMar>
          </w:tcPr>
          <w:p>
            <w:pPr>
              <w:spacing w:before="0" w:after="0"/>
            </w:pPr>
            <w:r>
              <w:rPr>
                <w:rFonts w:ascii="Calibri" w:hAnsi="Calibri"/>
                <w:color w:val="000000"/>
                <w:sz w:val="18"/>
              </w:rPr>
              <w:t>Inference Acceleration</w:t>
            </w:r>
          </w:p>
        </w:tc>
        <w:tc>
          <w:tcPr>
            <w:tcW w:type="dxa" w:w="3168"/>
            <w:shd w:fill="FFFFFF"/>
            <w:tcMar>
              <w:top w:w="90" w:type="dxa"/>
              <w:bottom w:w="90" w:type="dxa"/>
              <w:left w:w="150" w:type="dxa"/>
              <w:right w:w="150" w:type="dxa"/>
            </w:tcMar>
          </w:tcPr>
          <w:p>
            <w:pPr>
              <w:spacing w:before="0" w:after="0"/>
            </w:pPr>
            <w:r>
              <w:rPr>
                <w:rFonts w:ascii="Calibri" w:hAnsi="Calibri"/>
                <w:color w:val="000000"/>
                <w:sz w:val="18"/>
              </w:rPr>
              <w:t>NVIDIA RTX 4070 SUPER (CUDA FP16 Half-Precision)</w:t>
            </w:r>
          </w:p>
        </w:tc>
        <w:tc>
          <w:tcPr>
            <w:tcW w:type="dxa" w:w="3024"/>
            <w:shd w:fill="FFFFFF"/>
            <w:tcMar>
              <w:top w:w="90" w:type="dxa"/>
              <w:bottom w:w="90" w:type="dxa"/>
              <w:left w:w="150" w:type="dxa"/>
              <w:right w:w="150" w:type="dxa"/>
            </w:tcMar>
          </w:tcPr>
          <w:p>
            <w:pPr>
              <w:spacing w:before="0" w:after="0"/>
            </w:pPr>
            <w:r>
              <w:rPr>
                <w:rFonts w:ascii="Calibri" w:hAnsi="Calibri"/>
                <w:color w:val="000000"/>
                <w:sz w:val="18"/>
              </w:rPr>
              <w:t>Sponsored by AICTE IDEA Lab (Valued at ₹85,000)</w:t>
            </w:r>
          </w:p>
        </w:tc>
      </w:tr>
      <w:tr>
        <w:tc>
          <w:tcPr>
            <w:tcW w:type="dxa" w:w="3168"/>
            <w:shd w:fill="FAFAFA"/>
            <w:tcMar>
              <w:top w:w="90" w:type="dxa"/>
              <w:bottom w:w="90" w:type="dxa"/>
              <w:left w:w="150" w:type="dxa"/>
              <w:right w:w="150" w:type="dxa"/>
            </w:tcMar>
          </w:tcPr>
          <w:p>
            <w:pPr>
              <w:spacing w:before="0" w:after="0"/>
            </w:pPr>
            <w:r>
              <w:rPr>
                <w:rFonts w:ascii="Calibri" w:hAnsi="Calibri"/>
                <w:color w:val="000000"/>
                <w:sz w:val="18"/>
              </w:rPr>
              <w:t>Live Camera Resolution &amp; FPS</w:t>
            </w:r>
          </w:p>
        </w:tc>
        <w:tc>
          <w:tcPr>
            <w:tcW w:type="dxa" w:w="3168"/>
            <w:shd w:fill="FAFAFA"/>
            <w:tcMar>
              <w:top w:w="90" w:type="dxa"/>
              <w:bottom w:w="90" w:type="dxa"/>
              <w:left w:w="150" w:type="dxa"/>
              <w:right w:w="150" w:type="dxa"/>
            </w:tcMar>
          </w:tcPr>
          <w:p>
            <w:pPr>
              <w:spacing w:before="0" w:after="0"/>
            </w:pPr>
            <w:r>
              <w:rPr>
                <w:rFonts w:ascii="Calibri" w:hAnsi="Calibri"/>
                <w:color w:val="000000"/>
                <w:sz w:val="18"/>
              </w:rPr>
              <w:t>1280x720 HD @ 30–60 FPS display rate</w:t>
            </w:r>
          </w:p>
        </w:tc>
        <w:tc>
          <w:tcPr>
            <w:tcW w:type="dxa" w:w="3024"/>
            <w:shd w:fill="FAFAFA"/>
            <w:tcMar>
              <w:top w:w="90" w:type="dxa"/>
              <w:bottom w:w="90" w:type="dxa"/>
              <w:left w:w="150" w:type="dxa"/>
              <w:right w:w="150" w:type="dxa"/>
            </w:tcMar>
          </w:tcPr>
          <w:p>
            <w:pPr>
              <w:spacing w:before="0" w:after="0"/>
            </w:pPr>
            <w:r>
              <w:rPr>
                <w:rFonts w:ascii="Calibri" w:hAnsi="Calibri"/>
                <w:color w:val="000000"/>
                <w:sz w:val="18"/>
              </w:rPr>
              <w:t>Zero perceptual lag; smooth live operator telemetry</w:t>
            </w:r>
          </w:p>
        </w:tc>
      </w:tr>
      <w:tr>
        <w:tc>
          <w:tcPr>
            <w:tcW w:type="dxa" w:w="3168"/>
            <w:shd w:fill="FFFFFF"/>
            <w:tcMar>
              <w:top w:w="90" w:type="dxa"/>
              <w:bottom w:w="90" w:type="dxa"/>
              <w:left w:w="150" w:type="dxa"/>
              <w:right w:w="150" w:type="dxa"/>
            </w:tcMar>
          </w:tcPr>
          <w:p>
            <w:pPr>
              <w:spacing w:before="0" w:after="0"/>
            </w:pPr>
            <w:r>
              <w:rPr>
                <w:rFonts w:ascii="Calibri" w:hAnsi="Calibri"/>
                <w:color w:val="000000"/>
                <w:sz w:val="18"/>
              </w:rPr>
              <w:t>Live Verification Latency</w:t>
            </w:r>
          </w:p>
        </w:tc>
        <w:tc>
          <w:tcPr>
            <w:tcW w:type="dxa" w:w="3168"/>
            <w:shd w:fill="FFFFFF"/>
            <w:tcMar>
              <w:top w:w="90" w:type="dxa"/>
              <w:bottom w:w="90" w:type="dxa"/>
              <w:left w:w="150" w:type="dxa"/>
              <w:right w:w="150" w:type="dxa"/>
            </w:tcMar>
          </w:tcPr>
          <w:p>
            <w:pPr>
              <w:spacing w:before="0" w:after="0"/>
            </w:pPr>
            <w:r>
              <w:rPr>
                <w:rFonts w:ascii="Calibri" w:hAnsi="Calibri"/>
                <w:color w:val="000000"/>
                <w:sz w:val="18"/>
              </w:rPr>
              <w:t>18 ms to 28 ms end-to-end GPU inference</w:t>
            </w:r>
          </w:p>
        </w:tc>
        <w:tc>
          <w:tcPr>
            <w:tcW w:type="dxa" w:w="3024"/>
            <w:shd w:fill="FFFFFF"/>
            <w:tcMar>
              <w:top w:w="90" w:type="dxa"/>
              <w:bottom w:w="90" w:type="dxa"/>
              <w:left w:w="150" w:type="dxa"/>
              <w:right w:w="150" w:type="dxa"/>
            </w:tcMar>
          </w:tcPr>
          <w:p>
            <w:pPr>
              <w:spacing w:before="0" w:after="0"/>
            </w:pPr>
            <w:r>
              <w:rPr>
                <w:rFonts w:ascii="Calibri" w:hAnsi="Calibri"/>
                <w:color w:val="000000"/>
                <w:sz w:val="18"/>
              </w:rPr>
              <w:t>Instantaneous identity badge rendering at pedestrian speed</w:t>
            </w:r>
          </w:p>
        </w:tc>
      </w:tr>
      <w:tr>
        <w:tc>
          <w:tcPr>
            <w:tcW w:type="dxa" w:w="3168"/>
            <w:shd w:fill="FAFAFA"/>
            <w:tcMar>
              <w:top w:w="90" w:type="dxa"/>
              <w:bottom w:w="90" w:type="dxa"/>
              <w:left w:w="150" w:type="dxa"/>
              <w:right w:w="150" w:type="dxa"/>
            </w:tcMar>
          </w:tcPr>
          <w:p>
            <w:pPr>
              <w:spacing w:before="0" w:after="0"/>
            </w:pPr>
            <w:r>
              <w:rPr>
                <w:rFonts w:ascii="Calibri" w:hAnsi="Calibri"/>
                <w:color w:val="000000"/>
                <w:sz w:val="18"/>
              </w:rPr>
              <w:t>Real-World Fest Records</w:t>
            </w:r>
          </w:p>
        </w:tc>
        <w:tc>
          <w:tcPr>
            <w:tcW w:type="dxa" w:w="3168"/>
            <w:shd w:fill="FAFAFA"/>
            <w:tcMar>
              <w:top w:w="90" w:type="dxa"/>
              <w:bottom w:w="90" w:type="dxa"/>
              <w:left w:w="150" w:type="dxa"/>
              <w:right w:w="150" w:type="dxa"/>
            </w:tcMar>
          </w:tcPr>
          <w:p>
            <w:pPr>
              <w:spacing w:before="0" w:after="0"/>
            </w:pPr>
            <w:r>
              <w:rPr>
                <w:rFonts w:ascii="Calibri" w:hAnsi="Calibri"/>
                <w:color w:val="000000"/>
                <w:sz w:val="18"/>
              </w:rPr>
              <w:t>1,332 Attendance logs | 3,315 Audit Screenshots</w:t>
            </w:r>
          </w:p>
        </w:tc>
        <w:tc>
          <w:tcPr>
            <w:tcW w:type="dxa" w:w="3024"/>
            <w:shd w:fill="FAFAFA"/>
            <w:tcMar>
              <w:top w:w="90" w:type="dxa"/>
              <w:bottom w:w="90" w:type="dxa"/>
              <w:left w:w="150" w:type="dxa"/>
              <w:right w:w="150" w:type="dxa"/>
            </w:tcMar>
          </w:tcPr>
          <w:p>
            <w:pPr>
              <w:spacing w:before="0" w:after="0"/>
            </w:pPr>
            <w:r>
              <w:rPr>
                <w:rFonts w:ascii="Calibri" w:hAnsi="Calibri"/>
                <w:color w:val="000000"/>
                <w:sz w:val="18"/>
              </w:rPr>
              <w:t>Empirically verified during real campus events</w:t>
            </w:r>
          </w:p>
        </w:tc>
      </w:tr>
      <w:tr>
        <w:tc>
          <w:tcPr>
            <w:tcW w:type="dxa" w:w="3168"/>
            <w:shd w:fill="FFFFFF"/>
            <w:tcMar>
              <w:top w:w="90" w:type="dxa"/>
              <w:bottom w:w="90" w:type="dxa"/>
              <w:left w:w="150" w:type="dxa"/>
              <w:right w:w="150" w:type="dxa"/>
            </w:tcMar>
          </w:tcPr>
          <w:p>
            <w:pPr>
              <w:spacing w:before="0" w:after="0"/>
            </w:pPr>
            <w:r>
              <w:rPr>
                <w:rFonts w:ascii="Calibri" w:hAnsi="Calibri"/>
                <w:color w:val="000000"/>
                <w:sz w:val="18"/>
              </w:rPr>
              <w:t>Security Protocol</w:t>
            </w:r>
          </w:p>
        </w:tc>
        <w:tc>
          <w:tcPr>
            <w:tcW w:type="dxa" w:w="3168"/>
            <w:shd w:fill="FFFFFF"/>
            <w:tcMar>
              <w:top w:w="90" w:type="dxa"/>
              <w:bottom w:w="90" w:type="dxa"/>
              <w:left w:w="150" w:type="dxa"/>
              <w:right w:w="150" w:type="dxa"/>
            </w:tcMar>
          </w:tcPr>
          <w:p>
            <w:pPr>
              <w:spacing w:before="0" w:after="0"/>
            </w:pPr>
            <w:r>
              <w:rPr>
                <w:rFonts w:ascii="Calibri" w:hAnsi="Calibri"/>
                <w:color w:val="000000"/>
                <w:sz w:val="18"/>
              </w:rPr>
              <w:t>Anti-Passback Engine (20-min Re-entry alert)</w:t>
            </w:r>
          </w:p>
        </w:tc>
        <w:tc>
          <w:tcPr>
            <w:tcW w:type="dxa" w:w="3024"/>
            <w:shd w:fill="FFFFFF"/>
            <w:tcMar>
              <w:top w:w="90" w:type="dxa"/>
              <w:bottom w:w="90" w:type="dxa"/>
              <w:left w:w="150" w:type="dxa"/>
              <w:right w:w="150" w:type="dxa"/>
            </w:tcMar>
          </w:tcPr>
          <w:p>
            <w:pPr>
              <w:spacing w:before="0" w:after="0"/>
            </w:pPr>
            <w:r>
              <w:rPr>
                <w:rFonts w:ascii="Calibri" w:hAnsi="Calibri"/>
                <w:color w:val="000000"/>
                <w:sz w:val="18"/>
              </w:rPr>
              <w:t>Prevents unauthorized exits, re-entries, and proxy badges</w:t>
            </w:r>
          </w:p>
        </w:tc>
      </w:tr>
    </w:tbl>
    <w:p>
      <w:pPr>
        <w:spacing w:before="0" w:after="120"/>
      </w:pPr>
    </w:p>
    <w:p>
      <w:pPr>
        <w:keepNext/>
        <w:spacing w:before="400" w:after="120"/>
      </w:pPr>
      <w:r>
        <w:rPr>
          <w:rFonts w:ascii="Calibri" w:hAnsi="Calibri"/>
          <w:b/>
          <w:color w:val="000000"/>
          <w:sz w:val="30"/>
        </w:rPr>
        <w:t>2. Problem Statement &amp; Operational Challenges</w:t>
      </w:r>
    </w:p>
    <w:p>
      <w:pPr>
        <w:keepNext/>
        <w:spacing w:before="280" w:after="80"/>
      </w:pPr>
      <w:r>
        <w:rPr>
          <w:rFonts w:ascii="Calibri" w:hAnsi="Calibri"/>
          <w:b/>
          <w:color w:val="000000"/>
          <w:sz w:val="25"/>
        </w:rPr>
        <w:t>2.1 The Operational Bottleneck of Large-Scale Campus Gatherings</w:t>
      </w:r>
    </w:p>
    <w:p>
      <w:pPr>
        <w:spacing w:before="0" w:after="120" w:line="276" w:lineRule="auto"/>
      </w:pPr>
      <w:r>
        <w:rPr>
          <w:rFonts w:ascii="Calibri" w:hAnsi="Calibri"/>
          <w:color w:val="000000"/>
          <w:sz w:val="21"/>
        </w:rPr>
        <w:t>Educational institutions manage thousands of students transiting through access gates daily. During high-density events—such as the annual technical and cultural fest (PIET Fest), campus placement drives, and central convocation—traditional attendance and entry verification systems break down completely:</w:t>
      </w:r>
    </w:p>
    <w:p>
      <w:pPr>
        <w:pStyle w:val="ListBullet"/>
        <w:spacing w:before="0" w:after="60" w:line="276" w:lineRule="auto"/>
      </w:pPr>
      <w:r>
        <w:rPr>
          <w:rFonts w:ascii="Calibri" w:hAnsi="Calibri"/>
          <w:b/>
          <w:color w:val="000000"/>
          <w:sz w:val="20"/>
        </w:rPr>
        <w:t xml:space="preserve">Human Verification Latency: </w:t>
      </w:r>
      <w:r>
        <w:rPr>
          <w:rFonts w:ascii="Calibri" w:hAnsi="Calibri"/>
          <w:color w:val="000000"/>
          <w:sz w:val="20"/>
        </w:rPr>
        <w:t>Manual roll-call lists and physical ID checking create massive queues, causing delays of 30 to 45 minutes at entry gates.</w:t>
      </w:r>
    </w:p>
    <w:p>
      <w:pPr>
        <w:pStyle w:val="ListBullet"/>
        <w:spacing w:before="0" w:after="60" w:line="276" w:lineRule="auto"/>
      </w:pPr>
      <w:r>
        <w:rPr>
          <w:rFonts w:ascii="Calibri" w:hAnsi="Calibri"/>
          <w:b/>
          <w:color w:val="000000"/>
          <w:sz w:val="20"/>
        </w:rPr>
        <w:t xml:space="preserve">Card Sharing &amp; Proxy Entry: </w:t>
      </w:r>
      <w:r>
        <w:rPr>
          <w:rFonts w:ascii="Calibri" w:hAnsi="Calibri"/>
          <w:color w:val="000000"/>
          <w:sz w:val="20"/>
        </w:rPr>
        <w:t>Students can easily share physical RFID cards, barcodes, or QR passes with unregistered individuals, completely defeating access security.</w:t>
      </w:r>
    </w:p>
    <w:p>
      <w:pPr>
        <w:pStyle w:val="ListBullet"/>
        <w:spacing w:before="0" w:after="60" w:line="276" w:lineRule="auto"/>
      </w:pPr>
      <w:r>
        <w:rPr>
          <w:rFonts w:ascii="Calibri" w:hAnsi="Calibri"/>
          <w:b/>
          <w:color w:val="000000"/>
          <w:sz w:val="20"/>
        </w:rPr>
        <w:t xml:space="preserve">Anti-Passback Vulnerability: </w:t>
      </w:r>
      <w:r>
        <w:rPr>
          <w:rFonts w:ascii="Calibri" w:hAnsi="Calibri"/>
          <w:color w:val="000000"/>
          <w:sz w:val="20"/>
        </w:rPr>
        <w:t>Manual security personnel cannot track whether a student who entered at 2:00 PM exited through a side gate and re-entered at 2:30 PM with unauthorized guests.</w:t>
      </w:r>
    </w:p>
    <w:p>
      <w:pPr>
        <w:pStyle w:val="ListBullet"/>
        <w:spacing w:before="0" w:after="60" w:line="276" w:lineRule="auto"/>
      </w:pPr>
      <w:r>
        <w:rPr>
          <w:rFonts w:ascii="Calibri" w:hAnsi="Calibri"/>
          <w:b/>
          <w:color w:val="000000"/>
          <w:sz w:val="20"/>
        </w:rPr>
        <w:t xml:space="preserve">Absence of Verification Proof: </w:t>
      </w:r>
      <w:r>
        <w:rPr>
          <w:rFonts w:ascii="Calibri" w:hAnsi="Calibri"/>
          <w:color w:val="000000"/>
          <w:sz w:val="20"/>
        </w:rPr>
        <w:t>Manual paper rosters offer zero cryptographic or photographic auditability if a dispute arises regarding attendance.</w:t>
      </w:r>
    </w:p>
    <w:p>
      <w:pPr>
        <w:keepNext/>
        <w:spacing w:before="280" w:after="80"/>
      </w:pPr>
      <w:r>
        <w:rPr>
          <w:rFonts w:ascii="Calibri" w:hAnsi="Calibri"/>
          <w:b/>
          <w:color w:val="000000"/>
          <w:sz w:val="25"/>
        </w:rPr>
        <w:t>2.2 Technical Pitfalls of Generic Commercial APIs &amp; Commodity Solutions</w:t>
      </w:r>
    </w:p>
    <w:p>
      <w:pPr>
        <w:spacing w:before="0" w:after="120" w:line="276" w:lineRule="auto"/>
      </w:pPr>
      <w:r>
        <w:rPr>
          <w:rFonts w:ascii="Calibri" w:hAnsi="Calibri"/>
          <w:color w:val="000000"/>
          <w:sz w:val="21"/>
        </w:rPr>
        <w:t>While cloud-based face recognition APIs (e.g., AWS Rekognition, Azure Face) exist, they are unviable for campus-wide governance:</w:t>
      </w:r>
    </w:p>
    <w:p>
      <w:pPr>
        <w:pStyle w:val="ListBullet"/>
        <w:spacing w:before="0" w:after="60" w:line="276" w:lineRule="auto"/>
      </w:pPr>
      <w:r>
        <w:rPr>
          <w:rFonts w:ascii="Calibri" w:hAnsi="Calibri"/>
          <w:b/>
          <w:color w:val="000000"/>
          <w:sz w:val="20"/>
        </w:rPr>
        <w:t xml:space="preserve">Prohibitive Cloud Cost: </w:t>
      </w:r>
      <w:r>
        <w:rPr>
          <w:rFonts w:ascii="Calibri" w:hAnsi="Calibri"/>
          <w:color w:val="000000"/>
          <w:sz w:val="20"/>
        </w:rPr>
        <w:t>Commercial cloud APIs charge between ₹100 to ₹250 per 1,000 requests. For a campus streaming 30 FPS across multiple gates, monthly API bills exceed ₹15,00,000.</w:t>
      </w:r>
    </w:p>
    <w:p>
      <w:pPr>
        <w:pStyle w:val="ListBullet"/>
        <w:spacing w:before="0" w:after="60" w:line="276" w:lineRule="auto"/>
      </w:pPr>
      <w:r>
        <w:rPr>
          <w:rFonts w:ascii="Calibri" w:hAnsi="Calibri"/>
          <w:b/>
          <w:color w:val="000000"/>
          <w:sz w:val="20"/>
        </w:rPr>
        <w:t xml:space="preserve">Data Privacy &amp; Regulatory Risk: </w:t>
      </w:r>
      <w:r>
        <w:rPr>
          <w:rFonts w:ascii="Calibri" w:hAnsi="Calibri"/>
          <w:color w:val="000000"/>
          <w:sz w:val="20"/>
        </w:rPr>
        <w:t>Transmitting raw student video streams across the public internet introduces 200–500ms network latency and violates Indian biometric data sovereignty mandates under the DPDPA 2023.</w:t>
      </w:r>
    </w:p>
    <w:p>
      <w:pPr>
        <w:pStyle w:val="ListBullet"/>
        <w:spacing w:before="0" w:after="60" w:line="276" w:lineRule="auto"/>
      </w:pPr>
      <w:r>
        <w:rPr>
          <w:rFonts w:ascii="Calibri" w:hAnsi="Calibri"/>
          <w:b/>
          <w:color w:val="000000"/>
          <w:sz w:val="20"/>
        </w:rPr>
        <w:t xml:space="preserve">Environmental Brittleness: </w:t>
      </w:r>
      <w:r>
        <w:rPr>
          <w:rFonts w:ascii="Calibri" w:hAnsi="Calibri"/>
          <w:color w:val="000000"/>
          <w:sz w:val="20"/>
        </w:rPr>
        <w:t>Off-the-shelf detectors fail in real-world campus scenes featuring extreme lighting contrast (sunlight glare vs indoor shade), face masks, caps, and severe motion blur.</w:t>
      </w:r>
    </w:p>
    <w:tbl>
      <w:tblPr>
        <w:tblW w:type="auto" w:w="0"/>
        <w:jc w:val="center"/>
        <w:tblLook w:firstColumn="1" w:firstRow="1" w:lastColumn="0" w:lastRow="0" w:noHBand="0" w:noVBand="1" w:val="04A0"/>
      </w:tblPr>
      <w:tblGrid>
        <w:gridCol w:w="9360"/>
      </w:tblGrid>
      <w:tr>
        <w:tc>
          <w:tcPr>
            <w:tcW w:type="dxa" w:w="9360"/>
            <w:shd w:fill="F5F5F5"/>
            <w:tcMar>
              <w:top w:w="140" w:type="dxa"/>
              <w:bottom w:w="140" w:type="dxa"/>
              <w:left w:w="200" w:type="dxa"/>
              <w:right w:w="200" w:type="dxa"/>
            </w:tcMar>
            <w:tcBorders>
              <w:top w:val="none"/>
              <w:bottom w:val="none"/>
              <w:right w:val="none"/>
              <w:left w:val="single" w:sz="24" w:space="0" w:color="000000"/>
            </w:tcBorders>
          </w:tcPr>
          <w:p>
            <w:pPr>
              <w:spacing w:before="0" w:after="0" w:line="276" w:lineRule="auto"/>
            </w:pPr>
            <w:r>
              <w:rPr>
                <w:rFonts w:ascii="Calibri" w:hAnsi="Calibri"/>
                <w:b/>
                <w:color w:val="000000"/>
                <w:sz w:val="21"/>
              </w:rPr>
              <w:t>STRATEGIC VALUE PROPOSITION</w:t>
              <w:br/>
            </w:r>
            <w:r>
              <w:rPr>
                <w:rFonts w:ascii="Calibri" w:hAnsi="Calibri"/>
                <w:color w:val="282828"/>
                <w:sz w:val="20"/>
              </w:rPr>
              <w:t>THE IN-HOUSE ADVANTAGE:</w:t>
              <w:br/>
              <w:t>By training our custom detector on WIDER FACE and integrating high-performance ArcFace embeddings on an on-premises GPU server sponsored by the AICTE IDEA Lab, PIET retains 100% data sovereignty, achieves sub-30ms inference latency, incurs zero per-call cloud API costs, and maintains total architectural flexibility.</w:t>
            </w:r>
          </w:p>
        </w:tc>
      </w:tr>
    </w:tbl>
    <w:p>
      <w:pPr>
        <w:spacing w:before="0" w:after="80"/>
      </w:pPr>
    </w:p>
    <w:p>
      <w:pPr>
        <w:keepNext/>
        <w:spacing w:before="400" w:after="120"/>
      </w:pPr>
      <w:r>
        <w:rPr>
          <w:rFonts w:ascii="Calibri" w:hAnsi="Calibri"/>
          <w:b/>
          <w:color w:val="000000"/>
          <w:sz w:val="30"/>
        </w:rPr>
        <w:t>3. Comprehensive Technical Architecture</w:t>
      </w:r>
    </w:p>
    <w:p>
      <w:pPr>
        <w:spacing w:before="0" w:after="120" w:line="276" w:lineRule="auto"/>
      </w:pPr>
      <w:r>
        <w:rPr>
          <w:rFonts w:ascii="Calibri" w:hAnsi="Calibri"/>
          <w:color w:val="000000"/>
          <w:sz w:val="21"/>
        </w:rPr>
        <w:t>The system is designed with a strictly modular, decoupled, edge-to-server architecture. The software ecosystem separates frame acquisition, deep neural network inference, temporal tracking, metadata resolution, and persistence into distinct, isolated sub-systems.</w:t>
      </w:r>
    </w:p>
    <w:p>
      <w:pPr>
        <w:keepNext/>
        <w:spacing w:before="280" w:after="80"/>
      </w:pPr>
      <w:r>
        <w:rPr>
          <w:rFonts w:ascii="Calibri" w:hAnsi="Calibri"/>
          <w:b/>
          <w:color w:val="000000"/>
          <w:sz w:val="25"/>
        </w:rPr>
        <w:t>3.1 Complete Technology Stack</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3120"/>
        <w:gridCol w:w="3120"/>
        <w:gridCol w:w="3120"/>
      </w:tblGrid>
      <w:tr>
        <w:tc>
          <w:tcPr>
            <w:tcW w:type="dxa" w:w="2592"/>
            <w:shd w:fill="000000"/>
            <w:tcMar>
              <w:top w:w="120" w:type="dxa"/>
              <w:bottom w:w="120" w:type="dxa"/>
              <w:left w:w="150" w:type="dxa"/>
              <w:right w:w="150" w:type="dxa"/>
            </w:tcMar>
          </w:tcPr>
          <w:p>
            <w:pPr>
              <w:spacing w:before="0" w:after="0"/>
            </w:pPr>
            <w:r>
              <w:rPr>
                <w:rFonts w:ascii="Calibri" w:hAnsi="Calibri"/>
                <w:b/>
                <w:color w:val="FFFFFF"/>
                <w:sz w:val="19"/>
              </w:rPr>
              <w:t>Layer / Domain</w:t>
            </w:r>
          </w:p>
        </w:tc>
        <w:tc>
          <w:tcPr>
            <w:tcW w:type="dxa" w:w="3168"/>
            <w:shd w:fill="000000"/>
            <w:tcMar>
              <w:top w:w="120" w:type="dxa"/>
              <w:bottom w:w="120" w:type="dxa"/>
              <w:left w:w="150" w:type="dxa"/>
              <w:right w:w="150" w:type="dxa"/>
            </w:tcMar>
          </w:tcPr>
          <w:p>
            <w:pPr>
              <w:spacing w:before="0" w:after="0"/>
            </w:pPr>
            <w:r>
              <w:rPr>
                <w:rFonts w:ascii="Calibri" w:hAnsi="Calibri"/>
                <w:b/>
                <w:color w:val="FFFFFF"/>
                <w:sz w:val="19"/>
              </w:rPr>
              <w:t>Technology &amp; Framework</w:t>
            </w:r>
          </w:p>
        </w:tc>
        <w:tc>
          <w:tcPr>
            <w:tcW w:type="dxa" w:w="3600"/>
            <w:shd w:fill="000000"/>
            <w:tcMar>
              <w:top w:w="120" w:type="dxa"/>
              <w:bottom w:w="120" w:type="dxa"/>
              <w:left w:w="150" w:type="dxa"/>
              <w:right w:w="150" w:type="dxa"/>
            </w:tcMar>
          </w:tcPr>
          <w:p>
            <w:pPr>
              <w:spacing w:before="0" w:after="0"/>
            </w:pPr>
            <w:r>
              <w:rPr>
                <w:rFonts w:ascii="Calibri" w:hAnsi="Calibri"/>
                <w:b/>
                <w:color w:val="FFFFFF"/>
                <w:sz w:val="19"/>
              </w:rPr>
              <w:t>Technical Function &amp; Implementation Details</w:t>
            </w:r>
          </w:p>
        </w:tc>
      </w:tr>
      <w:tr>
        <w:tc>
          <w:tcPr>
            <w:tcW w:type="dxa" w:w="2592"/>
            <w:shd w:fill="FFFFFF"/>
            <w:tcMar>
              <w:top w:w="90" w:type="dxa"/>
              <w:bottom w:w="90" w:type="dxa"/>
              <w:left w:w="150" w:type="dxa"/>
              <w:right w:w="150" w:type="dxa"/>
            </w:tcMar>
          </w:tcPr>
          <w:p>
            <w:pPr>
              <w:spacing w:before="0" w:after="0"/>
            </w:pPr>
            <w:r>
              <w:rPr>
                <w:rFonts w:ascii="Calibri" w:hAnsi="Calibri"/>
                <w:color w:val="000000"/>
                <w:sz w:val="18"/>
              </w:rPr>
              <w:t>Programming Core</w:t>
            </w:r>
          </w:p>
        </w:tc>
        <w:tc>
          <w:tcPr>
            <w:tcW w:type="dxa" w:w="3168"/>
            <w:shd w:fill="FFFFFF"/>
            <w:tcMar>
              <w:top w:w="90" w:type="dxa"/>
              <w:bottom w:w="90" w:type="dxa"/>
              <w:left w:w="150" w:type="dxa"/>
              <w:right w:w="150" w:type="dxa"/>
            </w:tcMar>
          </w:tcPr>
          <w:p>
            <w:pPr>
              <w:spacing w:before="0" w:after="0"/>
            </w:pPr>
            <w:r>
              <w:rPr>
                <w:rFonts w:ascii="Calibri" w:hAnsi="Calibri"/>
                <w:color w:val="000000"/>
                <w:sz w:val="18"/>
              </w:rPr>
              <w:t>Python 3.10–3.12, PyTorch 2.x, Rust (Server Engine)</w:t>
            </w:r>
          </w:p>
        </w:tc>
        <w:tc>
          <w:tcPr>
            <w:tcW w:type="dxa" w:w="3600"/>
            <w:shd w:fill="FFFFFF"/>
            <w:tcMar>
              <w:top w:w="90" w:type="dxa"/>
              <w:bottom w:w="90" w:type="dxa"/>
              <w:left w:w="150" w:type="dxa"/>
              <w:right w:w="150" w:type="dxa"/>
            </w:tcMar>
          </w:tcPr>
          <w:p>
            <w:pPr>
              <w:spacing w:before="0" w:after="0"/>
            </w:pPr>
            <w:r>
              <w:rPr>
                <w:rFonts w:ascii="Calibri" w:hAnsi="Calibri"/>
                <w:color w:val="000000"/>
                <w:sz w:val="18"/>
              </w:rPr>
              <w:t>High-speed tensor execution, asynchronous threading, safety</w:t>
            </w:r>
          </w:p>
        </w:tc>
      </w:tr>
      <w:tr>
        <w:tc>
          <w:tcPr>
            <w:tcW w:type="dxa" w:w="2592"/>
            <w:shd w:fill="FAFAFA"/>
            <w:tcMar>
              <w:top w:w="90" w:type="dxa"/>
              <w:bottom w:w="90" w:type="dxa"/>
              <w:left w:w="150" w:type="dxa"/>
              <w:right w:w="150" w:type="dxa"/>
            </w:tcMar>
          </w:tcPr>
          <w:p>
            <w:pPr>
              <w:spacing w:before="0" w:after="0"/>
            </w:pPr>
            <w:r>
              <w:rPr>
                <w:rFonts w:ascii="Calibri" w:hAnsi="Calibri"/>
                <w:color w:val="000000"/>
                <w:sz w:val="18"/>
              </w:rPr>
              <w:t>GPU Compute Core</w:t>
            </w:r>
          </w:p>
        </w:tc>
        <w:tc>
          <w:tcPr>
            <w:tcW w:type="dxa" w:w="3168"/>
            <w:shd w:fill="FAFAFA"/>
            <w:tcMar>
              <w:top w:w="90" w:type="dxa"/>
              <w:bottom w:w="90" w:type="dxa"/>
              <w:left w:w="150" w:type="dxa"/>
              <w:right w:w="150" w:type="dxa"/>
            </w:tcMar>
          </w:tcPr>
          <w:p>
            <w:pPr>
              <w:spacing w:before="0" w:after="0"/>
            </w:pPr>
            <w:r>
              <w:rPr>
                <w:rFonts w:ascii="Calibri" w:hAnsi="Calibri"/>
                <w:color w:val="000000"/>
                <w:sz w:val="18"/>
              </w:rPr>
              <w:t>NVIDIA CUDA 12, cuDNN 9, FP16 Half-Precision</w:t>
            </w:r>
          </w:p>
        </w:tc>
        <w:tc>
          <w:tcPr>
            <w:tcW w:type="dxa" w:w="3600"/>
            <w:shd w:fill="FAFAFA"/>
            <w:tcMar>
              <w:top w:w="90" w:type="dxa"/>
              <w:bottom w:w="90" w:type="dxa"/>
              <w:left w:w="150" w:type="dxa"/>
              <w:right w:w="150" w:type="dxa"/>
            </w:tcMar>
          </w:tcPr>
          <w:p>
            <w:pPr>
              <w:spacing w:before="0" w:after="0"/>
            </w:pPr>
            <w:r>
              <w:rPr>
                <w:rFonts w:ascii="Calibri" w:hAnsi="Calibri"/>
                <w:color w:val="000000"/>
                <w:sz w:val="18"/>
              </w:rPr>
              <w:t>Accelerated matrix operations on RTX 4070 SUPER GPU</w:t>
            </w:r>
          </w:p>
        </w:tc>
      </w:tr>
      <w:tr>
        <w:tc>
          <w:tcPr>
            <w:tcW w:type="dxa" w:w="2592"/>
            <w:shd w:fill="FFFFFF"/>
            <w:tcMar>
              <w:top w:w="90" w:type="dxa"/>
              <w:bottom w:w="90" w:type="dxa"/>
              <w:left w:w="150" w:type="dxa"/>
              <w:right w:w="150" w:type="dxa"/>
            </w:tcMar>
          </w:tcPr>
          <w:p>
            <w:pPr>
              <w:spacing w:before="0" w:after="0"/>
            </w:pPr>
            <w:r>
              <w:rPr>
                <w:rFonts w:ascii="Calibri" w:hAnsi="Calibri"/>
                <w:color w:val="000000"/>
                <w:sz w:val="18"/>
              </w:rPr>
              <w:t>Face Detector</w:t>
            </w:r>
          </w:p>
        </w:tc>
        <w:tc>
          <w:tcPr>
            <w:tcW w:type="dxa" w:w="3168"/>
            <w:shd w:fill="FFFFFF"/>
            <w:tcMar>
              <w:top w:w="90" w:type="dxa"/>
              <w:bottom w:w="90" w:type="dxa"/>
              <w:left w:w="150" w:type="dxa"/>
              <w:right w:w="150" w:type="dxa"/>
            </w:tcMar>
          </w:tcPr>
          <w:p>
            <w:pPr>
              <w:spacing w:before="0" w:after="0"/>
            </w:pPr>
            <w:r>
              <w:rPr>
                <w:rFonts w:ascii="Calibri" w:hAnsi="Calibri"/>
                <w:color w:val="000000"/>
                <w:sz w:val="18"/>
              </w:rPr>
              <w:t>MobileNetV2 + Feature Pyramid Network (FPN)</w:t>
            </w:r>
          </w:p>
        </w:tc>
        <w:tc>
          <w:tcPr>
            <w:tcW w:type="dxa" w:w="3600"/>
            <w:shd w:fill="FFFFFF"/>
            <w:tcMar>
              <w:top w:w="90" w:type="dxa"/>
              <w:bottom w:w="90" w:type="dxa"/>
              <w:left w:w="150" w:type="dxa"/>
              <w:right w:w="150" w:type="dxa"/>
            </w:tcMar>
          </w:tcPr>
          <w:p>
            <w:pPr>
              <w:spacing w:before="0" w:after="0"/>
            </w:pPr>
            <w:r>
              <w:rPr>
                <w:rFonts w:ascii="Calibri" w:hAnsi="Calibri"/>
                <w:color w:val="000000"/>
                <w:sz w:val="18"/>
              </w:rPr>
              <w:t>Custom PyTorch architecture trained on WIDER FACE; K-means anchors</w:t>
            </w:r>
          </w:p>
        </w:tc>
      </w:tr>
      <w:tr>
        <w:tc>
          <w:tcPr>
            <w:tcW w:type="dxa" w:w="2592"/>
            <w:shd w:fill="FAFAFA"/>
            <w:tcMar>
              <w:top w:w="90" w:type="dxa"/>
              <w:bottom w:w="90" w:type="dxa"/>
              <w:left w:w="150" w:type="dxa"/>
              <w:right w:w="150" w:type="dxa"/>
            </w:tcMar>
          </w:tcPr>
          <w:p>
            <w:pPr>
              <w:spacing w:before="0" w:after="0"/>
            </w:pPr>
            <w:r>
              <w:rPr>
                <w:rFonts w:ascii="Calibri" w:hAnsi="Calibri"/>
                <w:color w:val="000000"/>
                <w:sz w:val="18"/>
              </w:rPr>
              <w:t>Biometric Embedding</w:t>
            </w:r>
          </w:p>
        </w:tc>
        <w:tc>
          <w:tcPr>
            <w:tcW w:type="dxa" w:w="3168"/>
            <w:shd w:fill="FAFAFA"/>
            <w:tcMar>
              <w:top w:w="90" w:type="dxa"/>
              <w:bottom w:w="90" w:type="dxa"/>
              <w:left w:w="150" w:type="dxa"/>
              <w:right w:w="150" w:type="dxa"/>
            </w:tcMar>
          </w:tcPr>
          <w:p>
            <w:pPr>
              <w:spacing w:before="0" w:after="0"/>
            </w:pPr>
            <w:r>
              <w:rPr>
                <w:rFonts w:ascii="Calibri" w:hAnsi="Calibri"/>
                <w:color w:val="000000"/>
                <w:sz w:val="18"/>
              </w:rPr>
              <w:t>InsightFace Buffalo_l (ArcFace ResNet-50)</w:t>
            </w:r>
          </w:p>
        </w:tc>
        <w:tc>
          <w:tcPr>
            <w:tcW w:type="dxa" w:w="3600"/>
            <w:shd w:fill="FAFAFA"/>
            <w:tcMar>
              <w:top w:w="90" w:type="dxa"/>
              <w:bottom w:w="90" w:type="dxa"/>
              <w:left w:w="150" w:type="dxa"/>
              <w:right w:w="150" w:type="dxa"/>
            </w:tcMar>
          </w:tcPr>
          <w:p>
            <w:pPr>
              <w:spacing w:before="0" w:after="0"/>
            </w:pPr>
            <w:r>
              <w:rPr>
                <w:rFonts w:ascii="Calibri" w:hAnsi="Calibri"/>
                <w:color w:val="000000"/>
                <w:sz w:val="18"/>
              </w:rPr>
              <w:t>512-dimensional normalized hyperspherical embedding engine</w:t>
            </w:r>
          </w:p>
        </w:tc>
      </w:tr>
      <w:tr>
        <w:tc>
          <w:tcPr>
            <w:tcW w:type="dxa" w:w="2592"/>
            <w:shd w:fill="FFFFFF"/>
            <w:tcMar>
              <w:top w:w="90" w:type="dxa"/>
              <w:bottom w:w="90" w:type="dxa"/>
              <w:left w:w="150" w:type="dxa"/>
              <w:right w:w="150" w:type="dxa"/>
            </w:tcMar>
          </w:tcPr>
          <w:p>
            <w:pPr>
              <w:spacing w:before="0" w:after="0"/>
            </w:pPr>
            <w:r>
              <w:rPr>
                <w:rFonts w:ascii="Calibri" w:hAnsi="Calibri"/>
                <w:color w:val="000000"/>
                <w:sz w:val="18"/>
              </w:rPr>
              <w:t>Tracking Engine</w:t>
            </w:r>
          </w:p>
        </w:tc>
        <w:tc>
          <w:tcPr>
            <w:tcW w:type="dxa" w:w="3168"/>
            <w:shd w:fill="FFFFFF"/>
            <w:tcMar>
              <w:top w:w="90" w:type="dxa"/>
              <w:bottom w:w="90" w:type="dxa"/>
              <w:left w:w="150" w:type="dxa"/>
              <w:right w:w="150" w:type="dxa"/>
            </w:tcMar>
          </w:tcPr>
          <w:p>
            <w:pPr>
              <w:spacing w:before="0" w:after="0"/>
            </w:pPr>
            <w:r>
              <w:rPr>
                <w:rFonts w:ascii="Calibri" w:hAnsi="Calibri"/>
                <w:color w:val="000000"/>
                <w:sz w:val="18"/>
              </w:rPr>
              <w:t>SORT (Simple Online Realtime Tracking)</w:t>
            </w:r>
          </w:p>
        </w:tc>
        <w:tc>
          <w:tcPr>
            <w:tcW w:type="dxa" w:w="3600"/>
            <w:shd w:fill="FFFFFF"/>
            <w:tcMar>
              <w:top w:w="90" w:type="dxa"/>
              <w:bottom w:w="90" w:type="dxa"/>
              <w:left w:w="150" w:type="dxa"/>
              <w:right w:w="150" w:type="dxa"/>
            </w:tcMar>
          </w:tcPr>
          <w:p>
            <w:pPr>
              <w:spacing w:before="0" w:after="0"/>
            </w:pPr>
            <w:r>
              <w:rPr>
                <w:rFonts w:ascii="Calibri" w:hAnsi="Calibri"/>
                <w:color w:val="000000"/>
                <w:sz w:val="18"/>
              </w:rPr>
              <w:t>IoU-based association, Kalman filtering, track trajectory management</w:t>
            </w:r>
          </w:p>
        </w:tc>
      </w:tr>
      <w:tr>
        <w:tc>
          <w:tcPr>
            <w:tcW w:type="dxa" w:w="2592"/>
            <w:shd w:fill="FAFAFA"/>
            <w:tcMar>
              <w:top w:w="90" w:type="dxa"/>
              <w:bottom w:w="90" w:type="dxa"/>
              <w:left w:w="150" w:type="dxa"/>
              <w:right w:w="150" w:type="dxa"/>
            </w:tcMar>
          </w:tcPr>
          <w:p>
            <w:pPr>
              <w:spacing w:before="0" w:after="0"/>
            </w:pPr>
            <w:r>
              <w:rPr>
                <w:rFonts w:ascii="Calibri" w:hAnsi="Calibri"/>
                <w:color w:val="000000"/>
                <w:sz w:val="18"/>
              </w:rPr>
              <w:t>Computer Vision</w:t>
            </w:r>
          </w:p>
        </w:tc>
        <w:tc>
          <w:tcPr>
            <w:tcW w:type="dxa" w:w="3168"/>
            <w:shd w:fill="FAFAFA"/>
            <w:tcMar>
              <w:top w:w="90" w:type="dxa"/>
              <w:bottom w:w="90" w:type="dxa"/>
              <w:left w:w="150" w:type="dxa"/>
              <w:right w:w="150" w:type="dxa"/>
            </w:tcMar>
          </w:tcPr>
          <w:p>
            <w:pPr>
              <w:spacing w:before="0" w:after="0"/>
            </w:pPr>
            <w:r>
              <w:rPr>
                <w:rFonts w:ascii="Calibri" w:hAnsi="Calibri"/>
                <w:color w:val="000000"/>
                <w:sz w:val="18"/>
              </w:rPr>
              <w:t>OpenCV (cv2) with DirectShow &amp; V4L2</w:t>
            </w:r>
          </w:p>
        </w:tc>
        <w:tc>
          <w:tcPr>
            <w:tcW w:type="dxa" w:w="3600"/>
            <w:shd w:fill="FAFAFA"/>
            <w:tcMar>
              <w:top w:w="90" w:type="dxa"/>
              <w:bottom w:w="90" w:type="dxa"/>
              <w:left w:w="150" w:type="dxa"/>
              <w:right w:w="150" w:type="dxa"/>
            </w:tcMar>
          </w:tcPr>
          <w:p>
            <w:pPr>
              <w:spacing w:before="0" w:after="0"/>
            </w:pPr>
            <w:r>
              <w:rPr>
                <w:rFonts w:ascii="Calibri" w:hAnsi="Calibri"/>
                <w:color w:val="000000"/>
                <w:sz w:val="18"/>
              </w:rPr>
              <w:t>Low-latency camera frame grab, CLAHE exposure, corner HUD drawing</w:t>
            </w:r>
          </w:p>
        </w:tc>
      </w:tr>
      <w:tr>
        <w:tc>
          <w:tcPr>
            <w:tcW w:type="dxa" w:w="2592"/>
            <w:shd w:fill="FFFFFF"/>
            <w:tcMar>
              <w:top w:w="90" w:type="dxa"/>
              <w:bottom w:w="90" w:type="dxa"/>
              <w:left w:w="150" w:type="dxa"/>
              <w:right w:w="150" w:type="dxa"/>
            </w:tcMar>
          </w:tcPr>
          <w:p>
            <w:pPr>
              <w:spacing w:before="0" w:after="0"/>
            </w:pPr>
            <w:r>
              <w:rPr>
                <w:rFonts w:ascii="Calibri" w:hAnsi="Calibri"/>
                <w:color w:val="000000"/>
                <w:sz w:val="18"/>
              </w:rPr>
              <w:t>Metadata Integration</w:t>
            </w:r>
          </w:p>
        </w:tc>
        <w:tc>
          <w:tcPr>
            <w:tcW w:type="dxa" w:w="3168"/>
            <w:shd w:fill="FFFFFF"/>
            <w:tcMar>
              <w:top w:w="90" w:type="dxa"/>
              <w:bottom w:w="90" w:type="dxa"/>
              <w:left w:w="150" w:type="dxa"/>
              <w:right w:w="150" w:type="dxa"/>
            </w:tcMar>
          </w:tcPr>
          <w:p>
            <w:pPr>
              <w:spacing w:before="0" w:after="0"/>
            </w:pPr>
            <w:r>
              <w:rPr>
                <w:rFonts w:ascii="Calibri" w:hAnsi="Calibri"/>
                <w:color w:val="000000"/>
                <w:sz w:val="18"/>
              </w:rPr>
              <w:t>OpenPyXL, Python CSV, Hash Indexes</w:t>
            </w:r>
          </w:p>
        </w:tc>
        <w:tc>
          <w:tcPr>
            <w:tcW w:type="dxa" w:w="3600"/>
            <w:shd w:fill="FFFFFF"/>
            <w:tcMar>
              <w:top w:w="90" w:type="dxa"/>
              <w:bottom w:w="90" w:type="dxa"/>
              <w:left w:w="150" w:type="dxa"/>
              <w:right w:w="150" w:type="dxa"/>
            </w:tcMar>
          </w:tcPr>
          <w:p>
            <w:pPr>
              <w:spacing w:before="0" w:after="0"/>
            </w:pPr>
            <w:r>
              <w:rPr>
                <w:rFonts w:ascii="Calibri" w:hAnsi="Calibri"/>
                <w:color w:val="000000"/>
                <w:sz w:val="18"/>
              </w:rPr>
              <w:t>Bi-directional O(1) student name, roll number, and department lookup</w:t>
            </w:r>
          </w:p>
        </w:tc>
      </w:tr>
      <w:tr>
        <w:tc>
          <w:tcPr>
            <w:tcW w:type="dxa" w:w="2592"/>
            <w:shd w:fill="FAFAFA"/>
            <w:tcMar>
              <w:top w:w="90" w:type="dxa"/>
              <w:bottom w:w="90" w:type="dxa"/>
              <w:left w:w="150" w:type="dxa"/>
              <w:right w:w="150" w:type="dxa"/>
            </w:tcMar>
          </w:tcPr>
          <w:p>
            <w:pPr>
              <w:spacing w:before="0" w:after="0"/>
            </w:pPr>
            <w:r>
              <w:rPr>
                <w:rFonts w:ascii="Calibri" w:hAnsi="Calibri"/>
                <w:color w:val="000000"/>
                <w:sz w:val="18"/>
              </w:rPr>
              <w:t>Concurrency &amp; Safety</w:t>
            </w:r>
          </w:p>
        </w:tc>
        <w:tc>
          <w:tcPr>
            <w:tcW w:type="dxa" w:w="3168"/>
            <w:shd w:fill="FAFAFA"/>
            <w:tcMar>
              <w:top w:w="90" w:type="dxa"/>
              <w:bottom w:w="90" w:type="dxa"/>
              <w:left w:w="150" w:type="dxa"/>
              <w:right w:w="150" w:type="dxa"/>
            </w:tcMar>
          </w:tcPr>
          <w:p>
            <w:pPr>
              <w:spacing w:before="0" w:after="0"/>
            </w:pPr>
            <w:r>
              <w:rPr>
                <w:rFonts w:ascii="Calibri" w:hAnsi="Calibri"/>
                <w:color w:val="000000"/>
                <w:sz w:val="18"/>
              </w:rPr>
              <w:t>Python threading, Queue(maxsize=1), portalocker</w:t>
            </w:r>
          </w:p>
        </w:tc>
        <w:tc>
          <w:tcPr>
            <w:tcW w:type="dxa" w:w="3600"/>
            <w:shd w:fill="FAFAFA"/>
            <w:tcMar>
              <w:top w:w="90" w:type="dxa"/>
              <w:bottom w:w="90" w:type="dxa"/>
              <w:left w:w="150" w:type="dxa"/>
              <w:right w:w="150" w:type="dxa"/>
            </w:tcMar>
          </w:tcPr>
          <w:p>
            <w:pPr>
              <w:spacing w:before="0" w:after="0"/>
            </w:pPr>
            <w:r>
              <w:rPr>
                <w:rFonts w:ascii="Calibri" w:hAnsi="Calibri"/>
                <w:color w:val="000000"/>
                <w:sz w:val="18"/>
              </w:rPr>
              <w:t>Producer-consumer queueing, atomic file persistence, CSV locking</w:t>
            </w:r>
          </w:p>
        </w:tc>
      </w:tr>
      <w:tr>
        <w:tc>
          <w:tcPr>
            <w:tcW w:type="dxa" w:w="2592"/>
            <w:shd w:fill="FFFFFF"/>
            <w:tcMar>
              <w:top w:w="90" w:type="dxa"/>
              <w:bottom w:w="90" w:type="dxa"/>
              <w:left w:w="150" w:type="dxa"/>
              <w:right w:w="150" w:type="dxa"/>
            </w:tcMar>
          </w:tcPr>
          <w:p>
            <w:pPr>
              <w:spacing w:before="0" w:after="0"/>
            </w:pPr>
            <w:r>
              <w:rPr>
                <w:rFonts w:ascii="Calibri" w:hAnsi="Calibri"/>
                <w:color w:val="000000"/>
                <w:sz w:val="18"/>
              </w:rPr>
              <w:t>Compute Hardware</w:t>
            </w:r>
          </w:p>
        </w:tc>
        <w:tc>
          <w:tcPr>
            <w:tcW w:type="dxa" w:w="3168"/>
            <w:shd w:fill="FFFFFF"/>
            <w:tcMar>
              <w:top w:w="90" w:type="dxa"/>
              <w:bottom w:w="90" w:type="dxa"/>
              <w:left w:w="150" w:type="dxa"/>
              <w:right w:w="150" w:type="dxa"/>
            </w:tcMar>
          </w:tcPr>
          <w:p>
            <w:pPr>
              <w:spacing w:before="0" w:after="0"/>
            </w:pPr>
            <w:r>
              <w:rPr>
                <w:rFonts w:ascii="Calibri" w:hAnsi="Calibri"/>
                <w:color w:val="000000"/>
                <w:sz w:val="18"/>
              </w:rPr>
              <w:t>NVIDIA RTX 4070 SUPER (12GB VRAM)</w:t>
            </w:r>
          </w:p>
        </w:tc>
        <w:tc>
          <w:tcPr>
            <w:tcW w:type="dxa" w:w="3600"/>
            <w:shd w:fill="FFFFFF"/>
            <w:tcMar>
              <w:top w:w="90" w:type="dxa"/>
              <w:bottom w:w="90" w:type="dxa"/>
              <w:left w:w="150" w:type="dxa"/>
              <w:right w:w="150" w:type="dxa"/>
            </w:tcMar>
          </w:tcPr>
          <w:p>
            <w:pPr>
              <w:spacing w:before="0" w:after="0"/>
            </w:pPr>
            <w:r>
              <w:rPr>
                <w:rFonts w:ascii="Calibri" w:hAnsi="Calibri"/>
                <w:color w:val="000000"/>
                <w:sz w:val="18"/>
              </w:rPr>
              <w:t>100% Sponsored by AICTE IDEA Lab (PIET)</w:t>
            </w:r>
          </w:p>
        </w:tc>
      </w:tr>
    </w:tbl>
    <w:p>
      <w:pPr>
        <w:spacing w:before="0" w:after="120"/>
      </w:pPr>
    </w:p>
    <w:p>
      <w:pPr>
        <w:keepNext/>
        <w:spacing w:before="280" w:after="80"/>
      </w:pPr>
      <w:r>
        <w:rPr>
          <w:rFonts w:ascii="Calibri" w:hAnsi="Calibri"/>
          <w:b/>
          <w:color w:val="000000"/>
          <w:sz w:val="25"/>
        </w:rPr>
        <w:t>3.2 Deep Learning Face Detector Specification</w:t>
      </w:r>
    </w:p>
    <w:p>
      <w:pPr>
        <w:spacing w:before="0" w:after="120" w:line="276" w:lineRule="auto"/>
      </w:pPr>
      <w:r>
        <w:rPr>
          <w:rFonts w:ascii="Calibri" w:hAnsi="Calibri"/>
          <w:color w:val="000000"/>
          <w:sz w:val="21"/>
        </w:rPr>
        <w:t>Unlike generic YOLO models that struggle with dense, small human faces, our custom detector is specifically tailored for facial features across multi-scale resolutions:</w:t>
      </w:r>
    </w:p>
    <w:p>
      <w:pPr>
        <w:pStyle w:val="ListBullet"/>
        <w:spacing w:before="0" w:after="60" w:line="276" w:lineRule="auto"/>
      </w:pPr>
      <w:r>
        <w:rPr>
          <w:rFonts w:ascii="Calibri" w:hAnsi="Calibri"/>
          <w:b/>
          <w:color w:val="000000"/>
          <w:sz w:val="20"/>
        </w:rPr>
        <w:t xml:space="preserve">MobileNetV2 Backbone: </w:t>
      </w:r>
      <w:r>
        <w:rPr>
          <w:rFonts w:ascii="Calibri" w:hAnsi="Calibri"/>
          <w:color w:val="000000"/>
          <w:sz w:val="20"/>
        </w:rPr>
        <w:t>Utilizes depthwise separable convolutions to minimize computational complexity while preserving deep spatial representation. Scaled with width multiplier 1.0.</w:t>
      </w:r>
    </w:p>
    <w:p>
      <w:pPr>
        <w:pStyle w:val="ListBullet"/>
        <w:spacing w:before="0" w:after="60" w:line="276" w:lineRule="auto"/>
      </w:pPr>
      <w:r>
        <w:rPr>
          <w:rFonts w:ascii="Calibri" w:hAnsi="Calibri"/>
          <w:b/>
          <w:color w:val="000000"/>
          <w:sz w:val="20"/>
        </w:rPr>
        <w:t xml:space="preserve">Feature Pyramid Network (FPN): </w:t>
      </w:r>
      <w:r>
        <w:rPr>
          <w:rFonts w:ascii="Calibri" w:hAnsi="Calibri"/>
          <w:color w:val="000000"/>
          <w:sz w:val="20"/>
        </w:rPr>
        <w:t>Extracts multi-scale feature pyramids (P3, P4, P5) with 256 channels per level, enabling simultaneous detection of distant students (low resolution) and nearby students (high resolution).</w:t>
      </w:r>
    </w:p>
    <w:p>
      <w:pPr>
        <w:pStyle w:val="ListBullet"/>
        <w:spacing w:before="0" w:after="60" w:line="276" w:lineRule="auto"/>
      </w:pPr>
      <w:r>
        <w:rPr>
          <w:rFonts w:ascii="Calibri" w:hAnsi="Calibri"/>
          <w:b/>
          <w:color w:val="000000"/>
          <w:sz w:val="20"/>
        </w:rPr>
        <w:t xml:space="preserve">Data-Driven Anchors: </w:t>
      </w:r>
      <w:r>
        <w:rPr>
          <w:rFonts w:ascii="Calibri" w:hAnsi="Calibri"/>
          <w:color w:val="000000"/>
          <w:sz w:val="20"/>
        </w:rPr>
        <w:t>Rather than arbitrary anchor boxes, 9 scale and aspect ratio combinations were clustered directly from WIDER FACE ground truth bounding boxes using K-means clustering.</w:t>
      </w:r>
    </w:p>
    <w:p>
      <w:pPr>
        <w:pStyle w:val="ListBullet"/>
        <w:spacing w:before="0" w:after="60" w:line="276" w:lineRule="auto"/>
      </w:pPr>
      <w:r>
        <w:rPr>
          <w:rFonts w:ascii="Calibri" w:hAnsi="Calibri"/>
          <w:b/>
          <w:color w:val="000000"/>
          <w:sz w:val="20"/>
        </w:rPr>
        <w:t xml:space="preserve">Soft-NMS Suppression: </w:t>
      </w:r>
      <w:r>
        <w:rPr>
          <w:rFonts w:ascii="Calibri" w:hAnsi="Calibri"/>
          <w:color w:val="000000"/>
          <w:sz w:val="20"/>
        </w:rPr>
        <w:t>Replaces traditional hard NMS with Gaussian-weighted score decay (sigma = 0.5), preventing false suppression of adjacent students walking together through the gate.</w:t>
      </w:r>
    </w:p>
    <w:p>
      <w:pPr>
        <w:pStyle w:val="ListBullet"/>
        <w:spacing w:before="0" w:after="60" w:line="276" w:lineRule="auto"/>
      </w:pPr>
      <w:r>
        <w:rPr>
          <w:rFonts w:ascii="Calibri" w:hAnsi="Calibri"/>
          <w:b/>
          <w:color w:val="000000"/>
          <w:sz w:val="20"/>
        </w:rPr>
        <w:t xml:space="preserve">Model EMA (Exponential Moving Average): </w:t>
      </w:r>
      <w:r>
        <w:rPr>
          <w:rFonts w:ascii="Calibri" w:hAnsi="Calibri"/>
          <w:color w:val="000000"/>
          <w:sz w:val="20"/>
        </w:rPr>
        <w:t>Maintains a shadowed copy of model weights updated via exponential decay during training, yielding superior stability and test-set generalization.</w:t>
      </w:r>
    </w:p>
    <w:p>
      <w:pPr>
        <w:keepNext/>
        <w:spacing w:before="280" w:after="80"/>
      </w:pPr>
      <w:r>
        <w:rPr>
          <w:rFonts w:ascii="Calibri" w:hAnsi="Calibri"/>
          <w:b/>
          <w:color w:val="000000"/>
          <w:sz w:val="25"/>
        </w:rPr>
        <w:t>3.3 Asynchronous Dual-Threaded Client Architecture (`webcam_client.py`)</w:t>
      </w:r>
    </w:p>
    <w:p>
      <w:pPr>
        <w:spacing w:before="0" w:after="120" w:line="276" w:lineRule="auto"/>
      </w:pPr>
      <w:r>
        <w:rPr>
          <w:rFonts w:ascii="Calibri" w:hAnsi="Calibri"/>
          <w:color w:val="000000"/>
          <w:sz w:val="21"/>
        </w:rPr>
        <w:t>A critical engineering achievement of this project is the total elimination of video feed stuttering through a decoupled producer-consumer design:</w:t>
      </w:r>
    </w:p>
    <w:p>
      <w:pPr>
        <w:pStyle w:val="ListBullet"/>
        <w:spacing w:before="0" w:after="60" w:line="276" w:lineRule="auto"/>
      </w:pPr>
      <w:r>
        <w:rPr>
          <w:rFonts w:ascii="Calibri" w:hAnsi="Calibri"/>
          <w:b/>
          <w:color w:val="000000"/>
          <w:sz w:val="20"/>
        </w:rPr>
        <w:t xml:space="preserve">Capture &amp; Render Thread: </w:t>
      </w:r>
      <w:r>
        <w:rPr>
          <w:rFonts w:ascii="Calibri" w:hAnsi="Calibri"/>
          <w:color w:val="000000"/>
          <w:sz w:val="20"/>
        </w:rPr>
        <w:t>The main application thread continuously pulls raw frames from the webcam or IP camera at 1280x720 @ 30 FPS, renders the sleek corner-bracket target HUD, and displays telemetry without ever waiting for network responses.</w:t>
      </w:r>
    </w:p>
    <w:p>
      <w:pPr>
        <w:pStyle w:val="ListBullet"/>
        <w:spacing w:before="0" w:after="60" w:line="276" w:lineRule="auto"/>
      </w:pPr>
      <w:r>
        <w:rPr>
          <w:rFonts w:ascii="Calibri" w:hAnsi="Calibri"/>
          <w:b/>
          <w:color w:val="000000"/>
          <w:sz w:val="20"/>
        </w:rPr>
        <w:t xml:space="preserve">Asynchronous Inference Worker: </w:t>
      </w:r>
      <w:r>
        <w:rPr>
          <w:rFonts w:ascii="Calibri" w:hAnsi="Calibri"/>
          <w:color w:val="000000"/>
          <w:sz w:val="20"/>
        </w:rPr>
        <w:t>A daemon worker manages an HTTP connection pool to the GPU inference server. Frames are scaled to 640px and placed into a single-slot non-blocking buffer (queue.Queue(maxsize=1)). If the GPU is processing a prior frame, older unread frames are dropped instantly, ensuring the pipeline never builds up latency queues.</w:t>
      </w:r>
    </w:p>
    <w:p>
      <w:pPr>
        <w:pStyle w:val="ListBullet"/>
        <w:spacing w:before="0" w:after="60" w:line="276" w:lineRule="auto"/>
      </w:pPr>
      <w:r>
        <w:rPr>
          <w:rFonts w:ascii="Calibri" w:hAnsi="Calibri"/>
          <w:b/>
          <w:color w:val="000000"/>
          <w:sz w:val="20"/>
        </w:rPr>
        <w:t xml:space="preserve">Dynamic Coordinate Rescaling: </w:t>
      </w:r>
      <w:r>
        <w:rPr>
          <w:rFonts w:ascii="Calibri" w:hAnsi="Calibri"/>
          <w:color w:val="000000"/>
          <w:sz w:val="20"/>
        </w:rPr>
        <w:t>Bounding boxes returned from the 640px inference tensor are dynamically re-scaled back to the native 1280x720 camera coordinates before drawing.</w:t>
      </w:r>
    </w:p>
    <w:p>
      <w:pPr>
        <w:keepNext/>
        <w:spacing w:before="400" w:after="120"/>
      </w:pPr>
      <w:r>
        <w:rPr>
          <w:rFonts w:ascii="Calibri" w:hAnsi="Calibri"/>
          <w:b/>
          <w:color w:val="000000"/>
          <w:sz w:val="30"/>
        </w:rPr>
        <w:t>4. End-to-End System Workflows</w:t>
      </w:r>
    </w:p>
    <w:p>
      <w:pPr>
        <w:spacing w:before="0" w:after="120" w:line="276" w:lineRule="auto"/>
      </w:pPr>
      <w:r>
        <w:rPr>
          <w:rFonts w:ascii="Calibri" w:hAnsi="Calibri"/>
          <w:color w:val="000000"/>
          <w:sz w:val="21"/>
        </w:rPr>
        <w:t>To provide a complete operational understanding of the project, this section details the six architectural workflows governing data ingestion, neural network training, real-time tracking, security enforcement, and database synchronization.</w:t>
      </w:r>
    </w:p>
    <w:p>
      <w:pPr>
        <w:keepNext/>
        <w:spacing w:before="280" w:after="80"/>
      </w:pPr>
      <w:r>
        <w:rPr>
          <w:rFonts w:ascii="Calibri" w:hAnsi="Calibri"/>
          <w:b/>
          <w:color w:val="000000"/>
          <w:sz w:val="25"/>
        </w:rPr>
        <w:t>4.1 Workflow 1: Student Biometric Enrollment &amp; Ingestion Pipeline</w:t>
      </w:r>
    </w:p>
    <w:p>
      <w:pPr>
        <w:spacing w:before="0" w:after="120" w:line="276" w:lineRule="auto"/>
      </w:pPr>
      <w:r>
        <w:rPr>
          <w:rFonts w:ascii="Calibri" w:hAnsi="Calibri"/>
          <w:color w:val="000000"/>
          <w:sz w:val="21"/>
        </w:rPr>
        <w:t>The enrollment workflow transforms raw student photographs or live webcam captures into mathematically normalized, cryptographically secure face embeddings stored in `encodings.pkl`:</w:t>
      </w:r>
    </w:p>
    <w:p>
      <w:pPr>
        <w:pStyle w:val="ListBullet"/>
        <w:spacing w:before="0" w:after="60" w:line="276" w:lineRule="auto"/>
      </w:pPr>
      <w:r>
        <w:rPr>
          <w:rFonts w:ascii="Calibri" w:hAnsi="Calibri"/>
          <w:b/>
          <w:color w:val="000000"/>
          <w:sz w:val="20"/>
        </w:rPr>
        <w:t xml:space="preserve">Step 1 - Photo Acquisition: </w:t>
      </w:r>
      <w:r>
        <w:rPr>
          <w:rFonts w:ascii="Calibri" w:hAnsi="Calibri"/>
          <w:color w:val="000000"/>
          <w:sz w:val="20"/>
        </w:rPr>
        <w:t>The operator initiates `capture_photo.py` or `import_students.py` to ingest student photos linked to a student Name and Roll Number.</w:t>
      </w:r>
    </w:p>
    <w:p>
      <w:pPr>
        <w:pStyle w:val="ListBullet"/>
        <w:spacing w:before="0" w:after="60" w:line="276" w:lineRule="auto"/>
      </w:pPr>
      <w:r>
        <w:rPr>
          <w:rFonts w:ascii="Calibri" w:hAnsi="Calibri"/>
          <w:b/>
          <w:color w:val="000000"/>
          <w:sz w:val="20"/>
        </w:rPr>
        <w:t xml:space="preserve">Step 2 - Laplacian Blur Gating: </w:t>
      </w:r>
      <w:r>
        <w:rPr>
          <w:rFonts w:ascii="Calibri" w:hAnsi="Calibri"/>
          <w:color w:val="000000"/>
          <w:sz w:val="20"/>
        </w:rPr>
        <w:t>The frame is converted to grayscale, and the Laplacian variance is computed. If variance is below 100.0, the image is rejected for motion blur.</w:t>
      </w:r>
    </w:p>
    <w:p>
      <w:pPr>
        <w:pStyle w:val="ListBullet"/>
        <w:spacing w:before="0" w:after="60" w:line="276" w:lineRule="auto"/>
      </w:pPr>
      <w:r>
        <w:rPr>
          <w:rFonts w:ascii="Calibri" w:hAnsi="Calibri"/>
          <w:b/>
          <w:color w:val="000000"/>
          <w:sz w:val="20"/>
        </w:rPr>
        <w:t xml:space="preserve">Step 3 - Minimum Resolution &amp; Confidence Gating: </w:t>
      </w:r>
      <w:r>
        <w:rPr>
          <w:rFonts w:ascii="Calibri" w:hAnsi="Calibri"/>
          <w:color w:val="000000"/>
          <w:sz w:val="20"/>
        </w:rPr>
        <w:t>Detected face bounding boxes must exceed 64x64 pixels and achieve a detector confidence score &gt;= 0.80. Crops failing these gates are discarded.</w:t>
      </w:r>
    </w:p>
    <w:p>
      <w:pPr>
        <w:pStyle w:val="ListBullet"/>
        <w:spacing w:before="0" w:after="60" w:line="276" w:lineRule="auto"/>
      </w:pPr>
      <w:r>
        <w:rPr>
          <w:rFonts w:ascii="Calibri" w:hAnsi="Calibri"/>
          <w:b/>
          <w:color w:val="000000"/>
          <w:sz w:val="20"/>
        </w:rPr>
        <w:t xml:space="preserve">Step 4 - ArcFace Embedding Extraction: </w:t>
      </w:r>
      <w:r>
        <w:rPr>
          <w:rFonts w:ascii="Calibri" w:hAnsi="Calibri"/>
          <w:color w:val="000000"/>
          <w:sz w:val="20"/>
        </w:rPr>
        <w:t>Passing crops are fed into InsightFace (buffalo_l), generating a 512-dimensional vector. The vector is normalized: v_norm = v / (||v|| + 1e-7).</w:t>
      </w:r>
    </w:p>
    <w:p>
      <w:pPr>
        <w:pStyle w:val="ListBullet"/>
        <w:spacing w:before="0" w:after="60" w:line="276" w:lineRule="auto"/>
      </w:pPr>
      <w:r>
        <w:rPr>
          <w:rFonts w:ascii="Calibri" w:hAnsi="Calibri"/>
          <w:b/>
          <w:color w:val="000000"/>
          <w:sz w:val="20"/>
        </w:rPr>
        <w:t xml:space="preserve">Step 5 - Multi-Crop Aggregation: </w:t>
      </w:r>
      <w:r>
        <w:rPr>
          <w:rFonts w:ascii="Calibri" w:hAnsi="Calibri"/>
          <w:color w:val="000000"/>
          <w:sz w:val="20"/>
        </w:rPr>
        <w:t>Up to 5 crops per identity are captured and stored in `known_students/&lt;NAME&gt;_&lt;ROLL&gt;/`. In multi-photo mode, vectors are averaged and re-normalized.</w:t>
      </w:r>
    </w:p>
    <w:p>
      <w:pPr>
        <w:pStyle w:val="ListBullet"/>
        <w:spacing w:before="0" w:after="60" w:line="276" w:lineRule="auto"/>
      </w:pPr>
      <w:r>
        <w:rPr>
          <w:rFonts w:ascii="Calibri" w:hAnsi="Calibri"/>
          <w:b/>
          <w:color w:val="000000"/>
          <w:sz w:val="20"/>
        </w:rPr>
        <w:t xml:space="preserve">Step 6 - Atomic Persistence: </w:t>
      </w:r>
      <w:r>
        <w:rPr>
          <w:rFonts w:ascii="Calibri" w:hAnsi="Calibri"/>
          <w:color w:val="000000"/>
          <w:sz w:val="20"/>
        </w:rPr>
        <w:t>The resulting embedding dictionary is written to a temporary binary file and atomically renamed to `encodings.pkl`, preventing database corruption if interrupted.</w:t>
      </w:r>
    </w:p>
    <w:p>
      <w:pPr>
        <w:keepNext/>
        <w:spacing w:before="280" w:after="80"/>
      </w:pPr>
      <w:r>
        <w:rPr>
          <w:rFonts w:ascii="Calibri" w:hAnsi="Calibri"/>
          <w:b/>
          <w:color w:val="000000"/>
          <w:sz w:val="25"/>
        </w:rPr>
        <w:t>4.2 Workflow 2: Custom Deep Learning Detector Training Pipeline</w:t>
      </w:r>
    </w:p>
    <w:p>
      <w:pPr>
        <w:spacing w:before="0" w:after="120" w:line="276" w:lineRule="auto"/>
      </w:pPr>
      <w:r>
        <w:rPr>
          <w:rFonts w:ascii="Calibri" w:hAnsi="Calibri"/>
          <w:color w:val="000000"/>
          <w:sz w:val="21"/>
        </w:rPr>
        <w:t>The detector training pipeline trains our custom MobileNetV2-FPN architecture on the 32,203-image WIDER FACE benchmark:</w:t>
      </w:r>
    </w:p>
    <w:p>
      <w:pPr>
        <w:pStyle w:val="ListBullet"/>
        <w:spacing w:before="0" w:after="60" w:line="276" w:lineRule="auto"/>
      </w:pPr>
      <w:r>
        <w:rPr>
          <w:rFonts w:ascii="Calibri" w:hAnsi="Calibri"/>
          <w:b/>
          <w:color w:val="000000"/>
          <w:sz w:val="20"/>
        </w:rPr>
        <w:t xml:space="preserve">Step 1 - Dataset Ingestion: </w:t>
      </w:r>
      <w:r>
        <w:rPr>
          <w:rFonts w:ascii="Calibri" w:hAnsi="Calibri"/>
          <w:color w:val="000000"/>
          <w:sz w:val="20"/>
        </w:rPr>
        <w:t>Ground truth bounding boxes and attribute flags (blur, occlusion, pose) are parsed into easy, medium, and hard splits.</w:t>
      </w:r>
    </w:p>
    <w:p>
      <w:pPr>
        <w:pStyle w:val="ListBullet"/>
        <w:spacing w:before="0" w:after="60" w:line="276" w:lineRule="auto"/>
      </w:pPr>
      <w:r>
        <w:rPr>
          <w:rFonts w:ascii="Calibri" w:hAnsi="Calibri"/>
          <w:b/>
          <w:color w:val="000000"/>
          <w:sz w:val="20"/>
        </w:rPr>
        <w:t xml:space="preserve">Step 2 - Advanced Data Augmentation: </w:t>
      </w:r>
      <w:r>
        <w:rPr>
          <w:rFonts w:ascii="Calibri" w:hAnsi="Calibri"/>
          <w:color w:val="000000"/>
          <w:sz w:val="20"/>
        </w:rPr>
        <w:t>Images undergo 30% Mosaic composition, 50% horizontal flipping, random cutout (3 holes of 40px), and HSV color perturbation.</w:t>
      </w:r>
    </w:p>
    <w:p>
      <w:pPr>
        <w:pStyle w:val="ListBullet"/>
        <w:spacing w:before="0" w:after="60" w:line="276" w:lineRule="auto"/>
      </w:pPr>
      <w:r>
        <w:rPr>
          <w:rFonts w:ascii="Calibri" w:hAnsi="Calibri"/>
          <w:b/>
          <w:color w:val="000000"/>
          <w:sz w:val="20"/>
        </w:rPr>
        <w:t xml:space="preserve">Step 3 - Anchor Target Encoding: </w:t>
      </w:r>
      <w:r>
        <w:rPr>
          <w:rFonts w:ascii="Calibri" w:hAnsi="Calibri"/>
          <w:color w:val="000000"/>
          <w:sz w:val="20"/>
        </w:rPr>
        <w:t>Anchors are matched against ground truth using IoU thresholds. Positive matches (IoU &gt; 0.5) and negative anchors (IoU &lt; 0.3) are assigned.</w:t>
      </w:r>
    </w:p>
    <w:p>
      <w:pPr>
        <w:pStyle w:val="ListBullet"/>
        <w:spacing w:before="0" w:after="60" w:line="276" w:lineRule="auto"/>
      </w:pPr>
      <w:r>
        <w:rPr>
          <w:rFonts w:ascii="Calibri" w:hAnsi="Calibri"/>
          <w:b/>
          <w:color w:val="000000"/>
          <w:sz w:val="20"/>
        </w:rPr>
        <w:t xml:space="preserve">Step 4 - Multi-Task Loss Computation: </w:t>
      </w:r>
      <w:r>
        <w:rPr>
          <w:rFonts w:ascii="Calibri" w:hAnsi="Calibri"/>
          <w:color w:val="000000"/>
          <w:sz w:val="20"/>
        </w:rPr>
        <w:t>The multi-task loss combines classification Focal Loss (alpha=0.25, gamma=2.0), Complete IoU (CIoU) bounding box regression, and 3:1 hard negative mining.</w:t>
      </w:r>
    </w:p>
    <w:p>
      <w:pPr>
        <w:pStyle w:val="ListBullet"/>
        <w:spacing w:before="0" w:after="60" w:line="276" w:lineRule="auto"/>
      </w:pPr>
      <w:r>
        <w:rPr>
          <w:rFonts w:ascii="Calibri" w:hAnsi="Calibri"/>
          <w:b/>
          <w:color w:val="000000"/>
          <w:sz w:val="20"/>
        </w:rPr>
        <w:t xml:space="preserve">Step 5 - Optimization &amp; Mixed Precision: </w:t>
      </w:r>
      <w:r>
        <w:rPr>
          <w:rFonts w:ascii="Calibri" w:hAnsi="Calibri"/>
          <w:color w:val="000000"/>
          <w:sz w:val="20"/>
        </w:rPr>
        <w:t>The network trains with AdamW, Cosine Annealing learning rate schedule, CUDA FP16 Automatic Mixed Precision (AMP), and gradient clipping (5.0).</w:t>
      </w:r>
    </w:p>
    <w:p>
      <w:pPr>
        <w:pStyle w:val="ListBullet"/>
        <w:spacing w:before="0" w:after="60" w:line="276" w:lineRule="auto"/>
      </w:pPr>
      <w:r>
        <w:rPr>
          <w:rFonts w:ascii="Calibri" w:hAnsi="Calibri"/>
          <w:b/>
          <w:color w:val="000000"/>
          <w:sz w:val="20"/>
        </w:rPr>
        <w:t xml:space="preserve">Step 6 - Checkpoint Management: </w:t>
      </w:r>
      <w:r>
        <w:rPr>
          <w:rFonts w:ascii="Calibri" w:hAnsi="Calibri"/>
          <w:color w:val="000000"/>
          <w:sz w:val="20"/>
        </w:rPr>
        <w:t>Every epoch computes validation mAP@0.5. Top-3 performing checkpoints and the running EMA weights are saved automatically (`epoch_0021_mAP_0.8127.pt`).</w:t>
      </w:r>
    </w:p>
    <w:p>
      <w:pPr>
        <w:keepNext/>
        <w:spacing w:before="280" w:after="80"/>
      </w:pPr>
      <w:r>
        <w:rPr>
          <w:rFonts w:ascii="Calibri" w:hAnsi="Calibri"/>
          <w:b/>
          <w:color w:val="000000"/>
          <w:sz w:val="25"/>
        </w:rPr>
        <w:t>4.3 Workflow 3: Real-Time Edge Inference &amp; Tracking Pipeline</w:t>
      </w:r>
    </w:p>
    <w:p>
      <w:pPr>
        <w:spacing w:before="0" w:after="120" w:line="276" w:lineRule="auto"/>
      </w:pPr>
      <w:r>
        <w:rPr>
          <w:rFonts w:ascii="Calibri" w:hAnsi="Calibri"/>
          <w:color w:val="000000"/>
          <w:sz w:val="21"/>
        </w:rPr>
        <w:t>In live operational mode, the system identifies transiting students at full frame rate:</w:t>
      </w:r>
    </w:p>
    <w:p>
      <w:pPr>
        <w:pStyle w:val="ListBullet"/>
        <w:spacing w:before="0" w:after="60" w:line="276" w:lineRule="auto"/>
      </w:pPr>
      <w:r>
        <w:rPr>
          <w:rFonts w:ascii="Calibri" w:hAnsi="Calibri"/>
          <w:b/>
          <w:color w:val="000000"/>
          <w:sz w:val="20"/>
        </w:rPr>
        <w:t xml:space="preserve">Step 1 - Frame Preprocessing: </w:t>
      </w:r>
      <w:r>
        <w:rPr>
          <w:rFonts w:ascii="Calibri" w:hAnsi="Calibri"/>
          <w:color w:val="000000"/>
          <w:sz w:val="20"/>
        </w:rPr>
        <w:t>Camera frames are grabbed at 1280x720, downscaled to 640px, and converted to half-precision CUDA tensors.</w:t>
      </w:r>
    </w:p>
    <w:p>
      <w:pPr>
        <w:pStyle w:val="ListBullet"/>
        <w:spacing w:before="0" w:after="60" w:line="276" w:lineRule="auto"/>
      </w:pPr>
      <w:r>
        <w:rPr>
          <w:rFonts w:ascii="Calibri" w:hAnsi="Calibri"/>
          <w:b/>
          <w:color w:val="000000"/>
          <w:sz w:val="20"/>
        </w:rPr>
        <w:t xml:space="preserve">Step 2 - Neural Network Forward Pass: </w:t>
      </w:r>
      <w:r>
        <w:rPr>
          <w:rFonts w:ascii="Calibri" w:hAnsi="Calibri"/>
          <w:color w:val="000000"/>
          <w:sz w:val="20"/>
        </w:rPr>
        <w:t>The PyTorch detector executes a forward pass, predicting class logits and regression deltas across all FPN anchor levels.</w:t>
      </w:r>
    </w:p>
    <w:p>
      <w:pPr>
        <w:pStyle w:val="ListBullet"/>
        <w:spacing w:before="0" w:after="60" w:line="276" w:lineRule="auto"/>
      </w:pPr>
      <w:r>
        <w:rPr>
          <w:rFonts w:ascii="Calibri" w:hAnsi="Calibri"/>
          <w:b/>
          <w:color w:val="000000"/>
          <w:sz w:val="20"/>
        </w:rPr>
        <w:t xml:space="preserve">Step 3 - Soft-NMS Suppression: </w:t>
      </w:r>
      <w:r>
        <w:rPr>
          <w:rFonts w:ascii="Calibri" w:hAnsi="Calibri"/>
          <w:color w:val="000000"/>
          <w:sz w:val="20"/>
        </w:rPr>
        <w:t>Bounding boxes are filtered with a 0.60 confidence cutoff and merged via Gaussian Soft-NMS (sigma=0.5, IoU=0.3).</w:t>
      </w:r>
    </w:p>
    <w:p>
      <w:pPr>
        <w:pStyle w:val="ListBullet"/>
        <w:spacing w:before="0" w:after="60" w:line="276" w:lineRule="auto"/>
      </w:pPr>
      <w:r>
        <w:rPr>
          <w:rFonts w:ascii="Calibri" w:hAnsi="Calibri"/>
          <w:b/>
          <w:color w:val="000000"/>
          <w:sz w:val="20"/>
        </w:rPr>
        <w:t xml:space="preserve">Step 4 - SORT Temporal Association: </w:t>
      </w:r>
      <w:r>
        <w:rPr>
          <w:rFonts w:ascii="Calibri" w:hAnsi="Calibri"/>
          <w:color w:val="000000"/>
          <w:sz w:val="20"/>
        </w:rPr>
        <w:t>Detections are passed to the SORT tracker. Existing tracks are updated using IoU matching, maintaining persistent track IDs across frames.</w:t>
      </w:r>
    </w:p>
    <w:p>
      <w:pPr>
        <w:pStyle w:val="ListBullet"/>
        <w:spacing w:before="0" w:after="60" w:line="276" w:lineRule="auto"/>
      </w:pPr>
      <w:r>
        <w:rPr>
          <w:rFonts w:ascii="Calibri" w:hAnsi="Calibri"/>
          <w:b/>
          <w:color w:val="000000"/>
          <w:sz w:val="20"/>
        </w:rPr>
        <w:t xml:space="preserve">Step 5 - Amortized Recognition: </w:t>
      </w:r>
      <w:r>
        <w:rPr>
          <w:rFonts w:ascii="Calibri" w:hAnsi="Calibri"/>
          <w:color w:val="000000"/>
          <w:sz w:val="20"/>
        </w:rPr>
        <w:t>To conserve GPU compute, expensive ArcFace embedding extraction is executed only once every 5 frames per track. In intermediate frames, the track ID maintains the identity.</w:t>
      </w:r>
    </w:p>
    <w:p>
      <w:pPr>
        <w:pStyle w:val="ListBullet"/>
        <w:spacing w:before="0" w:after="60" w:line="276" w:lineRule="auto"/>
      </w:pPr>
      <w:r>
        <w:rPr>
          <w:rFonts w:ascii="Calibri" w:hAnsi="Calibri"/>
          <w:b/>
          <w:color w:val="000000"/>
          <w:sz w:val="20"/>
        </w:rPr>
        <w:t xml:space="preserve">Step 6 - Vectorized Cosine Matching: </w:t>
      </w:r>
      <w:r>
        <w:rPr>
          <w:rFonts w:ascii="Calibri" w:hAnsi="Calibri"/>
          <w:color w:val="000000"/>
          <w:sz w:val="20"/>
        </w:rPr>
        <w:t>The extracted 512-d vector is compared against all 5,255 enrolled vectors using vectorized matrix dot products: sim = max(dot(db_matrix, query_vector)).</w:t>
      </w:r>
    </w:p>
    <w:p>
      <w:pPr>
        <w:pStyle w:val="ListBullet"/>
        <w:spacing w:before="0" w:after="60" w:line="276" w:lineRule="auto"/>
      </w:pPr>
      <w:r>
        <w:rPr>
          <w:rFonts w:ascii="Calibri" w:hAnsi="Calibri"/>
          <w:b/>
          <w:color w:val="000000"/>
          <w:sz w:val="20"/>
        </w:rPr>
        <w:t xml:space="preserve">Step 7 - Decision Thresholding: </w:t>
      </w:r>
      <w:r>
        <w:rPr>
          <w:rFonts w:ascii="Calibri" w:hAnsi="Calibri"/>
          <w:color w:val="000000"/>
          <w:sz w:val="20"/>
        </w:rPr>
        <w:t>If maximum similarity exceeds 0.40 (strict 0.50 in verification mode), the student identity is resolved; otherwise, the face is classified as Unknown.</w:t>
      </w:r>
    </w:p>
    <w:p>
      <w:pPr>
        <w:keepNext/>
        <w:spacing w:before="280" w:after="80"/>
      </w:pPr>
      <w:r>
        <w:rPr>
          <w:rFonts w:ascii="Calibri" w:hAnsi="Calibri"/>
          <w:b/>
          <w:color w:val="000000"/>
          <w:sz w:val="25"/>
        </w:rPr>
        <w:t>4.4 Workflow 4: Anti-Passback &amp; Security Re-Entry Alert Pipeline</w:t>
      </w:r>
    </w:p>
    <w:p>
      <w:pPr>
        <w:spacing w:before="0" w:after="120" w:line="276" w:lineRule="auto"/>
      </w:pPr>
      <w:r>
        <w:rPr>
          <w:rFonts w:ascii="Calibri" w:hAnsi="Calibri"/>
          <w:color w:val="000000"/>
          <w:sz w:val="21"/>
        </w:rPr>
        <w:t>To prevent proxy attendance and unauthorized gate re-entry during campus events, the system enforces automated anti-passback rules:</w:t>
      </w:r>
    </w:p>
    <w:p>
      <w:pPr>
        <w:pStyle w:val="ListBullet"/>
        <w:spacing w:before="0" w:after="60" w:line="276" w:lineRule="auto"/>
      </w:pPr>
      <w:r>
        <w:rPr>
          <w:rFonts w:ascii="Calibri" w:hAnsi="Calibri"/>
          <w:b/>
          <w:color w:val="000000"/>
          <w:sz w:val="20"/>
        </w:rPr>
        <w:t xml:space="preserve">Step 1 - Identity Resolution: </w:t>
      </w:r>
      <w:r>
        <w:rPr>
          <w:rFonts w:ascii="Calibri" w:hAnsi="Calibri"/>
          <w:color w:val="000000"/>
          <w:sz w:val="20"/>
        </w:rPr>
        <w:t>Upon positive identification of student (Name, Roll), the system queries the in-memory session ledger (`entry_records`).</w:t>
      </w:r>
    </w:p>
    <w:p>
      <w:pPr>
        <w:pStyle w:val="ListBullet"/>
        <w:spacing w:before="0" w:after="60" w:line="276" w:lineRule="auto"/>
      </w:pPr>
      <w:r>
        <w:rPr>
          <w:rFonts w:ascii="Calibri" w:hAnsi="Calibri"/>
          <w:b/>
          <w:color w:val="000000"/>
          <w:sz w:val="20"/>
        </w:rPr>
        <w:t xml:space="preserve">Step 2 - Initial Entry Authorization: </w:t>
      </w:r>
      <w:r>
        <w:rPr>
          <w:rFonts w:ascii="Calibri" w:hAnsi="Calibri"/>
          <w:color w:val="000000"/>
          <w:sz w:val="20"/>
        </w:rPr>
        <w:t>If the student has not been recorded today, the current timestamp T_0 is logged. The student is rendered with a sleek corner reticle, and attendance is written to `attendance.csv`.</w:t>
      </w:r>
    </w:p>
    <w:p>
      <w:pPr>
        <w:pStyle w:val="ListBullet"/>
        <w:spacing w:before="0" w:after="60" w:line="276" w:lineRule="auto"/>
      </w:pPr>
      <w:r>
        <w:rPr>
          <w:rFonts w:ascii="Calibri" w:hAnsi="Calibri"/>
          <w:b/>
          <w:color w:val="000000"/>
          <w:sz w:val="20"/>
        </w:rPr>
        <w:t xml:space="preserve">Step 3 - Elapsed Time Evaluation: </w:t>
      </w:r>
      <w:r>
        <w:rPr>
          <w:rFonts w:ascii="Calibri" w:hAnsi="Calibri"/>
          <w:color w:val="000000"/>
          <w:sz w:val="20"/>
        </w:rPr>
        <w:t>If the student appears again later in the session, the elapsed time delta_T = T_current - T_0 is computed in minutes.</w:t>
      </w:r>
    </w:p>
    <w:p>
      <w:pPr>
        <w:pStyle w:val="ListBullet"/>
        <w:spacing w:before="0" w:after="60" w:line="276" w:lineRule="auto"/>
      </w:pPr>
      <w:r>
        <w:rPr>
          <w:rFonts w:ascii="Calibri" w:hAnsi="Calibri"/>
          <w:b/>
          <w:color w:val="000000"/>
          <w:sz w:val="20"/>
        </w:rPr>
        <w:t xml:space="preserve">Step 4 - Security Re-Entry Alert Trigger: </w:t>
      </w:r>
      <w:r>
        <w:rPr>
          <w:rFonts w:ascii="Calibri" w:hAnsi="Calibri"/>
          <w:color w:val="000000"/>
          <w:sz w:val="20"/>
        </w:rPr>
        <w:t>If delta_T &gt;= 20.0 minutes, the anti-passback security rule is triggered. The visual reticle immediately signals an active security re-entry.</w:t>
      </w:r>
    </w:p>
    <w:p>
      <w:pPr>
        <w:pStyle w:val="ListBullet"/>
        <w:spacing w:before="0" w:after="60" w:line="276" w:lineRule="auto"/>
      </w:pPr>
      <w:r>
        <w:rPr>
          <w:rFonts w:ascii="Calibri" w:hAnsi="Calibri"/>
          <w:b/>
          <w:color w:val="000000"/>
          <w:sz w:val="20"/>
        </w:rPr>
        <w:t xml:space="preserve">Step 5 - Telemetry &amp; Visual Alert: </w:t>
      </w:r>
      <w:r>
        <w:rPr>
          <w:rFonts w:ascii="Calibri" w:hAnsi="Calibri"/>
          <w:color w:val="000000"/>
          <w:sz w:val="20"/>
        </w:rPr>
        <w:t>The on-screen HUD badge displays: `[NAME] [RE-ENTRY] Alert: Entered Xm ago!` alerting on-site gate security personnel.</w:t>
      </w:r>
    </w:p>
    <w:p>
      <w:pPr>
        <w:pStyle w:val="ListBullet"/>
        <w:spacing w:before="0" w:after="60" w:line="276" w:lineRule="auto"/>
      </w:pPr>
      <w:r>
        <w:rPr>
          <w:rFonts w:ascii="Calibri" w:hAnsi="Calibri"/>
          <w:b/>
          <w:color w:val="000000"/>
          <w:sz w:val="20"/>
        </w:rPr>
        <w:t xml:space="preserve">Step 6 - Photographic Proof Logging: </w:t>
      </w:r>
      <w:r>
        <w:rPr>
          <w:rFonts w:ascii="Calibri" w:hAnsi="Calibri"/>
          <w:color w:val="000000"/>
          <w:sz w:val="20"/>
        </w:rPr>
        <w:t>The client automatically captures and persists an audit screenshot named `outputs/screenshots/[NAME]_[ROLL]_REENTRY_[TIMESTAMP].jpg` (governed by a 60-second cooldown per student).</w:t>
      </w:r>
    </w:p>
    <w:p>
      <w:pPr>
        <w:keepNext/>
        <w:spacing w:before="280" w:after="80"/>
      </w:pPr>
      <w:r>
        <w:rPr>
          <w:rFonts w:ascii="Calibri" w:hAnsi="Calibri"/>
          <w:b/>
          <w:color w:val="000000"/>
          <w:sz w:val="25"/>
        </w:rPr>
        <w:t>4.5 Workflow 5: Attendance Persistence &amp; Concurrency Pipeline</w:t>
      </w:r>
    </w:p>
    <w:p>
      <w:pPr>
        <w:spacing w:before="0" w:after="120" w:line="276" w:lineRule="auto"/>
      </w:pPr>
      <w:r>
        <w:rPr>
          <w:rFonts w:ascii="Calibri" w:hAnsi="Calibri"/>
          <w:color w:val="000000"/>
          <w:sz w:val="21"/>
        </w:rPr>
        <w:t>Robust, continuous campus operations require bulletproof persistence and multi-process safety:</w:t>
      </w:r>
    </w:p>
    <w:p>
      <w:pPr>
        <w:pStyle w:val="ListBullet"/>
        <w:spacing w:before="0" w:after="60" w:line="276" w:lineRule="auto"/>
      </w:pPr>
      <w:r>
        <w:rPr>
          <w:rFonts w:ascii="Calibri" w:hAnsi="Calibri"/>
          <w:b/>
          <w:color w:val="000000"/>
          <w:sz w:val="20"/>
        </w:rPr>
        <w:t xml:space="preserve">Step 1 - Cross-Process File Locking: </w:t>
      </w:r>
      <w:r>
        <w:rPr>
          <w:rFonts w:ascii="Calibri" w:hAnsi="Calibri"/>
          <w:color w:val="000000"/>
          <w:sz w:val="20"/>
        </w:rPr>
        <w:t>Before writing verified attendance, the process acquires an advisory file lock using `portalocker`, preventing file corruption if multiple camera streams write simultaneously.</w:t>
      </w:r>
    </w:p>
    <w:p>
      <w:pPr>
        <w:pStyle w:val="ListBullet"/>
        <w:spacing w:before="0" w:after="60" w:line="276" w:lineRule="auto"/>
      </w:pPr>
      <w:r>
        <w:rPr>
          <w:rFonts w:ascii="Calibri" w:hAnsi="Calibri"/>
          <w:b/>
          <w:color w:val="000000"/>
          <w:sz w:val="20"/>
        </w:rPr>
        <w:t xml:space="preserve">Step 2 - Deduplication Verification: </w:t>
      </w:r>
      <w:r>
        <w:rPr>
          <w:rFonts w:ascii="Calibri" w:hAnsi="Calibri"/>
          <w:color w:val="000000"/>
          <w:sz w:val="20"/>
        </w:rPr>
        <w:t>The system checks the daily in-memory cache. If the student has already been granted attendance for the current calendar date, redundant writes are discarded.</w:t>
      </w:r>
    </w:p>
    <w:p>
      <w:pPr>
        <w:pStyle w:val="ListBullet"/>
        <w:spacing w:before="0" w:after="60" w:line="276" w:lineRule="auto"/>
      </w:pPr>
      <w:r>
        <w:rPr>
          <w:rFonts w:ascii="Calibri" w:hAnsi="Calibri"/>
          <w:b/>
          <w:color w:val="000000"/>
          <w:sz w:val="20"/>
        </w:rPr>
        <w:t xml:space="preserve">Step 3 - Disk Persistence: </w:t>
      </w:r>
      <w:r>
        <w:rPr>
          <w:rFonts w:ascii="Calibri" w:hAnsi="Calibri"/>
          <w:color w:val="000000"/>
          <w:sz w:val="20"/>
        </w:rPr>
        <w:t>The record (`Name, Branch, Roll Number, Timestamp`) is appended to `attendance.csv`.</w:t>
      </w:r>
    </w:p>
    <w:p>
      <w:pPr>
        <w:pStyle w:val="ListBullet"/>
        <w:spacing w:before="0" w:after="60" w:line="276" w:lineRule="auto"/>
      </w:pPr>
      <w:r>
        <w:rPr>
          <w:rFonts w:ascii="Calibri" w:hAnsi="Calibri"/>
          <w:b/>
          <w:color w:val="000000"/>
          <w:sz w:val="20"/>
        </w:rPr>
        <w:t xml:space="preserve">Step 4 - Midnight Rollover Flush: </w:t>
      </w:r>
      <w:r>
        <w:rPr>
          <w:rFonts w:ascii="Calibri" w:hAnsi="Calibri"/>
          <w:color w:val="000000"/>
          <w:sz w:val="20"/>
        </w:rPr>
        <w:t>The attendance logger tracks the current system date. When the calendar day rolls over at midnight, `logged_today` is flushed automatically, allowing long-running server daemons to operate indefinitely without restarts.</w:t>
      </w:r>
    </w:p>
    <w:p>
      <w:pPr>
        <w:keepNext/>
        <w:spacing w:before="280" w:after="80"/>
      </w:pPr>
      <w:r>
        <w:rPr>
          <w:rFonts w:ascii="Calibri" w:hAnsi="Calibri"/>
          <w:b/>
          <w:color w:val="000000"/>
          <w:sz w:val="25"/>
        </w:rPr>
        <w:t>4.6 Workflow 6: Student Metadata Resolution Pipeline</w:t>
      </w:r>
    </w:p>
    <w:p>
      <w:pPr>
        <w:spacing w:before="0" w:after="120" w:line="276" w:lineRule="auto"/>
      </w:pPr>
      <w:r>
        <w:rPr>
          <w:rFonts w:ascii="Calibri" w:hAnsi="Calibri"/>
          <w:color w:val="000000"/>
          <w:sz w:val="21"/>
        </w:rPr>
        <w:t>The system seamlessly maps raw biometric vector labels (e.g., `AADARSH_DESHWAL_28250239`) to institutional academic records:</w:t>
      </w:r>
    </w:p>
    <w:p>
      <w:pPr>
        <w:pStyle w:val="ListBullet"/>
        <w:spacing w:before="0" w:after="60" w:line="276" w:lineRule="auto"/>
      </w:pPr>
      <w:r>
        <w:rPr>
          <w:rFonts w:ascii="Calibri" w:hAnsi="Calibri"/>
          <w:b/>
          <w:color w:val="000000"/>
          <w:sz w:val="20"/>
        </w:rPr>
        <w:t xml:space="preserve">Step 1 - Multi-Source Ingestion: </w:t>
      </w:r>
      <w:r>
        <w:rPr>
          <w:rFonts w:ascii="Calibri" w:hAnsi="Calibri"/>
          <w:color w:val="000000"/>
          <w:sz w:val="20"/>
        </w:rPr>
        <w:t>At startup, `StudentMetadataDB` ingests college master files (`PIET - All Students - Okiedokie and Drive Links.xlsx`, `output.csv`, `output2.csv`).</w:t>
      </w:r>
    </w:p>
    <w:p>
      <w:pPr>
        <w:pStyle w:val="ListBullet"/>
        <w:spacing w:before="0" w:after="60" w:line="276" w:lineRule="auto"/>
      </w:pPr>
      <w:r>
        <w:rPr>
          <w:rFonts w:ascii="Calibri" w:hAnsi="Calibri"/>
          <w:b/>
          <w:color w:val="000000"/>
          <w:sz w:val="20"/>
        </w:rPr>
        <w:t xml:space="preserve">Step 2 - Dynamic Header Discovery: </w:t>
      </w:r>
      <w:r>
        <w:rPr>
          <w:rFonts w:ascii="Calibri" w:hAnsi="Calibri"/>
          <w:color w:val="000000"/>
          <w:sz w:val="20"/>
        </w:rPr>
        <w:t>The parser inspects column headers dynamically, identifying student names, roll numbers, and academic branches regardless of column ordering.</w:t>
      </w:r>
    </w:p>
    <w:p>
      <w:pPr>
        <w:pStyle w:val="ListBullet"/>
        <w:spacing w:before="0" w:after="60" w:line="276" w:lineRule="auto"/>
      </w:pPr>
      <w:r>
        <w:rPr>
          <w:rFonts w:ascii="Calibri" w:hAnsi="Calibri"/>
          <w:b/>
          <w:color w:val="000000"/>
          <w:sz w:val="20"/>
        </w:rPr>
        <w:t xml:space="preserve">Step 3 - Hash Indexing: </w:t>
      </w:r>
      <w:r>
        <w:rPr>
          <w:rFonts w:ascii="Calibri" w:hAnsi="Calibri"/>
          <w:color w:val="000000"/>
          <w:sz w:val="20"/>
        </w:rPr>
        <w:t>Constructs two primary hash indices: `_by_roll` (keyed by Roll No) and `_by_name` (keyed by lower-case student tokens).</w:t>
      </w:r>
    </w:p>
    <w:p>
      <w:pPr>
        <w:pStyle w:val="ListBullet"/>
        <w:spacing w:before="0" w:after="60" w:line="276" w:lineRule="auto"/>
      </w:pPr>
      <w:r>
        <w:rPr>
          <w:rFonts w:ascii="Calibri" w:hAnsi="Calibri"/>
          <w:b/>
          <w:color w:val="000000"/>
          <w:sz w:val="20"/>
        </w:rPr>
        <w:t xml:space="preserve">Step 4 - Sub-Millisecond Resolution: </w:t>
      </w:r>
      <w:r>
        <w:rPr>
          <w:rFonts w:ascii="Calibri" w:hAnsi="Calibri"/>
          <w:color w:val="000000"/>
          <w:sz w:val="20"/>
        </w:rPr>
        <w:t>During live recognition, token extraction resolves the roll number or full name in O(1) time complexity, returning full official details (Name, Roll, Branch) for the HUD badge.</w:t>
      </w:r>
    </w:p>
    <w:p>
      <w:pPr>
        <w:keepNext/>
        <w:spacing w:before="400" w:after="120"/>
      </w:pPr>
      <w:r>
        <w:rPr>
          <w:rFonts w:ascii="Calibri" w:hAnsi="Calibri"/>
          <w:b/>
          <w:color w:val="000000"/>
          <w:sz w:val="30"/>
        </w:rPr>
        <w:t>5. Field Deployment Evidence &amp; Quantitative Performance</w:t>
      </w:r>
    </w:p>
    <w:p>
      <w:pPr>
        <w:spacing w:before="0" w:after="120" w:line="276" w:lineRule="auto"/>
      </w:pPr>
      <w:r>
        <w:rPr>
          <w:rFonts w:ascii="Calibri" w:hAnsi="Calibri"/>
          <w:color w:val="000000"/>
          <w:sz w:val="21"/>
        </w:rPr>
        <w:t>The system underwent rigorous live field validation during the official PIET Fest events and campus verification operations on October 2, 2026 and October 15, 2026. This section presents the exact empirical metrics harvested from the operational deployment.</w:t>
      </w:r>
    </w:p>
    <w:p>
      <w:pPr>
        <w:keepNext/>
        <w:spacing w:before="280" w:after="80"/>
      </w:pPr>
      <w:r>
        <w:rPr>
          <w:rFonts w:ascii="Calibri" w:hAnsi="Calibri"/>
          <w:b/>
          <w:color w:val="000000"/>
          <w:sz w:val="25"/>
        </w:rPr>
        <w:t>5.1 Quantitative Operational Metrics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3120"/>
        <w:gridCol w:w="3120"/>
        <w:gridCol w:w="3120"/>
      </w:tblGrid>
      <w:tr>
        <w:tc>
          <w:tcPr>
            <w:tcW w:type="dxa" w:w="3456"/>
            <w:shd w:fill="000000"/>
            <w:tcMar>
              <w:top w:w="120" w:type="dxa"/>
              <w:bottom w:w="120" w:type="dxa"/>
              <w:left w:w="150" w:type="dxa"/>
              <w:right w:w="150" w:type="dxa"/>
            </w:tcMar>
          </w:tcPr>
          <w:p>
            <w:pPr>
              <w:spacing w:before="0" w:after="0"/>
            </w:pPr>
            <w:r>
              <w:rPr>
                <w:rFonts w:ascii="Calibri" w:hAnsi="Calibri"/>
                <w:b/>
                <w:color w:val="FFFFFF"/>
                <w:sz w:val="19"/>
              </w:rPr>
              <w:t>Operational Parameter</w:t>
            </w:r>
          </w:p>
        </w:tc>
        <w:tc>
          <w:tcPr>
            <w:tcW w:type="dxa" w:w="3024"/>
            <w:shd w:fill="000000"/>
            <w:tcMar>
              <w:top w:w="120" w:type="dxa"/>
              <w:bottom w:w="120" w:type="dxa"/>
              <w:left w:w="150" w:type="dxa"/>
              <w:right w:w="150" w:type="dxa"/>
            </w:tcMar>
          </w:tcPr>
          <w:p>
            <w:pPr>
              <w:spacing w:before="0" w:after="0"/>
            </w:pPr>
            <w:r>
              <w:rPr>
                <w:rFonts w:ascii="Calibri" w:hAnsi="Calibri"/>
                <w:b/>
                <w:color w:val="FFFFFF"/>
                <w:sz w:val="19"/>
              </w:rPr>
              <w:t>Empirical Measurement</w:t>
            </w:r>
          </w:p>
        </w:tc>
        <w:tc>
          <w:tcPr>
            <w:tcW w:type="dxa" w:w="2880"/>
            <w:shd w:fill="000000"/>
            <w:tcMar>
              <w:top w:w="120" w:type="dxa"/>
              <w:bottom w:w="120" w:type="dxa"/>
              <w:left w:w="150" w:type="dxa"/>
              <w:right w:w="150" w:type="dxa"/>
            </w:tcMar>
          </w:tcPr>
          <w:p>
            <w:pPr>
              <w:spacing w:before="0" w:after="0"/>
            </w:pPr>
            <w:r>
              <w:rPr>
                <w:rFonts w:ascii="Calibri" w:hAnsi="Calibri"/>
                <w:b/>
                <w:color w:val="FFFFFF"/>
                <w:sz w:val="19"/>
              </w:rPr>
              <w:t>Validation Source / Ledger</w:t>
            </w:r>
          </w:p>
        </w:tc>
      </w:tr>
      <w:tr>
        <w:tc>
          <w:tcPr>
            <w:tcW w:type="dxa" w:w="3456"/>
            <w:shd w:fill="FFFFFF"/>
            <w:tcMar>
              <w:top w:w="90" w:type="dxa"/>
              <w:bottom w:w="90" w:type="dxa"/>
              <w:left w:w="150" w:type="dxa"/>
              <w:right w:w="150" w:type="dxa"/>
            </w:tcMar>
          </w:tcPr>
          <w:p>
            <w:pPr>
              <w:spacing w:before="0" w:after="0"/>
            </w:pPr>
            <w:r>
              <w:rPr>
                <w:rFonts w:ascii="Calibri" w:hAnsi="Calibri"/>
                <w:color w:val="000000"/>
                <w:sz w:val="18"/>
              </w:rPr>
              <w:t>Total Enrolled Student Profiles</w:t>
            </w:r>
          </w:p>
        </w:tc>
        <w:tc>
          <w:tcPr>
            <w:tcW w:type="dxa" w:w="3024"/>
            <w:shd w:fill="FFFFFF"/>
            <w:tcMar>
              <w:top w:w="90" w:type="dxa"/>
              <w:bottom w:w="90" w:type="dxa"/>
              <w:left w:w="150" w:type="dxa"/>
              <w:right w:w="150" w:type="dxa"/>
            </w:tcMar>
          </w:tcPr>
          <w:p>
            <w:pPr>
              <w:spacing w:before="0" w:after="0"/>
            </w:pPr>
            <w:r>
              <w:rPr>
                <w:rFonts w:ascii="Calibri" w:hAnsi="Calibri"/>
                <w:color w:val="000000"/>
                <w:sz w:val="18"/>
              </w:rPr>
              <w:t>5,255 Student Identities</w:t>
            </w:r>
          </w:p>
        </w:tc>
        <w:tc>
          <w:tcPr>
            <w:tcW w:type="dxa" w:w="2880"/>
            <w:shd w:fill="FFFFFF"/>
            <w:tcMar>
              <w:top w:w="90" w:type="dxa"/>
              <w:bottom w:w="90" w:type="dxa"/>
              <w:left w:w="150" w:type="dxa"/>
              <w:right w:w="150" w:type="dxa"/>
            </w:tcMar>
          </w:tcPr>
          <w:p>
            <w:pPr>
              <w:spacing w:before="0" w:after="0"/>
            </w:pPr>
            <w:r>
              <w:rPr>
                <w:rFonts w:ascii="Calibri" w:hAnsi="Calibri"/>
                <w:color w:val="000000"/>
                <w:sz w:val="18"/>
              </w:rPr>
              <w:t>encodings.pkl (5,273 registered folders)</w:t>
            </w:r>
          </w:p>
        </w:tc>
      </w:tr>
      <w:tr>
        <w:tc>
          <w:tcPr>
            <w:tcW w:type="dxa" w:w="3456"/>
            <w:shd w:fill="FAFAFA"/>
            <w:tcMar>
              <w:top w:w="90" w:type="dxa"/>
              <w:bottom w:w="90" w:type="dxa"/>
              <w:left w:w="150" w:type="dxa"/>
              <w:right w:w="150" w:type="dxa"/>
            </w:tcMar>
          </w:tcPr>
          <w:p>
            <w:pPr>
              <w:spacing w:before="0" w:after="0"/>
            </w:pPr>
            <w:r>
              <w:rPr>
                <w:rFonts w:ascii="Calibri" w:hAnsi="Calibri"/>
                <w:color w:val="000000"/>
                <w:sz w:val="18"/>
              </w:rPr>
              <w:t>Total Biometric Embedding Vectors</w:t>
            </w:r>
          </w:p>
        </w:tc>
        <w:tc>
          <w:tcPr>
            <w:tcW w:type="dxa" w:w="3024"/>
            <w:shd w:fill="FAFAFA"/>
            <w:tcMar>
              <w:top w:w="90" w:type="dxa"/>
              <w:bottom w:w="90" w:type="dxa"/>
              <w:left w:w="150" w:type="dxa"/>
              <w:right w:w="150" w:type="dxa"/>
            </w:tcMar>
          </w:tcPr>
          <w:p>
            <w:pPr>
              <w:spacing w:before="0" w:after="0"/>
            </w:pPr>
            <w:r>
              <w:rPr>
                <w:rFonts w:ascii="Calibri" w:hAnsi="Calibri"/>
                <w:color w:val="000000"/>
                <w:sz w:val="18"/>
              </w:rPr>
              <w:t>10,510 Normalized 512-d Vectors</w:t>
            </w:r>
          </w:p>
        </w:tc>
        <w:tc>
          <w:tcPr>
            <w:tcW w:type="dxa" w:w="2880"/>
            <w:shd w:fill="FAFAFA"/>
            <w:tcMar>
              <w:top w:w="90" w:type="dxa"/>
              <w:bottom w:w="90" w:type="dxa"/>
              <w:left w:w="150" w:type="dxa"/>
              <w:right w:w="150" w:type="dxa"/>
            </w:tcMar>
          </w:tcPr>
          <w:p>
            <w:pPr>
              <w:spacing w:before="0" w:after="0"/>
            </w:pPr>
            <w:r>
              <w:rPr>
                <w:rFonts w:ascii="Calibri" w:hAnsi="Calibri"/>
                <w:color w:val="000000"/>
                <w:sz w:val="18"/>
              </w:rPr>
              <w:t>encodings.pkl (ArcFace ResNet-50)</w:t>
            </w:r>
          </w:p>
        </w:tc>
      </w:tr>
      <w:tr>
        <w:tc>
          <w:tcPr>
            <w:tcW w:type="dxa" w:w="3456"/>
            <w:shd w:fill="FFFFFF"/>
            <w:tcMar>
              <w:top w:w="90" w:type="dxa"/>
              <w:bottom w:w="90" w:type="dxa"/>
              <w:left w:w="150" w:type="dxa"/>
              <w:right w:w="150" w:type="dxa"/>
            </w:tcMar>
          </w:tcPr>
          <w:p>
            <w:pPr>
              <w:spacing w:before="0" w:after="0"/>
            </w:pPr>
            <w:r>
              <w:rPr>
                <w:rFonts w:ascii="Calibri" w:hAnsi="Calibri"/>
                <w:color w:val="000000"/>
                <w:sz w:val="18"/>
              </w:rPr>
              <w:t>Total Verified Gate Attendance Records</w:t>
            </w:r>
          </w:p>
        </w:tc>
        <w:tc>
          <w:tcPr>
            <w:tcW w:type="dxa" w:w="3024"/>
            <w:shd w:fill="FFFFFF"/>
            <w:tcMar>
              <w:top w:w="90" w:type="dxa"/>
              <w:bottom w:w="90" w:type="dxa"/>
              <w:left w:w="150" w:type="dxa"/>
              <w:right w:w="150" w:type="dxa"/>
            </w:tcMar>
          </w:tcPr>
          <w:p>
            <w:pPr>
              <w:spacing w:before="0" w:after="0"/>
            </w:pPr>
            <w:r>
              <w:rPr>
                <w:rFonts w:ascii="Calibri" w:hAnsi="Calibri"/>
                <w:color w:val="000000"/>
                <w:sz w:val="18"/>
              </w:rPr>
              <w:t>1,332 Attendance Transactions</w:t>
            </w:r>
          </w:p>
        </w:tc>
        <w:tc>
          <w:tcPr>
            <w:tcW w:type="dxa" w:w="2880"/>
            <w:shd w:fill="FFFFFF"/>
            <w:tcMar>
              <w:top w:w="90" w:type="dxa"/>
              <w:bottom w:w="90" w:type="dxa"/>
              <w:left w:w="150" w:type="dxa"/>
              <w:right w:w="150" w:type="dxa"/>
            </w:tcMar>
          </w:tcPr>
          <w:p>
            <w:pPr>
              <w:spacing w:before="0" w:after="0"/>
            </w:pPr>
            <w:r>
              <w:rPr>
                <w:rFonts w:ascii="Calibri" w:hAnsi="Calibri"/>
                <w:color w:val="000000"/>
                <w:sz w:val="18"/>
              </w:rPr>
              <w:t>attendance.csv (Oct 2 &amp; Oct 15, 2026)</w:t>
            </w:r>
          </w:p>
        </w:tc>
      </w:tr>
      <w:tr>
        <w:tc>
          <w:tcPr>
            <w:tcW w:type="dxa" w:w="3456"/>
            <w:shd w:fill="FAFAFA"/>
            <w:tcMar>
              <w:top w:w="90" w:type="dxa"/>
              <w:bottom w:w="90" w:type="dxa"/>
              <w:left w:w="150" w:type="dxa"/>
              <w:right w:w="150" w:type="dxa"/>
            </w:tcMar>
          </w:tcPr>
          <w:p>
            <w:pPr>
              <w:spacing w:before="0" w:after="0"/>
            </w:pPr>
            <w:r>
              <w:rPr>
                <w:rFonts w:ascii="Calibri" w:hAnsi="Calibri"/>
                <w:color w:val="000000"/>
                <w:sz w:val="18"/>
              </w:rPr>
              <w:t>Total Verification Audit Screenshots</w:t>
            </w:r>
          </w:p>
        </w:tc>
        <w:tc>
          <w:tcPr>
            <w:tcW w:type="dxa" w:w="3024"/>
            <w:shd w:fill="FAFAFA"/>
            <w:tcMar>
              <w:top w:w="90" w:type="dxa"/>
              <w:bottom w:w="90" w:type="dxa"/>
              <w:left w:w="150" w:type="dxa"/>
              <w:right w:w="150" w:type="dxa"/>
            </w:tcMar>
          </w:tcPr>
          <w:p>
            <w:pPr>
              <w:spacing w:before="0" w:after="0"/>
            </w:pPr>
            <w:r>
              <w:rPr>
                <w:rFonts w:ascii="Calibri" w:hAnsi="Calibri"/>
                <w:color w:val="000000"/>
                <w:sz w:val="18"/>
              </w:rPr>
              <w:t>3,315 High-Resolution Proof Images</w:t>
            </w:r>
          </w:p>
        </w:tc>
        <w:tc>
          <w:tcPr>
            <w:tcW w:type="dxa" w:w="2880"/>
            <w:shd w:fill="FAFAFA"/>
            <w:tcMar>
              <w:top w:w="90" w:type="dxa"/>
              <w:bottom w:w="90" w:type="dxa"/>
              <w:left w:w="150" w:type="dxa"/>
              <w:right w:w="150" w:type="dxa"/>
            </w:tcMar>
          </w:tcPr>
          <w:p>
            <w:pPr>
              <w:spacing w:before="0" w:after="0"/>
            </w:pPr>
            <w:r>
              <w:rPr>
                <w:rFonts w:ascii="Calibri" w:hAnsi="Calibri"/>
                <w:color w:val="000000"/>
                <w:sz w:val="18"/>
              </w:rPr>
              <w:t>outputs/screenshots/ directory</w:t>
            </w:r>
          </w:p>
        </w:tc>
      </w:tr>
      <w:tr>
        <w:tc>
          <w:tcPr>
            <w:tcW w:type="dxa" w:w="3456"/>
            <w:shd w:fill="FFFFFF"/>
            <w:tcMar>
              <w:top w:w="90" w:type="dxa"/>
              <w:bottom w:w="90" w:type="dxa"/>
              <w:left w:w="150" w:type="dxa"/>
              <w:right w:w="150" w:type="dxa"/>
            </w:tcMar>
          </w:tcPr>
          <w:p>
            <w:pPr>
              <w:spacing w:before="0" w:after="0"/>
            </w:pPr>
            <w:r>
              <w:rPr>
                <w:rFonts w:ascii="Calibri" w:hAnsi="Calibri"/>
                <w:color w:val="000000"/>
                <w:sz w:val="18"/>
              </w:rPr>
              <w:t>Verified Normal Entry Captures</w:t>
            </w:r>
          </w:p>
        </w:tc>
        <w:tc>
          <w:tcPr>
            <w:tcW w:type="dxa" w:w="3024"/>
            <w:shd w:fill="FFFFFF"/>
            <w:tcMar>
              <w:top w:w="90" w:type="dxa"/>
              <w:bottom w:w="90" w:type="dxa"/>
              <w:left w:w="150" w:type="dxa"/>
              <w:right w:w="150" w:type="dxa"/>
            </w:tcMar>
          </w:tcPr>
          <w:p>
            <w:pPr>
              <w:spacing w:before="0" w:after="0"/>
            </w:pPr>
            <w:r>
              <w:rPr>
                <w:rFonts w:ascii="Calibri" w:hAnsi="Calibri"/>
                <w:color w:val="000000"/>
                <w:sz w:val="18"/>
              </w:rPr>
              <w:t>1,538 Production Screenshots</w:t>
            </w:r>
          </w:p>
        </w:tc>
        <w:tc>
          <w:tcPr>
            <w:tcW w:type="dxa" w:w="2880"/>
            <w:shd w:fill="FFFFFF"/>
            <w:tcMar>
              <w:top w:w="90" w:type="dxa"/>
              <w:bottom w:w="90" w:type="dxa"/>
              <w:left w:w="150" w:type="dxa"/>
              <w:right w:w="150" w:type="dxa"/>
            </w:tcMar>
          </w:tcPr>
          <w:p>
            <w:pPr>
              <w:spacing w:before="0" w:after="0"/>
            </w:pPr>
            <w:r>
              <w:rPr>
                <w:rFonts w:ascii="Calibri" w:hAnsi="Calibri"/>
                <w:color w:val="000000"/>
                <w:sz w:val="18"/>
              </w:rPr>
              <w:t>Corner-reticle verified captures</w:t>
            </w:r>
          </w:p>
        </w:tc>
      </w:tr>
      <w:tr>
        <w:tc>
          <w:tcPr>
            <w:tcW w:type="dxa" w:w="3456"/>
            <w:shd w:fill="FAFAFA"/>
            <w:tcMar>
              <w:top w:w="90" w:type="dxa"/>
              <w:bottom w:w="90" w:type="dxa"/>
              <w:left w:w="150" w:type="dxa"/>
              <w:right w:w="150" w:type="dxa"/>
            </w:tcMar>
          </w:tcPr>
          <w:p>
            <w:pPr>
              <w:spacing w:before="0" w:after="0"/>
            </w:pPr>
            <w:r>
              <w:rPr>
                <w:rFonts w:ascii="Calibri" w:hAnsi="Calibri"/>
                <w:color w:val="000000"/>
                <w:sz w:val="18"/>
              </w:rPr>
              <w:t>Security Anti-Passback Re-Entry Captures</w:t>
            </w:r>
          </w:p>
        </w:tc>
        <w:tc>
          <w:tcPr>
            <w:tcW w:type="dxa" w:w="3024"/>
            <w:shd w:fill="FAFAFA"/>
            <w:tcMar>
              <w:top w:w="90" w:type="dxa"/>
              <w:bottom w:w="90" w:type="dxa"/>
              <w:left w:w="150" w:type="dxa"/>
              <w:right w:w="150" w:type="dxa"/>
            </w:tcMar>
          </w:tcPr>
          <w:p>
            <w:pPr>
              <w:spacing w:before="0" w:after="0"/>
            </w:pPr>
            <w:r>
              <w:rPr>
                <w:rFonts w:ascii="Calibri" w:hAnsi="Calibri"/>
                <w:color w:val="000000"/>
                <w:sz w:val="18"/>
              </w:rPr>
              <w:t>1,777 Production Screenshots</w:t>
            </w:r>
          </w:p>
        </w:tc>
        <w:tc>
          <w:tcPr>
            <w:tcW w:type="dxa" w:w="2880"/>
            <w:shd w:fill="FAFAFA"/>
            <w:tcMar>
              <w:top w:w="90" w:type="dxa"/>
              <w:bottom w:w="90" w:type="dxa"/>
              <w:left w:w="150" w:type="dxa"/>
              <w:right w:w="150" w:type="dxa"/>
            </w:tcMar>
          </w:tcPr>
          <w:p>
            <w:pPr>
              <w:spacing w:before="0" w:after="0"/>
            </w:pPr>
            <w:r>
              <w:rPr>
                <w:rFonts w:ascii="Calibri" w:hAnsi="Calibri"/>
                <w:color w:val="000000"/>
                <w:sz w:val="18"/>
              </w:rPr>
              <w:t>Alert reticle captures (&gt;= 20 min)</w:t>
            </w:r>
          </w:p>
        </w:tc>
      </w:tr>
      <w:tr>
        <w:tc>
          <w:tcPr>
            <w:tcW w:type="dxa" w:w="3456"/>
            <w:shd w:fill="FFFFFF"/>
            <w:tcMar>
              <w:top w:w="90" w:type="dxa"/>
              <w:bottom w:w="90" w:type="dxa"/>
              <w:left w:w="150" w:type="dxa"/>
              <w:right w:w="150" w:type="dxa"/>
            </w:tcMar>
          </w:tcPr>
          <w:p>
            <w:pPr>
              <w:spacing w:before="0" w:after="0"/>
            </w:pPr>
            <w:r>
              <w:rPr>
                <w:rFonts w:ascii="Calibri" w:hAnsi="Calibri"/>
                <w:color w:val="000000"/>
                <w:sz w:val="18"/>
              </w:rPr>
              <w:t>Peak Detector Accuracy</w:t>
            </w:r>
          </w:p>
        </w:tc>
        <w:tc>
          <w:tcPr>
            <w:tcW w:type="dxa" w:w="3024"/>
            <w:shd w:fill="FFFFFF"/>
            <w:tcMar>
              <w:top w:w="90" w:type="dxa"/>
              <w:bottom w:w="90" w:type="dxa"/>
              <w:left w:w="150" w:type="dxa"/>
              <w:right w:w="150" w:type="dxa"/>
            </w:tcMar>
          </w:tcPr>
          <w:p>
            <w:pPr>
              <w:spacing w:before="0" w:after="0"/>
            </w:pPr>
            <w:r>
              <w:rPr>
                <w:rFonts w:ascii="Calibri" w:hAnsi="Calibri"/>
                <w:color w:val="000000"/>
                <w:sz w:val="18"/>
              </w:rPr>
              <w:t>81.27% mAP@0.5</w:t>
            </w:r>
          </w:p>
        </w:tc>
        <w:tc>
          <w:tcPr>
            <w:tcW w:type="dxa" w:w="2880"/>
            <w:shd w:fill="FFFFFF"/>
            <w:tcMar>
              <w:top w:w="90" w:type="dxa"/>
              <w:bottom w:w="90" w:type="dxa"/>
              <w:left w:w="150" w:type="dxa"/>
              <w:right w:w="150" w:type="dxa"/>
            </w:tcMar>
          </w:tcPr>
          <w:p>
            <w:pPr>
              <w:spacing w:before="0" w:after="0"/>
            </w:pPr>
            <w:r>
              <w:rPr>
                <w:rFonts w:ascii="Calibri" w:hAnsi="Calibri"/>
                <w:color w:val="000000"/>
                <w:sz w:val="18"/>
              </w:rPr>
              <w:t>checkpoints/epoch_0021_mAP_0.8127.pt</w:t>
            </w:r>
          </w:p>
        </w:tc>
      </w:tr>
      <w:tr>
        <w:tc>
          <w:tcPr>
            <w:tcW w:type="dxa" w:w="3456"/>
            <w:shd w:fill="FAFAFA"/>
            <w:tcMar>
              <w:top w:w="90" w:type="dxa"/>
              <w:bottom w:w="90" w:type="dxa"/>
              <w:left w:w="150" w:type="dxa"/>
              <w:right w:w="150" w:type="dxa"/>
            </w:tcMar>
          </w:tcPr>
          <w:p>
            <w:pPr>
              <w:spacing w:before="0" w:after="0"/>
            </w:pPr>
            <w:r>
              <w:rPr>
                <w:rFonts w:ascii="Calibri" w:hAnsi="Calibri"/>
                <w:color w:val="000000"/>
                <w:sz w:val="18"/>
              </w:rPr>
              <w:t>GPU Inference Latency (CUDA FP16)</w:t>
            </w:r>
          </w:p>
        </w:tc>
        <w:tc>
          <w:tcPr>
            <w:tcW w:type="dxa" w:w="3024"/>
            <w:shd w:fill="FAFAFA"/>
            <w:tcMar>
              <w:top w:w="90" w:type="dxa"/>
              <w:bottom w:w="90" w:type="dxa"/>
              <w:left w:w="150" w:type="dxa"/>
              <w:right w:w="150" w:type="dxa"/>
            </w:tcMar>
          </w:tcPr>
          <w:p>
            <w:pPr>
              <w:spacing w:before="0" w:after="0"/>
            </w:pPr>
            <w:r>
              <w:rPr>
                <w:rFonts w:ascii="Calibri" w:hAnsi="Calibri"/>
                <w:color w:val="000000"/>
                <w:sz w:val="18"/>
              </w:rPr>
              <w:t>18.4 ms to 26.2 ms per frame</w:t>
            </w:r>
          </w:p>
        </w:tc>
        <w:tc>
          <w:tcPr>
            <w:tcW w:type="dxa" w:w="2880"/>
            <w:shd w:fill="FAFAFA"/>
            <w:tcMar>
              <w:top w:w="90" w:type="dxa"/>
              <w:bottom w:w="90" w:type="dxa"/>
              <w:left w:w="150" w:type="dxa"/>
              <w:right w:w="150" w:type="dxa"/>
            </w:tcMar>
          </w:tcPr>
          <w:p>
            <w:pPr>
              <w:spacing w:before="0" w:after="0"/>
            </w:pPr>
            <w:r>
              <w:rPr>
                <w:rFonts w:ascii="Calibri" w:hAnsi="Calibri"/>
                <w:color w:val="000000"/>
                <w:sz w:val="18"/>
              </w:rPr>
              <w:t>RTX 4070 SUPER (Sponsored by IDEA Lab)</w:t>
            </w:r>
          </w:p>
        </w:tc>
      </w:tr>
      <w:tr>
        <w:tc>
          <w:tcPr>
            <w:tcW w:type="dxa" w:w="3456"/>
            <w:shd w:fill="FFFFFF"/>
            <w:tcMar>
              <w:top w:w="90" w:type="dxa"/>
              <w:bottom w:w="90" w:type="dxa"/>
              <w:left w:w="150" w:type="dxa"/>
              <w:right w:w="150" w:type="dxa"/>
            </w:tcMar>
          </w:tcPr>
          <w:p>
            <w:pPr>
              <w:spacing w:before="0" w:after="0"/>
            </w:pPr>
            <w:r>
              <w:rPr>
                <w:rFonts w:ascii="Calibri" w:hAnsi="Calibri"/>
                <w:color w:val="000000"/>
                <w:sz w:val="18"/>
              </w:rPr>
              <w:t>Live Camera Display Framerate</w:t>
            </w:r>
          </w:p>
        </w:tc>
        <w:tc>
          <w:tcPr>
            <w:tcW w:type="dxa" w:w="3024"/>
            <w:shd w:fill="FFFFFF"/>
            <w:tcMar>
              <w:top w:w="90" w:type="dxa"/>
              <w:bottom w:w="90" w:type="dxa"/>
              <w:left w:w="150" w:type="dxa"/>
              <w:right w:w="150" w:type="dxa"/>
            </w:tcMar>
          </w:tcPr>
          <w:p>
            <w:pPr>
              <w:spacing w:before="0" w:after="0"/>
            </w:pPr>
            <w:r>
              <w:rPr>
                <w:rFonts w:ascii="Calibri" w:hAnsi="Calibri"/>
                <w:color w:val="000000"/>
                <w:sz w:val="18"/>
              </w:rPr>
              <w:t>30.0 FPS stable (capped)</w:t>
            </w:r>
          </w:p>
        </w:tc>
        <w:tc>
          <w:tcPr>
            <w:tcW w:type="dxa" w:w="2880"/>
            <w:shd w:fill="FFFFFF"/>
            <w:tcMar>
              <w:top w:w="90" w:type="dxa"/>
              <w:bottom w:w="90" w:type="dxa"/>
              <w:left w:w="150" w:type="dxa"/>
              <w:right w:w="150" w:type="dxa"/>
            </w:tcMar>
          </w:tcPr>
          <w:p>
            <w:pPr>
              <w:spacing w:before="0" w:after="0"/>
            </w:pPr>
            <w:r>
              <w:rPr>
                <w:rFonts w:ascii="Calibri" w:hAnsi="Calibri"/>
                <w:color w:val="000000"/>
                <w:sz w:val="18"/>
              </w:rPr>
              <w:t>Decoupled webcam_client.py UI thread</w:t>
            </w:r>
          </w:p>
        </w:tc>
      </w:tr>
      <w:tr>
        <w:tc>
          <w:tcPr>
            <w:tcW w:type="dxa" w:w="3456"/>
            <w:shd w:fill="FAFAFA"/>
            <w:tcMar>
              <w:top w:w="90" w:type="dxa"/>
              <w:bottom w:w="90" w:type="dxa"/>
              <w:left w:w="150" w:type="dxa"/>
              <w:right w:w="150" w:type="dxa"/>
            </w:tcMar>
          </w:tcPr>
          <w:p>
            <w:pPr>
              <w:spacing w:before="0" w:after="0"/>
            </w:pPr>
            <w:r>
              <w:rPr>
                <w:rFonts w:ascii="Calibri" w:hAnsi="Calibri"/>
                <w:color w:val="000000"/>
                <w:sz w:val="18"/>
              </w:rPr>
              <w:t>System Crashes or Memory Leaks</w:t>
            </w:r>
          </w:p>
        </w:tc>
        <w:tc>
          <w:tcPr>
            <w:tcW w:type="dxa" w:w="3024"/>
            <w:shd w:fill="FAFAFA"/>
            <w:tcMar>
              <w:top w:w="90" w:type="dxa"/>
              <w:bottom w:w="90" w:type="dxa"/>
              <w:left w:w="150" w:type="dxa"/>
              <w:right w:w="150" w:type="dxa"/>
            </w:tcMar>
          </w:tcPr>
          <w:p>
            <w:pPr>
              <w:spacing w:before="0" w:after="0"/>
            </w:pPr>
            <w:r>
              <w:rPr>
                <w:rFonts w:ascii="Calibri" w:hAnsi="Calibri"/>
                <w:color w:val="000000"/>
                <w:sz w:val="18"/>
              </w:rPr>
              <w:t>Zero crashes across 8 hours of live stream</w:t>
            </w:r>
          </w:p>
        </w:tc>
        <w:tc>
          <w:tcPr>
            <w:tcW w:type="dxa" w:w="2880"/>
            <w:shd w:fill="FAFAFA"/>
            <w:tcMar>
              <w:top w:w="90" w:type="dxa"/>
              <w:bottom w:w="90" w:type="dxa"/>
              <w:left w:w="150" w:type="dxa"/>
              <w:right w:w="150" w:type="dxa"/>
            </w:tcMar>
          </w:tcPr>
          <w:p>
            <w:pPr>
              <w:spacing w:before="0" w:after="0"/>
            </w:pPr>
            <w:r>
              <w:rPr>
                <w:rFonts w:ascii="Calibri" w:hAnsi="Calibri"/>
                <w:color w:val="000000"/>
                <w:sz w:val="18"/>
              </w:rPr>
              <w:t>Hardened codebase (BUGS.md audit)</w:t>
            </w:r>
          </w:p>
        </w:tc>
      </w:tr>
    </w:tbl>
    <w:p>
      <w:pPr>
        <w:spacing w:before="0" w:after="120"/>
      </w:pPr>
    </w:p>
    <w:p>
      <w:pPr>
        <w:keepNext/>
        <w:spacing w:before="280" w:after="80"/>
      </w:pPr>
      <w:r>
        <w:rPr>
          <w:rFonts w:ascii="Calibri" w:hAnsi="Calibri"/>
          <w:b/>
          <w:color w:val="000000"/>
          <w:sz w:val="25"/>
        </w:rPr>
        <w:t>5.2 Supporting Visual Evidence from Real-World Deployment</w:t>
      </w:r>
    </w:p>
    <w:p>
      <w:pPr>
        <w:spacing w:before="0" w:after="120" w:line="276" w:lineRule="auto"/>
      </w:pPr>
      <w:r>
        <w:rPr>
          <w:rFonts w:ascii="Calibri" w:hAnsi="Calibri"/>
          <w:color w:val="000000"/>
          <w:sz w:val="21"/>
        </w:rPr>
        <w:t>The following figures are authentic, unedited verification captures recorded by the system during live campus operations, demonstrating high-precision facial localization, student metadata resolution, and automated security re-entry alerts.</w:t>
      </w:r>
    </w:p>
    <w:p>
      <w:pPr>
        <w:spacing w:before="120" w:after="40"/>
        <w:jc w:val="center"/>
      </w:pPr>
      <w:r>
        <w:drawing>
          <wp:inline xmlns:a="http://schemas.openxmlformats.org/drawingml/2006/main" xmlns:pic="http://schemas.openxmlformats.org/drawingml/2006/picture">
            <wp:extent cx="4937760" cy="2777490"/>
            <wp:docPr id="1" name="Picture 1"/>
            <wp:cNvGraphicFramePr>
              <a:graphicFrameLocks noChangeAspect="1"/>
            </wp:cNvGraphicFramePr>
            <a:graphic>
              <a:graphicData uri="http://schemas.openxmlformats.org/drawingml/2006/picture">
                <pic:pic>
                  <pic:nvPicPr>
                    <pic:cNvPr id="0" name="AADARSH_DESHWAL_28250239_20261002_160642.jpg"/>
                    <pic:cNvPicPr/>
                  </pic:nvPicPr>
                  <pic:blipFill>
                    <a:blip r:embed="rId11"/>
                    <a:stretch>
                      <a:fillRect/>
                    </a:stretch>
                  </pic:blipFill>
                  <pic:spPr>
                    <a:xfrm>
                      <a:off x="0" y="0"/>
                      <a:ext cx="4937760" cy="2777490"/>
                    </a:xfrm>
                    <a:prstGeom prst="rect"/>
                  </pic:spPr>
                </pic:pic>
              </a:graphicData>
            </a:graphic>
          </wp:inline>
        </w:drawing>
      </w:r>
    </w:p>
    <w:p>
      <w:pPr>
        <w:spacing w:before="40" w:after="200"/>
        <w:jc w:val="center"/>
      </w:pPr>
      <w:r>
        <w:rPr>
          <w:rFonts w:ascii="Calibri" w:hAnsi="Calibri"/>
          <w:b/>
          <w:i/>
          <w:color w:val="000000"/>
          <w:sz w:val="18"/>
        </w:rPr>
        <w:t>Figure 1: High-Confidence Verified Student Entry at Campus Gate (AADARSH DESHWAL, Roll No: 28250239). Notice the precision corner-bracket reticle, clear student identity badge, and real-time capture timestamp.</w:t>
      </w:r>
    </w:p>
    <w:p>
      <w:pPr>
        <w:spacing w:before="120" w:after="40"/>
        <w:jc w:val="center"/>
      </w:pPr>
      <w:r>
        <w:drawing>
          <wp:inline xmlns:a="http://schemas.openxmlformats.org/drawingml/2006/main" xmlns:pic="http://schemas.openxmlformats.org/drawingml/2006/picture">
            <wp:extent cx="4937760" cy="2777490"/>
            <wp:docPr id="2" name="Picture 2"/>
            <wp:cNvGraphicFramePr>
              <a:graphicFrameLocks noChangeAspect="1"/>
            </wp:cNvGraphicFramePr>
            <a:graphic>
              <a:graphicData uri="http://schemas.openxmlformats.org/drawingml/2006/picture">
                <pic:pic>
                  <pic:nvPicPr>
                    <pic:cNvPr id="0" name="ABHISHEK_MITTAL_2823449_REENTRY_20261002_163356.jpg"/>
                    <pic:cNvPicPr/>
                  </pic:nvPicPr>
                  <pic:blipFill>
                    <a:blip r:embed="rId12"/>
                    <a:stretch>
                      <a:fillRect/>
                    </a:stretch>
                  </pic:blipFill>
                  <pic:spPr>
                    <a:xfrm>
                      <a:off x="0" y="0"/>
                      <a:ext cx="4937760" cy="2777490"/>
                    </a:xfrm>
                    <a:prstGeom prst="rect"/>
                  </pic:spPr>
                </pic:pic>
              </a:graphicData>
            </a:graphic>
          </wp:inline>
        </w:drawing>
      </w:r>
    </w:p>
    <w:p>
      <w:pPr>
        <w:spacing w:before="40" w:after="200"/>
        <w:jc w:val="center"/>
      </w:pPr>
      <w:r>
        <w:rPr>
          <w:rFonts w:ascii="Calibri" w:hAnsi="Calibri"/>
          <w:b/>
          <w:i/>
          <w:color w:val="000000"/>
          <w:sz w:val="18"/>
        </w:rPr>
        <w:t>Figure 2: Automated Anti-Passback Re-Entry Alert (ABHISHEK MITTAL, Roll No: 2823449). The system detected the student re-entering after 90 minutes, automatically flagging the HUD reticle and alerting security personnel.</w:t>
      </w:r>
    </w:p>
    <w:p>
      <w:pPr>
        <w:keepNext/>
        <w:spacing w:before="200" w:after="40"/>
      </w:pPr>
      <w:r>
        <w:rPr>
          <w:rFonts w:ascii="Calibri" w:hAnsi="Calibri"/>
          <w:b/>
          <w:color w:val="282828"/>
          <w:sz w:val="22"/>
        </w:rPr>
        <w:t>Case Study 1: Anti-Passback Temporal Tracking (Student: YATHARTH MUTNEJA, Roll: 250836)</w:t>
      </w:r>
    </w:p>
    <w:p>
      <w:pPr>
        <w:spacing w:before="0" w:after="120" w:line="276" w:lineRule="auto"/>
      </w:pPr>
      <w:r>
        <w:rPr>
          <w:rFonts w:ascii="Calibri" w:hAnsi="Calibri"/>
          <w:color w:val="000000"/>
          <w:sz w:val="21"/>
        </w:rPr>
        <w:t>Figure 3 demonstrates the exact temporal tracking behavior of the system. The student initially entered at 17:00:21 (logged as normal entry). When the same student transited the camera again at 17:45:15 (45 minutes later), the system flagged an immediate RE-ENTRY alert with an elapsed-time badge.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4680"/>
          </w:tcPr>
          <w:p>
            <w:pPr>
              <w:spacing w:after="40"/>
              <w:jc w:val="center"/>
            </w:pPr>
            <w:r>
              <w:drawing>
                <wp:inline xmlns:a="http://schemas.openxmlformats.org/drawingml/2006/main" xmlns:pic="http://schemas.openxmlformats.org/drawingml/2006/picture">
                  <wp:extent cx="2560320" cy="1440180"/>
                  <wp:docPr id="3" name="Picture 3"/>
                  <wp:cNvGraphicFramePr>
                    <a:graphicFrameLocks noChangeAspect="1"/>
                  </wp:cNvGraphicFramePr>
                  <a:graphic>
                    <a:graphicData uri="http://schemas.openxmlformats.org/drawingml/2006/picture">
                      <pic:pic>
                        <pic:nvPicPr>
                          <pic:cNvPr id="0" name="YATHARTH_MUTNEJA_250836_20261002_170021.jpg"/>
                          <pic:cNvPicPr/>
                        </pic:nvPicPr>
                        <pic:blipFill>
                          <a:blip r:embed="rId13"/>
                          <a:stretch>
                            <a:fillRect/>
                          </a:stretch>
                        </pic:blipFill>
                        <pic:spPr>
                          <a:xfrm>
                            <a:off x="0" y="0"/>
                            <a:ext cx="2560320" cy="1440180"/>
                          </a:xfrm>
                          <a:prstGeom prst="rect"/>
                        </pic:spPr>
                      </pic:pic>
                    </a:graphicData>
                  </a:graphic>
                </wp:inline>
              </w:drawing>
            </w:r>
          </w:p>
        </w:tc>
        <w:tc>
          <w:tcPr>
            <w:tcW w:type="dxa" w:w="4680"/>
          </w:tcPr>
          <w:p>
            <w:pPr>
              <w:spacing w:after="40"/>
              <w:jc w:val="center"/>
            </w:pPr>
            <w:r>
              <w:drawing>
                <wp:inline xmlns:a="http://schemas.openxmlformats.org/drawingml/2006/main" xmlns:pic="http://schemas.openxmlformats.org/drawingml/2006/picture">
                  <wp:extent cx="2560320" cy="1440180"/>
                  <wp:docPr id="4" name="Picture 4"/>
                  <wp:cNvGraphicFramePr>
                    <a:graphicFrameLocks noChangeAspect="1"/>
                  </wp:cNvGraphicFramePr>
                  <a:graphic>
                    <a:graphicData uri="http://schemas.openxmlformats.org/drawingml/2006/picture">
                      <pic:pic>
                        <pic:nvPicPr>
                          <pic:cNvPr id="0" name="YATHARTH_MUTNEJA_250836_REENTRY_20261002_174515.jpg"/>
                          <pic:cNvPicPr/>
                        </pic:nvPicPr>
                        <pic:blipFill>
                          <a:blip r:embed="rId14"/>
                          <a:stretch>
                            <a:fillRect/>
                          </a:stretch>
                        </pic:blipFill>
                        <pic:spPr>
                          <a:xfrm>
                            <a:off x="0" y="0"/>
                            <a:ext cx="2560320" cy="1440180"/>
                          </a:xfrm>
                          <a:prstGeom prst="rect"/>
                        </pic:spPr>
                      </pic:pic>
                    </a:graphicData>
                  </a:graphic>
                </wp:inline>
              </w:drawing>
            </w:r>
          </w:p>
        </w:tc>
      </w:tr>
      <w:tr>
        <w:tc>
          <w:tcPr>
            <w:tcW w:type="dxa" w:w="4680"/>
          </w:tcPr>
          <w:p>
            <w:pPr>
              <w:jc w:val="center"/>
            </w:pPr>
            <w:r>
              <w:rPr>
                <w:rFonts w:ascii="Calibri" w:hAnsi="Calibri"/>
                <w:b/>
                <w:i/>
                <w:color w:val="000000"/>
                <w:sz w:val="17"/>
              </w:rPr>
              <w:t>Initial Verified Entry (17:00:21)</w:t>
              <w:br/>
              <w:t>Normal Gate Pass Verified</w:t>
            </w:r>
          </w:p>
        </w:tc>
        <w:tc>
          <w:tcPr>
            <w:tcW w:type="dxa" w:w="4680"/>
          </w:tcPr>
          <w:p>
            <w:pPr>
              <w:jc w:val="center"/>
            </w:pPr>
            <w:r>
              <w:rPr>
                <w:rFonts w:ascii="Calibri" w:hAnsi="Calibri"/>
                <w:b/>
                <w:i/>
                <w:color w:val="000000"/>
                <w:sz w:val="17"/>
              </w:rPr>
              <w:t>Anti-Passback Re-Entry Alert (17:45:15)</w:t>
              <w:br/>
              <w:t>Alert: Entered 45m ago!</w:t>
            </w:r>
          </w:p>
        </w:tc>
      </w:tr>
    </w:tbl>
    <w:p>
      <w:pPr>
        <w:spacing w:before="0" w:after="120"/>
      </w:pPr>
    </w:p>
    <w:p>
      <w:pPr>
        <w:keepNext/>
        <w:spacing w:before="200" w:after="40"/>
      </w:pPr>
      <w:r>
        <w:rPr>
          <w:rFonts w:ascii="Calibri" w:hAnsi="Calibri"/>
          <w:b/>
          <w:color w:val="282828"/>
          <w:sz w:val="22"/>
        </w:rPr>
        <w:t>Case Study 2: Gate Security Verification (Student: VISHRUT DHAWAN, Roll: 28250210)</w:t>
      </w:r>
    </w:p>
    <w:p>
      <w:pPr>
        <w:spacing w:before="0" w:after="120" w:line="276" w:lineRule="auto"/>
      </w:pPr>
      <w:r>
        <w:rPr>
          <w:rFonts w:ascii="Calibri" w:hAnsi="Calibri"/>
          <w:color w:val="000000"/>
          <w:sz w:val="21"/>
        </w:rPr>
        <w:t>Figure 4 illustrates another verified anti-passback detection event during the evening fest session. Initial entry was validated at 17:06:52, followed by a re-entry detection event at 17:42:52 (36 minutes elapsed time).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4680"/>
          </w:tcPr>
          <w:p>
            <w:pPr>
              <w:spacing w:after="40"/>
              <w:jc w:val="center"/>
            </w:pPr>
            <w:r>
              <w:drawing>
                <wp:inline xmlns:a="http://schemas.openxmlformats.org/drawingml/2006/main" xmlns:pic="http://schemas.openxmlformats.org/drawingml/2006/picture">
                  <wp:extent cx="2560320" cy="1440180"/>
                  <wp:docPr id="5" name="Picture 5"/>
                  <wp:cNvGraphicFramePr>
                    <a:graphicFrameLocks noChangeAspect="1"/>
                  </wp:cNvGraphicFramePr>
                  <a:graphic>
                    <a:graphicData uri="http://schemas.openxmlformats.org/drawingml/2006/picture">
                      <pic:pic>
                        <pic:nvPicPr>
                          <pic:cNvPr id="0" name="VISHRUT_DHAWAN_28250210_20261002_170652.jpg"/>
                          <pic:cNvPicPr/>
                        </pic:nvPicPr>
                        <pic:blipFill>
                          <a:blip r:embed="rId15"/>
                          <a:stretch>
                            <a:fillRect/>
                          </a:stretch>
                        </pic:blipFill>
                        <pic:spPr>
                          <a:xfrm>
                            <a:off x="0" y="0"/>
                            <a:ext cx="2560320" cy="1440180"/>
                          </a:xfrm>
                          <a:prstGeom prst="rect"/>
                        </pic:spPr>
                      </pic:pic>
                    </a:graphicData>
                  </a:graphic>
                </wp:inline>
              </w:drawing>
            </w:r>
          </w:p>
        </w:tc>
        <w:tc>
          <w:tcPr>
            <w:tcW w:type="dxa" w:w="4680"/>
          </w:tcPr>
          <w:p>
            <w:pPr>
              <w:spacing w:after="40"/>
              <w:jc w:val="center"/>
            </w:pPr>
            <w:r>
              <w:drawing>
                <wp:inline xmlns:a="http://schemas.openxmlformats.org/drawingml/2006/main" xmlns:pic="http://schemas.openxmlformats.org/drawingml/2006/picture">
                  <wp:extent cx="2560320" cy="1440180"/>
                  <wp:docPr id="6" name="Picture 6"/>
                  <wp:cNvGraphicFramePr>
                    <a:graphicFrameLocks noChangeAspect="1"/>
                  </wp:cNvGraphicFramePr>
                  <a:graphic>
                    <a:graphicData uri="http://schemas.openxmlformats.org/drawingml/2006/picture">
                      <pic:pic>
                        <pic:nvPicPr>
                          <pic:cNvPr id="0" name="VISHRUT_DHAWAN_28250210_REENTRY_20261002_174252.jpg"/>
                          <pic:cNvPicPr/>
                        </pic:nvPicPr>
                        <pic:blipFill>
                          <a:blip r:embed="rId16"/>
                          <a:stretch>
                            <a:fillRect/>
                          </a:stretch>
                        </pic:blipFill>
                        <pic:spPr>
                          <a:xfrm>
                            <a:off x="0" y="0"/>
                            <a:ext cx="2560320" cy="1440180"/>
                          </a:xfrm>
                          <a:prstGeom prst="rect"/>
                        </pic:spPr>
                      </pic:pic>
                    </a:graphicData>
                  </a:graphic>
                </wp:inline>
              </w:drawing>
            </w:r>
          </w:p>
        </w:tc>
      </w:tr>
      <w:tr>
        <w:tc>
          <w:tcPr>
            <w:tcW w:type="dxa" w:w="4680"/>
          </w:tcPr>
          <w:p>
            <w:pPr>
              <w:jc w:val="center"/>
            </w:pPr>
            <w:r>
              <w:rPr>
                <w:rFonts w:ascii="Calibri" w:hAnsi="Calibri"/>
                <w:b/>
                <w:i/>
                <w:color w:val="000000"/>
                <w:sz w:val="17"/>
              </w:rPr>
              <w:t>Initial Verified Entry (17:06:52)</w:t>
              <w:br/>
              <w:t>Roll No: 28250210</w:t>
            </w:r>
          </w:p>
        </w:tc>
        <w:tc>
          <w:tcPr>
            <w:tcW w:type="dxa" w:w="4680"/>
          </w:tcPr>
          <w:p>
            <w:pPr>
              <w:jc w:val="center"/>
            </w:pPr>
            <w:r>
              <w:rPr>
                <w:rFonts w:ascii="Calibri" w:hAnsi="Calibri"/>
                <w:b/>
                <w:i/>
                <w:color w:val="000000"/>
                <w:sz w:val="17"/>
              </w:rPr>
              <w:t>Security Re-Entry Alert (17:42:52)</w:t>
              <w:br/>
              <w:t>Re-entry after 36 minutes</w:t>
            </w:r>
          </w:p>
        </w:tc>
      </w:tr>
    </w:tbl>
    <w:p>
      <w:pPr>
        <w:spacing w:before="0" w:after="120"/>
      </w:pPr>
    </w:p>
    <w:p>
      <w:pPr>
        <w:keepNext/>
        <w:spacing w:before="200" w:after="40"/>
      </w:pPr>
      <w:r>
        <w:rPr>
          <w:rFonts w:ascii="Calibri" w:hAnsi="Calibri"/>
          <w:b/>
          <w:color w:val="282828"/>
          <w:sz w:val="22"/>
        </w:rPr>
        <w:t>Biometric Template Fidelity: Registration Crop vs. Live Video Detection</w:t>
      </w:r>
    </w:p>
    <w:p>
      <w:pPr>
        <w:spacing w:before="0" w:after="120" w:line="276" w:lineRule="auto"/>
      </w:pPr>
      <w:r>
        <w:rPr>
          <w:rFonts w:ascii="Calibri" w:hAnsi="Calibri"/>
          <w:color w:val="000000"/>
          <w:sz w:val="21"/>
        </w:rPr>
        <w:t>To ensure robust recognition despite variations in hairstyles, lighting, and facial angles, the system generates quality-checked enrollment crops during registration. Figure 5 illustrates the master enrollment crop compared with live video verification.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4680"/>
          </w:tcPr>
          <w:p>
            <w:pPr>
              <w:spacing w:after="40"/>
              <w:jc w:val="center"/>
            </w:pPr>
            <w:r>
              <w:drawing>
                <wp:inline xmlns:a="http://schemas.openxmlformats.org/drawingml/2006/main" xmlns:pic="http://schemas.openxmlformats.org/drawingml/2006/picture">
                  <wp:extent cx="2560320" cy="3436176"/>
                  <wp:docPr id="7" name="Picture 7"/>
                  <wp:cNvGraphicFramePr>
                    <a:graphicFrameLocks noChangeAspect="1"/>
                  </wp:cNvGraphicFramePr>
                  <a:graphic>
                    <a:graphicData uri="http://schemas.openxmlformats.org/drawingml/2006/picture">
                      <pic:pic>
                        <pic:nvPicPr>
                          <pic:cNvPr id="0" name="AADARSH_DESHWAL_crop.jpg"/>
                          <pic:cNvPicPr/>
                        </pic:nvPicPr>
                        <pic:blipFill>
                          <a:blip r:embed="rId17"/>
                          <a:stretch>
                            <a:fillRect/>
                          </a:stretch>
                        </pic:blipFill>
                        <pic:spPr>
                          <a:xfrm>
                            <a:off x="0" y="0"/>
                            <a:ext cx="2560320" cy="3436176"/>
                          </a:xfrm>
                          <a:prstGeom prst="rect"/>
                        </pic:spPr>
                      </pic:pic>
                    </a:graphicData>
                  </a:graphic>
                </wp:inline>
              </w:drawing>
            </w:r>
          </w:p>
        </w:tc>
        <w:tc>
          <w:tcPr>
            <w:tcW w:type="dxa" w:w="4680"/>
          </w:tcPr>
          <w:p>
            <w:pPr>
              <w:spacing w:after="40"/>
              <w:jc w:val="center"/>
            </w:pPr>
            <w:r>
              <w:drawing>
                <wp:inline xmlns:a="http://schemas.openxmlformats.org/drawingml/2006/main" xmlns:pic="http://schemas.openxmlformats.org/drawingml/2006/picture">
                  <wp:extent cx="2560320" cy="1440180"/>
                  <wp:docPr id="8" name="Picture 8"/>
                  <wp:cNvGraphicFramePr>
                    <a:graphicFrameLocks noChangeAspect="1"/>
                  </wp:cNvGraphicFramePr>
                  <a:graphic>
                    <a:graphicData uri="http://schemas.openxmlformats.org/drawingml/2006/picture">
                      <pic:pic>
                        <pic:nvPicPr>
                          <pic:cNvPr id="0" name="AADARSH_DESHWAL_28250239_20261002_160642.jpg"/>
                          <pic:cNvPicPr/>
                        </pic:nvPicPr>
                        <pic:blipFill>
                          <a:blip r:embed="rId11"/>
                          <a:stretch>
                            <a:fillRect/>
                          </a:stretch>
                        </pic:blipFill>
                        <pic:spPr>
                          <a:xfrm>
                            <a:off x="0" y="0"/>
                            <a:ext cx="2560320" cy="1440180"/>
                          </a:xfrm>
                          <a:prstGeom prst="rect"/>
                        </pic:spPr>
                      </pic:pic>
                    </a:graphicData>
                  </a:graphic>
                </wp:inline>
              </w:drawing>
            </w:r>
          </w:p>
        </w:tc>
      </w:tr>
      <w:tr>
        <w:tc>
          <w:tcPr>
            <w:tcW w:type="dxa" w:w="4680"/>
          </w:tcPr>
          <w:p>
            <w:pPr>
              <w:jc w:val="center"/>
            </w:pPr>
            <w:r>
              <w:rPr>
                <w:rFonts w:ascii="Calibri" w:hAnsi="Calibri"/>
                <w:b/>
                <w:i/>
                <w:color w:val="000000"/>
                <w:sz w:val="17"/>
              </w:rPr>
              <w:t>Master Enrollment Crop (known_students)</w:t>
              <w:br/>
              <w:t>Quality-gated, centered, blur-filtered</w:t>
            </w:r>
          </w:p>
        </w:tc>
        <w:tc>
          <w:tcPr>
            <w:tcW w:type="dxa" w:w="4680"/>
          </w:tcPr>
          <w:p>
            <w:pPr>
              <w:jc w:val="center"/>
            </w:pPr>
            <w:r>
              <w:rPr>
                <w:rFonts w:ascii="Calibri" w:hAnsi="Calibri"/>
                <w:b/>
                <w:i/>
                <w:color w:val="000000"/>
                <w:sz w:val="17"/>
              </w:rPr>
              <w:t>Live Gate Verification Stream</w:t>
              <w:br/>
              <w:t>Instantaneous 512-d ArcFace Match (Cosine Sim &gt; 0.65)</w:t>
            </w:r>
          </w:p>
        </w:tc>
      </w:tr>
    </w:tbl>
    <w:p>
      <w:pPr>
        <w:spacing w:before="0" w:after="120"/>
      </w:pPr>
    </w:p>
    <w:p>
      <w:pPr>
        <w:keepNext/>
        <w:spacing w:before="400" w:after="120"/>
      </w:pPr>
      <w:r>
        <w:rPr>
          <w:rFonts w:ascii="Calibri" w:hAnsi="Calibri"/>
          <w:b/>
          <w:color w:val="000000"/>
          <w:sz w:val="30"/>
        </w:rPr>
        <w:t>6. Code Hardening, Concurrency &amp; Security Audit</w:t>
      </w:r>
    </w:p>
    <w:p>
      <w:pPr>
        <w:spacing w:before="0" w:after="120" w:line="276" w:lineRule="auto"/>
      </w:pPr>
      <w:r>
        <w:rPr>
          <w:rFonts w:ascii="Calibri" w:hAnsi="Calibri"/>
          <w:color w:val="000000"/>
          <w:sz w:val="21"/>
        </w:rPr>
        <w:t>To elevate the prototype into an institutional-grade, secure production service, an exhaustive security and code audit was conducted (documented in `BUGS.md`). A total of 34 critical, high, and medium vulnerabilities were identified and permanently resolved.</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3120"/>
        <w:gridCol w:w="3120"/>
        <w:gridCol w:w="3120"/>
      </w:tblGrid>
      <w:tr>
        <w:tc>
          <w:tcPr>
            <w:tcW w:type="dxa" w:w="2592"/>
            <w:shd w:fill="000000"/>
            <w:tcMar>
              <w:top w:w="120" w:type="dxa"/>
              <w:bottom w:w="120" w:type="dxa"/>
              <w:left w:w="150" w:type="dxa"/>
              <w:right w:w="150" w:type="dxa"/>
            </w:tcMar>
          </w:tcPr>
          <w:p>
            <w:pPr>
              <w:spacing w:before="0" w:after="0"/>
            </w:pPr>
            <w:r>
              <w:rPr>
                <w:rFonts w:ascii="Calibri" w:hAnsi="Calibri"/>
                <w:b/>
                <w:color w:val="FFFFFF"/>
                <w:sz w:val="19"/>
              </w:rPr>
              <w:t>Vulnerability Category</w:t>
            </w:r>
          </w:p>
        </w:tc>
        <w:tc>
          <w:tcPr>
            <w:tcW w:type="dxa" w:w="3456"/>
            <w:shd w:fill="000000"/>
            <w:tcMar>
              <w:top w:w="120" w:type="dxa"/>
              <w:bottom w:w="120" w:type="dxa"/>
              <w:left w:w="150" w:type="dxa"/>
              <w:right w:w="150" w:type="dxa"/>
            </w:tcMar>
          </w:tcPr>
          <w:p>
            <w:pPr>
              <w:spacing w:before="0" w:after="0"/>
            </w:pPr>
            <w:r>
              <w:rPr>
                <w:rFonts w:ascii="Calibri" w:hAnsi="Calibri"/>
                <w:b/>
                <w:color w:val="FFFFFF"/>
                <w:sz w:val="19"/>
              </w:rPr>
              <w:t>Original Defect &amp; Architectural Risk</w:t>
            </w:r>
          </w:p>
        </w:tc>
        <w:tc>
          <w:tcPr>
            <w:tcW w:type="dxa" w:w="3312"/>
            <w:shd w:fill="000000"/>
            <w:tcMar>
              <w:top w:w="120" w:type="dxa"/>
              <w:bottom w:w="120" w:type="dxa"/>
              <w:left w:w="150" w:type="dxa"/>
              <w:right w:w="150" w:type="dxa"/>
            </w:tcMar>
          </w:tcPr>
          <w:p>
            <w:pPr>
              <w:spacing w:before="0" w:after="0"/>
            </w:pPr>
            <w:r>
              <w:rPr>
                <w:rFonts w:ascii="Calibri" w:hAnsi="Calibri"/>
                <w:b/>
                <w:color w:val="FFFFFF"/>
                <w:sz w:val="19"/>
              </w:rPr>
              <w:t>Permanent Engineering Resolution</w:t>
            </w:r>
          </w:p>
        </w:tc>
      </w:tr>
      <w:tr>
        <w:tc>
          <w:tcPr>
            <w:tcW w:type="dxa" w:w="2592"/>
            <w:shd w:fill="FFFFFF"/>
            <w:tcMar>
              <w:top w:w="90" w:type="dxa"/>
              <w:bottom w:w="90" w:type="dxa"/>
              <w:left w:w="150" w:type="dxa"/>
              <w:right w:w="150" w:type="dxa"/>
            </w:tcMar>
          </w:tcPr>
          <w:p>
            <w:pPr>
              <w:spacing w:before="0" w:after="0"/>
            </w:pPr>
            <w:r>
              <w:rPr>
                <w:rFonts w:ascii="Calibri" w:hAnsi="Calibri"/>
                <w:color w:val="000000"/>
                <w:sz w:val="18"/>
              </w:rPr>
              <w:t>SQL Injection Prevention</w:t>
            </w:r>
          </w:p>
        </w:tc>
        <w:tc>
          <w:tcPr>
            <w:tcW w:type="dxa" w:w="3456"/>
            <w:shd w:fill="FFFFFF"/>
            <w:tcMar>
              <w:top w:w="90" w:type="dxa"/>
              <w:bottom w:w="90" w:type="dxa"/>
              <w:left w:w="150" w:type="dxa"/>
              <w:right w:w="150" w:type="dxa"/>
            </w:tcMar>
          </w:tcPr>
          <w:p>
            <w:pPr>
              <w:spacing w:before="0" w:after="0"/>
            </w:pPr>
            <w:r>
              <w:rPr>
                <w:rFonts w:ascii="Calibri" w:hAnsi="Calibri"/>
                <w:color w:val="000000"/>
                <w:sz w:val="18"/>
              </w:rPr>
              <w:t>Raw string interpolation in student search and attendance query handlers (Rust backend).</w:t>
            </w:r>
          </w:p>
        </w:tc>
        <w:tc>
          <w:tcPr>
            <w:tcW w:type="dxa" w:w="3312"/>
            <w:shd w:fill="FFFFFF"/>
            <w:tcMar>
              <w:top w:w="90" w:type="dxa"/>
              <w:bottom w:w="90" w:type="dxa"/>
              <w:left w:w="150" w:type="dxa"/>
              <w:right w:w="150" w:type="dxa"/>
            </w:tcMar>
          </w:tcPr>
          <w:p>
            <w:pPr>
              <w:spacing w:before="0" w:after="0"/>
            </w:pPr>
            <w:r>
              <w:rPr>
                <w:rFonts w:ascii="Calibri" w:hAnsi="Calibri"/>
                <w:color w:val="000000"/>
                <w:sz w:val="18"/>
              </w:rPr>
              <w:t>Refactored to sqlx parameterized queries ($1, $2) with explicit parameter binding.</w:t>
            </w:r>
          </w:p>
        </w:tc>
      </w:tr>
      <w:tr>
        <w:tc>
          <w:tcPr>
            <w:tcW w:type="dxa" w:w="2592"/>
            <w:shd w:fill="FAFAFA"/>
            <w:tcMar>
              <w:top w:w="90" w:type="dxa"/>
              <w:bottom w:w="90" w:type="dxa"/>
              <w:left w:w="150" w:type="dxa"/>
              <w:right w:w="150" w:type="dxa"/>
            </w:tcMar>
          </w:tcPr>
          <w:p>
            <w:pPr>
              <w:spacing w:before="0" w:after="0"/>
            </w:pPr>
            <w:r>
              <w:rPr>
                <w:rFonts w:ascii="Calibri" w:hAnsi="Calibri"/>
                <w:color w:val="000000"/>
                <w:sz w:val="18"/>
              </w:rPr>
              <w:t>Insecure Deserialization</w:t>
            </w:r>
          </w:p>
        </w:tc>
        <w:tc>
          <w:tcPr>
            <w:tcW w:type="dxa" w:w="3456"/>
            <w:shd w:fill="FAFAFA"/>
            <w:tcMar>
              <w:top w:w="90" w:type="dxa"/>
              <w:bottom w:w="90" w:type="dxa"/>
              <w:left w:w="150" w:type="dxa"/>
              <w:right w:w="150" w:type="dxa"/>
            </w:tcMar>
          </w:tcPr>
          <w:p>
            <w:pPr>
              <w:spacing w:before="0" w:after="0"/>
            </w:pPr>
            <w:r>
              <w:rPr>
                <w:rFonts w:ascii="Calibri" w:hAnsi="Calibri"/>
                <w:color w:val="000000"/>
                <w:sz w:val="18"/>
              </w:rPr>
              <w:t>torch.load(..., weights_only=False) allowed potential arbitrary bytecode execution.</w:t>
            </w:r>
          </w:p>
        </w:tc>
        <w:tc>
          <w:tcPr>
            <w:tcW w:type="dxa" w:w="3312"/>
            <w:shd w:fill="FAFAFA"/>
            <w:tcMar>
              <w:top w:w="90" w:type="dxa"/>
              <w:bottom w:w="90" w:type="dxa"/>
              <w:left w:w="150" w:type="dxa"/>
              <w:right w:w="150" w:type="dxa"/>
            </w:tcMar>
          </w:tcPr>
          <w:p>
            <w:pPr>
              <w:spacing w:before="0" w:after="0"/>
            </w:pPr>
            <w:r>
              <w:rPr>
                <w:rFonts w:ascii="Calibri" w:hAnsi="Calibri"/>
                <w:color w:val="000000"/>
                <w:sz w:val="18"/>
              </w:rPr>
              <w:t>Enforced weights_only=True across detector loader and checkpoint management.</w:t>
            </w:r>
          </w:p>
        </w:tc>
      </w:tr>
      <w:tr>
        <w:tc>
          <w:tcPr>
            <w:tcW w:type="dxa" w:w="2592"/>
            <w:shd w:fill="FFFFFF"/>
            <w:tcMar>
              <w:top w:w="90" w:type="dxa"/>
              <w:bottom w:w="90" w:type="dxa"/>
              <w:left w:w="150" w:type="dxa"/>
              <w:right w:w="150" w:type="dxa"/>
            </w:tcMar>
          </w:tcPr>
          <w:p>
            <w:pPr>
              <w:spacing w:before="0" w:after="0"/>
            </w:pPr>
            <w:r>
              <w:rPr>
                <w:rFonts w:ascii="Calibri" w:hAnsi="Calibri"/>
                <w:color w:val="000000"/>
                <w:sz w:val="18"/>
              </w:rPr>
              <w:t>Infinite Stream Memory Leak</w:t>
            </w:r>
          </w:p>
        </w:tc>
        <w:tc>
          <w:tcPr>
            <w:tcW w:type="dxa" w:w="3456"/>
            <w:shd w:fill="FFFFFF"/>
            <w:tcMar>
              <w:top w:w="90" w:type="dxa"/>
              <w:bottom w:w="90" w:type="dxa"/>
              <w:left w:w="150" w:type="dxa"/>
              <w:right w:w="150" w:type="dxa"/>
            </w:tcMar>
          </w:tcPr>
          <w:p>
            <w:pPr>
              <w:spacing w:before="0" w:after="0"/>
            </w:pPr>
            <w:r>
              <w:rPr>
                <w:rFonts w:ascii="Calibri" w:hAnsi="Calibri"/>
                <w:color w:val="000000"/>
                <w:sz w:val="18"/>
              </w:rPr>
              <w:t>reqwest::get().bytes() attempted full buffering of infinite MJPEG camera streams, causing OOM.</w:t>
            </w:r>
          </w:p>
        </w:tc>
        <w:tc>
          <w:tcPr>
            <w:tcW w:type="dxa" w:w="3312"/>
            <w:shd w:fill="FFFFFF"/>
            <w:tcMar>
              <w:top w:w="90" w:type="dxa"/>
              <w:bottom w:w="90" w:type="dxa"/>
              <w:left w:w="150" w:type="dxa"/>
              <w:right w:w="150" w:type="dxa"/>
            </w:tcMar>
          </w:tcPr>
          <w:p>
            <w:pPr>
              <w:spacing w:before="0" w:after="0"/>
            </w:pPr>
            <w:r>
              <w:rPr>
                <w:rFonts w:ascii="Calibri" w:hAnsi="Calibri"/>
                <w:color w:val="000000"/>
                <w:sz w:val="18"/>
              </w:rPr>
              <w:t>Replaced with chunked multipart boundary reader streaming frames progressively.</w:t>
            </w:r>
          </w:p>
        </w:tc>
      </w:tr>
      <w:tr>
        <w:tc>
          <w:tcPr>
            <w:tcW w:type="dxa" w:w="2592"/>
            <w:shd w:fill="FAFAFA"/>
            <w:tcMar>
              <w:top w:w="90" w:type="dxa"/>
              <w:bottom w:w="90" w:type="dxa"/>
              <w:left w:w="150" w:type="dxa"/>
              <w:right w:w="150" w:type="dxa"/>
            </w:tcMar>
          </w:tcPr>
          <w:p>
            <w:pPr>
              <w:spacing w:before="0" w:after="0"/>
            </w:pPr>
            <w:r>
              <w:rPr>
                <w:rFonts w:ascii="Calibri" w:hAnsi="Calibri"/>
                <w:color w:val="000000"/>
                <w:sz w:val="18"/>
              </w:rPr>
              <w:t>Soft-NMS Complexity Fix</w:t>
            </w:r>
          </w:p>
        </w:tc>
        <w:tc>
          <w:tcPr>
            <w:tcW w:type="dxa" w:w="3456"/>
            <w:shd w:fill="FAFAFA"/>
            <w:tcMar>
              <w:top w:w="90" w:type="dxa"/>
              <w:bottom w:w="90" w:type="dxa"/>
              <w:left w:w="150" w:type="dxa"/>
              <w:right w:w="150" w:type="dxa"/>
            </w:tcMar>
          </w:tcPr>
          <w:p>
            <w:pPr>
              <w:spacing w:before="0" w:after="0"/>
            </w:pPr>
            <w:r>
              <w:rPr>
                <w:rFonts w:ascii="Calibri" w:hAnsi="Calibri"/>
                <w:color w:val="000000"/>
                <w:sz w:val="18"/>
              </w:rPr>
              <w:t>indices.remove() in Soft-NMS inner loop caused O(N^2) memory array shifts.</w:t>
            </w:r>
          </w:p>
        </w:tc>
        <w:tc>
          <w:tcPr>
            <w:tcW w:type="dxa" w:w="3312"/>
            <w:shd w:fill="FAFAFA"/>
            <w:tcMar>
              <w:top w:w="90" w:type="dxa"/>
              <w:bottom w:w="90" w:type="dxa"/>
              <w:left w:w="150" w:type="dxa"/>
              <w:right w:w="150" w:type="dxa"/>
            </w:tcMar>
          </w:tcPr>
          <w:p>
            <w:pPr>
              <w:spacing w:before="0" w:after="0"/>
            </w:pPr>
            <w:r>
              <w:rPr>
                <w:rFonts w:ascii="Calibri" w:hAnsi="Calibri"/>
                <w:color w:val="000000"/>
                <w:sz w:val="18"/>
              </w:rPr>
              <w:t>Refactored to vectorized boolean suppression masking, accelerating post-processing by 4x.</w:t>
            </w:r>
          </w:p>
        </w:tc>
      </w:tr>
      <w:tr>
        <w:tc>
          <w:tcPr>
            <w:tcW w:type="dxa" w:w="2592"/>
            <w:shd w:fill="FFFFFF"/>
            <w:tcMar>
              <w:top w:w="90" w:type="dxa"/>
              <w:bottom w:w="90" w:type="dxa"/>
              <w:left w:w="150" w:type="dxa"/>
              <w:right w:w="150" w:type="dxa"/>
            </w:tcMar>
          </w:tcPr>
          <w:p>
            <w:pPr>
              <w:spacing w:before="0" w:after="0"/>
            </w:pPr>
            <w:r>
              <w:rPr>
                <w:rFonts w:ascii="Calibri" w:hAnsi="Calibri"/>
                <w:color w:val="000000"/>
                <w:sz w:val="18"/>
              </w:rPr>
              <w:t>Atomic Database Persistence</w:t>
            </w:r>
          </w:p>
        </w:tc>
        <w:tc>
          <w:tcPr>
            <w:tcW w:type="dxa" w:w="3456"/>
            <w:shd w:fill="FFFFFF"/>
            <w:tcMar>
              <w:top w:w="90" w:type="dxa"/>
              <w:bottom w:w="90" w:type="dxa"/>
              <w:left w:w="150" w:type="dxa"/>
              <w:right w:w="150" w:type="dxa"/>
            </w:tcMar>
          </w:tcPr>
          <w:p>
            <w:pPr>
              <w:spacing w:before="0" w:after="0"/>
            </w:pPr>
            <w:r>
              <w:rPr>
                <w:rFonts w:ascii="Calibri" w:hAnsi="Calibri"/>
                <w:color w:val="000000"/>
                <w:sz w:val="18"/>
              </w:rPr>
              <w:t>Direct pickle write risked file corruption if power cut during encodings build.</w:t>
            </w:r>
          </w:p>
        </w:tc>
        <w:tc>
          <w:tcPr>
            <w:tcW w:type="dxa" w:w="3312"/>
            <w:shd w:fill="FFFFFF"/>
            <w:tcMar>
              <w:top w:w="90" w:type="dxa"/>
              <w:bottom w:w="90" w:type="dxa"/>
              <w:left w:w="150" w:type="dxa"/>
              <w:right w:w="150" w:type="dxa"/>
            </w:tcMar>
          </w:tcPr>
          <w:p>
            <w:pPr>
              <w:spacing w:before="0" w:after="0"/>
            </w:pPr>
            <w:r>
              <w:rPr>
                <w:rFonts w:ascii="Calibri" w:hAnsi="Calibri"/>
                <w:color w:val="000000"/>
                <w:sz w:val="18"/>
              </w:rPr>
              <w:t>Implemented write-to-temporary file followed by atomic filesystem replacement.</w:t>
            </w:r>
          </w:p>
        </w:tc>
      </w:tr>
      <w:tr>
        <w:tc>
          <w:tcPr>
            <w:tcW w:type="dxa" w:w="2592"/>
            <w:shd w:fill="FAFAFA"/>
            <w:tcMar>
              <w:top w:w="90" w:type="dxa"/>
              <w:bottom w:w="90" w:type="dxa"/>
              <w:left w:w="150" w:type="dxa"/>
              <w:right w:w="150" w:type="dxa"/>
            </w:tcMar>
          </w:tcPr>
          <w:p>
            <w:pPr>
              <w:spacing w:before="0" w:after="0"/>
            </w:pPr>
            <w:r>
              <w:rPr>
                <w:rFonts w:ascii="Calibri" w:hAnsi="Calibri"/>
                <w:color w:val="000000"/>
                <w:sz w:val="18"/>
              </w:rPr>
              <w:t>Multi-Process CSV Concurrency</w:t>
            </w:r>
          </w:p>
        </w:tc>
        <w:tc>
          <w:tcPr>
            <w:tcW w:type="dxa" w:w="3456"/>
            <w:shd w:fill="FAFAFA"/>
            <w:tcMar>
              <w:top w:w="90" w:type="dxa"/>
              <w:bottom w:w="90" w:type="dxa"/>
              <w:left w:w="150" w:type="dxa"/>
              <w:right w:w="150" w:type="dxa"/>
            </w:tcMar>
          </w:tcPr>
          <w:p>
            <w:pPr>
              <w:spacing w:before="0" w:after="0"/>
            </w:pPr>
            <w:r>
              <w:rPr>
                <w:rFonts w:ascii="Calibri" w:hAnsi="Calibri"/>
                <w:color w:val="000000"/>
                <w:sz w:val="18"/>
              </w:rPr>
              <w:t>Concurrent writes to attendance.csv from multiple processes risked record collision.</w:t>
            </w:r>
          </w:p>
        </w:tc>
        <w:tc>
          <w:tcPr>
            <w:tcW w:type="dxa" w:w="3312"/>
            <w:shd w:fill="FAFAFA"/>
            <w:tcMar>
              <w:top w:w="90" w:type="dxa"/>
              <w:bottom w:w="90" w:type="dxa"/>
              <w:left w:w="150" w:type="dxa"/>
              <w:right w:w="150" w:type="dxa"/>
            </w:tcMar>
          </w:tcPr>
          <w:p>
            <w:pPr>
              <w:spacing w:before="0" w:after="0"/>
            </w:pPr>
            <w:r>
              <w:rPr>
                <w:rFonts w:ascii="Calibri" w:hAnsi="Calibri"/>
                <w:color w:val="000000"/>
                <w:sz w:val="18"/>
              </w:rPr>
              <w:t>Integrated portalocker advisory file locks around all attendance write operations.</w:t>
            </w:r>
          </w:p>
        </w:tc>
      </w:tr>
      <w:tr>
        <w:tc>
          <w:tcPr>
            <w:tcW w:type="dxa" w:w="2592"/>
            <w:shd w:fill="FFFFFF"/>
            <w:tcMar>
              <w:top w:w="90" w:type="dxa"/>
              <w:bottom w:w="90" w:type="dxa"/>
              <w:left w:w="150" w:type="dxa"/>
              <w:right w:w="150" w:type="dxa"/>
            </w:tcMar>
          </w:tcPr>
          <w:p>
            <w:pPr>
              <w:spacing w:before="0" w:after="0"/>
            </w:pPr>
            <w:r>
              <w:rPr>
                <w:rFonts w:ascii="Calibri" w:hAnsi="Calibri"/>
                <w:color w:val="000000"/>
                <w:sz w:val="18"/>
              </w:rPr>
              <w:t>Midnight Rollover Bug</w:t>
            </w:r>
          </w:p>
        </w:tc>
        <w:tc>
          <w:tcPr>
            <w:tcW w:type="dxa" w:w="3456"/>
            <w:shd w:fill="FFFFFF"/>
            <w:tcMar>
              <w:top w:w="90" w:type="dxa"/>
              <w:bottom w:w="90" w:type="dxa"/>
              <w:left w:w="150" w:type="dxa"/>
              <w:right w:w="150" w:type="dxa"/>
            </w:tcMar>
          </w:tcPr>
          <w:p>
            <w:pPr>
              <w:spacing w:before="0" w:after="0"/>
            </w:pPr>
            <w:r>
              <w:rPr>
                <w:rFonts w:ascii="Calibri" w:hAnsi="Calibri"/>
                <w:color w:val="000000"/>
                <w:sz w:val="18"/>
              </w:rPr>
              <w:t>logged_today set was populated only at process launch, blocking attendance on day 2.</w:t>
            </w:r>
          </w:p>
        </w:tc>
        <w:tc>
          <w:tcPr>
            <w:tcW w:type="dxa" w:w="3312"/>
            <w:shd w:fill="FFFFFF"/>
            <w:tcMar>
              <w:top w:w="90" w:type="dxa"/>
              <w:bottom w:w="90" w:type="dxa"/>
              <w:left w:w="150" w:type="dxa"/>
              <w:right w:w="150" w:type="dxa"/>
            </w:tcMar>
          </w:tcPr>
          <w:p>
            <w:pPr>
              <w:spacing w:before="0" w:after="0"/>
            </w:pPr>
            <w:r>
              <w:rPr>
                <w:rFonts w:ascii="Calibri" w:hAnsi="Calibri"/>
                <w:color w:val="000000"/>
                <w:sz w:val="18"/>
              </w:rPr>
              <w:t>Added date tracking on every log call, automatically resetting cache on calendar rollover.</w:t>
            </w:r>
          </w:p>
        </w:tc>
      </w:tr>
      <w:tr>
        <w:tc>
          <w:tcPr>
            <w:tcW w:type="dxa" w:w="2592"/>
            <w:shd w:fill="FAFAFA"/>
            <w:tcMar>
              <w:top w:w="90" w:type="dxa"/>
              <w:bottom w:w="90" w:type="dxa"/>
              <w:left w:w="150" w:type="dxa"/>
              <w:right w:w="150" w:type="dxa"/>
            </w:tcMar>
          </w:tcPr>
          <w:p>
            <w:pPr>
              <w:spacing w:before="0" w:after="0"/>
            </w:pPr>
            <w:r>
              <w:rPr>
                <w:rFonts w:ascii="Calibri" w:hAnsi="Calibri"/>
                <w:color w:val="000000"/>
                <w:sz w:val="18"/>
              </w:rPr>
              <w:t>Inference Detector Fallback</w:t>
            </w:r>
          </w:p>
        </w:tc>
        <w:tc>
          <w:tcPr>
            <w:tcW w:type="dxa" w:w="3456"/>
            <w:shd w:fill="FAFAFA"/>
            <w:tcMar>
              <w:top w:w="90" w:type="dxa"/>
              <w:bottom w:w="90" w:type="dxa"/>
              <w:left w:w="150" w:type="dxa"/>
              <w:right w:w="150" w:type="dxa"/>
            </w:tcMar>
          </w:tcPr>
          <w:p>
            <w:pPr>
              <w:spacing w:before="0" w:after="0"/>
            </w:pPr>
            <w:r>
              <w:rPr>
                <w:rFonts w:ascii="Calibri" w:hAnsi="Calibri"/>
                <w:color w:val="000000"/>
                <w:sz w:val="18"/>
              </w:rPr>
              <w:t>Empty array during embedding normalization raised unhandled AxisError.</w:t>
            </w:r>
          </w:p>
        </w:tc>
        <w:tc>
          <w:tcPr>
            <w:tcW w:type="dxa" w:w="3312"/>
            <w:shd w:fill="FAFAFA"/>
            <w:tcMar>
              <w:top w:w="90" w:type="dxa"/>
              <w:bottom w:w="90" w:type="dxa"/>
              <w:left w:w="150" w:type="dxa"/>
              <w:right w:w="150" w:type="dxa"/>
            </w:tcMar>
          </w:tcPr>
          <w:p>
            <w:pPr>
              <w:spacing w:before="0" w:after="0"/>
            </w:pPr>
            <w:r>
              <w:rPr>
                <w:rFonts w:ascii="Calibri" w:hAnsi="Calibri"/>
                <w:color w:val="000000"/>
                <w:sz w:val="18"/>
              </w:rPr>
              <w:t>Added explicit len(embeddings) &gt; 0 validation prior to L2 vector normalization.</w:t>
            </w:r>
          </w:p>
        </w:tc>
      </w:tr>
    </w:tbl>
    <w:p>
      <w:pPr>
        <w:spacing w:before="0" w:after="120"/>
      </w:pPr>
    </w:p>
    <w:p>
      <w:pPr>
        <w:keepNext/>
        <w:spacing w:before="400" w:after="120"/>
      </w:pPr>
      <w:r>
        <w:rPr>
          <w:rFonts w:ascii="Calibri" w:hAnsi="Calibri"/>
          <w:b/>
          <w:color w:val="000000"/>
          <w:sz w:val="30"/>
        </w:rPr>
        <w:t>7. Infrastructure Budget &amp; Financial Breakdown</w:t>
      </w:r>
    </w:p>
    <w:p>
      <w:pPr>
        <w:spacing w:before="0" w:after="120" w:line="276" w:lineRule="auto"/>
      </w:pPr>
      <w:r>
        <w:rPr>
          <w:rFonts w:ascii="Calibri" w:hAnsi="Calibri"/>
          <w:color w:val="000000"/>
          <w:sz w:val="21"/>
        </w:rPr>
        <w:t>This proposal requests institutional deployment funding to transition the event-tested system into a permanent, continuous, 24/7 smart campus access gate installation at PIET. Because the primary capital compute asset is already fully sponsored by the AICTE IDEA Lab, the remaining budget is exceptionally lean and cost-effective.</w:t>
      </w:r>
    </w:p>
    <w:tbl>
      <w:tblPr>
        <w:tblW w:type="auto" w:w="0"/>
        <w:jc w:val="center"/>
        <w:tblLook w:firstColumn="1" w:firstRow="1" w:lastColumn="0" w:lastRow="0" w:noHBand="0" w:noVBand="1" w:val="04A0"/>
      </w:tblPr>
      <w:tblGrid>
        <w:gridCol w:w="9360"/>
      </w:tblGrid>
      <w:tr>
        <w:tc>
          <w:tcPr>
            <w:tcW w:type="dxa" w:w="9360"/>
            <w:shd w:fill="F5F5F5"/>
            <w:tcMar>
              <w:top w:w="140" w:type="dxa"/>
              <w:bottom w:w="140" w:type="dxa"/>
              <w:left w:w="200" w:type="dxa"/>
              <w:right w:w="200" w:type="dxa"/>
            </w:tcMar>
            <w:tcBorders>
              <w:top w:val="none"/>
              <w:bottom w:val="none"/>
              <w:right w:val="none"/>
              <w:left w:val="single" w:sz="24" w:space="0" w:color="000000"/>
            </w:tcBorders>
          </w:tcPr>
          <w:p>
            <w:pPr>
              <w:spacing w:before="0" w:after="0" w:line="276" w:lineRule="auto"/>
            </w:pPr>
            <w:r>
              <w:rPr>
                <w:rFonts w:ascii="Calibri" w:hAnsi="Calibri"/>
                <w:b/>
                <w:color w:val="000000"/>
                <w:sz w:val="21"/>
              </w:rPr>
              <w:t>PRIMARY COMPUTE ASSET: 100% SPONSORED BY IDEA LAB</w:t>
              <w:br/>
            </w:r>
            <w:r>
              <w:rPr>
                <w:rFonts w:ascii="Calibri" w:hAnsi="Calibri"/>
                <w:color w:val="282828"/>
                <w:sz w:val="20"/>
              </w:rPr>
              <w:t>SPONSORSHIP CONFIRMATION: AICTE IDEA LAB (PIET)</w:t>
              <w:br/>
              <w:t>Hardware Item: High-Performance AI Inference Workstation (NVIDIA GeForce RTX 4070 SUPER GPU, 12GB GDDR6X, Intel Core i7 14th Gen, 32GB DDR5 RAM, 1TB NVMe Gen4 SSD, 750W 80+ Gold Power Supply, Active Cooling Chassis).</w:t>
              <w:br/>
              <w:t>Standard Commercial Market Price: ₹85,000</w:t>
              <w:br/>
              <w:t>Financial Allocation to Project Budget: ₹0 (100% Sponsoring Contribution by AICTE IDEA Lab)</w:t>
              <w:br/>
              <w:t>Institutional Benefit: Massive capital cost savings for the institution; showcases IDEA Lab innovation in production campus use.</w:t>
            </w:r>
          </w:p>
        </w:tc>
      </w:tr>
    </w:tbl>
    <w:p>
      <w:pPr>
        <w:spacing w:before="0" w:after="80"/>
      </w:pPr>
    </w:p>
    <w:p>
      <w:pPr>
        <w:keepNext/>
        <w:spacing w:before="280" w:after="80"/>
      </w:pPr>
      <w:r>
        <w:rPr>
          <w:rFonts w:ascii="Calibri" w:hAnsi="Calibri"/>
          <w:b/>
          <w:color w:val="000000"/>
          <w:sz w:val="25"/>
        </w:rPr>
        <w:t>7.1 Itemized Pilot Deployment Budget</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872"/>
        <w:gridCol w:w="1872"/>
        <w:gridCol w:w="1872"/>
        <w:gridCol w:w="1872"/>
        <w:gridCol w:w="1872"/>
      </w:tblGrid>
      <w:tr>
        <w:tc>
          <w:tcPr>
            <w:tcW w:type="dxa" w:w="2160"/>
            <w:shd w:fill="000000"/>
            <w:tcMar>
              <w:top w:w="120" w:type="dxa"/>
              <w:bottom w:w="120" w:type="dxa"/>
              <w:left w:w="150" w:type="dxa"/>
              <w:right w:w="150" w:type="dxa"/>
            </w:tcMar>
          </w:tcPr>
          <w:p>
            <w:pPr>
              <w:spacing w:before="0" w:after="0"/>
            </w:pPr>
            <w:r>
              <w:rPr>
                <w:rFonts w:ascii="Calibri" w:hAnsi="Calibri"/>
                <w:b/>
                <w:color w:val="FFFFFF"/>
                <w:sz w:val="19"/>
              </w:rPr>
              <w:t>Item / Component</w:t>
            </w:r>
          </w:p>
        </w:tc>
        <w:tc>
          <w:tcPr>
            <w:tcW w:type="dxa" w:w="3168"/>
            <w:shd w:fill="000000"/>
            <w:tcMar>
              <w:top w:w="120" w:type="dxa"/>
              <w:bottom w:w="120" w:type="dxa"/>
              <w:left w:w="150" w:type="dxa"/>
              <w:right w:w="150" w:type="dxa"/>
            </w:tcMar>
          </w:tcPr>
          <w:p>
            <w:pPr>
              <w:spacing w:before="0" w:after="0"/>
            </w:pPr>
            <w:r>
              <w:rPr>
                <w:rFonts w:ascii="Calibri" w:hAnsi="Calibri"/>
                <w:b/>
                <w:color w:val="FFFFFF"/>
                <w:sz w:val="19"/>
              </w:rPr>
              <w:t>Detailed Technical Specification &amp; Purpose</w:t>
            </w:r>
          </w:p>
        </w:tc>
        <w:tc>
          <w:tcPr>
            <w:tcW w:type="dxa" w:w="1296"/>
            <w:shd w:fill="000000"/>
            <w:tcMar>
              <w:top w:w="120" w:type="dxa"/>
              <w:bottom w:w="120" w:type="dxa"/>
              <w:left w:w="150" w:type="dxa"/>
              <w:right w:w="150" w:type="dxa"/>
            </w:tcMar>
          </w:tcPr>
          <w:p>
            <w:pPr>
              <w:spacing w:before="0" w:after="0"/>
            </w:pPr>
            <w:r>
              <w:rPr>
                <w:rFonts w:ascii="Calibri" w:hAnsi="Calibri"/>
                <w:b/>
                <w:color w:val="FFFFFF"/>
                <w:sz w:val="19"/>
              </w:rPr>
              <w:t>Commercial Cost (₹)</w:t>
            </w:r>
          </w:p>
        </w:tc>
        <w:tc>
          <w:tcPr>
            <w:tcW w:type="dxa" w:w="1872"/>
            <w:shd w:fill="000000"/>
            <w:tcMar>
              <w:top w:w="120" w:type="dxa"/>
              <w:bottom w:w="120" w:type="dxa"/>
              <w:left w:w="150" w:type="dxa"/>
              <w:right w:w="150" w:type="dxa"/>
            </w:tcMar>
          </w:tcPr>
          <w:p>
            <w:pPr>
              <w:spacing w:before="0" w:after="0"/>
            </w:pPr>
            <w:r>
              <w:rPr>
                <w:rFonts w:ascii="Calibri" w:hAnsi="Calibri"/>
                <w:b/>
                <w:color w:val="FFFFFF"/>
                <w:sz w:val="19"/>
              </w:rPr>
              <w:t>Sponsorship / Funding Source</w:t>
            </w:r>
          </w:p>
        </w:tc>
        <w:tc>
          <w:tcPr>
            <w:tcW w:type="dxa" w:w="1584"/>
            <w:shd w:fill="000000"/>
            <w:tcMar>
              <w:top w:w="120" w:type="dxa"/>
              <w:bottom w:w="120" w:type="dxa"/>
              <w:left w:w="150" w:type="dxa"/>
              <w:right w:w="150" w:type="dxa"/>
            </w:tcMar>
          </w:tcPr>
          <w:p>
            <w:pPr>
              <w:spacing w:before="0" w:after="0"/>
            </w:pPr>
            <w:r>
              <w:rPr>
                <w:rFonts w:ascii="Calibri" w:hAnsi="Calibri"/>
                <w:b/>
                <w:color w:val="FFFFFF"/>
                <w:sz w:val="19"/>
              </w:rPr>
              <w:t>Net Request (₹)</w:t>
            </w:r>
          </w:p>
        </w:tc>
      </w:tr>
      <w:tr>
        <w:tc>
          <w:tcPr>
            <w:tcW w:type="dxa" w:w="2160"/>
            <w:shd w:fill="FFFFFF"/>
            <w:tcMar>
              <w:top w:w="90" w:type="dxa"/>
              <w:bottom w:w="90" w:type="dxa"/>
              <w:left w:w="150" w:type="dxa"/>
              <w:right w:w="150" w:type="dxa"/>
            </w:tcMar>
          </w:tcPr>
          <w:p>
            <w:pPr>
              <w:spacing w:before="0" w:after="0"/>
            </w:pPr>
            <w:r>
              <w:rPr>
                <w:rFonts w:ascii="Calibri" w:hAnsi="Calibri"/>
                <w:color w:val="000000"/>
                <w:sz w:val="18"/>
              </w:rPr>
              <w:t>High-Performance AI Inference GPU Server</w:t>
            </w:r>
          </w:p>
        </w:tc>
        <w:tc>
          <w:tcPr>
            <w:tcW w:type="dxa" w:w="3168"/>
            <w:shd w:fill="FFFFFF"/>
            <w:tcMar>
              <w:top w:w="90" w:type="dxa"/>
              <w:bottom w:w="90" w:type="dxa"/>
              <w:left w:w="150" w:type="dxa"/>
              <w:right w:w="150" w:type="dxa"/>
            </w:tcMar>
          </w:tcPr>
          <w:p>
            <w:pPr>
              <w:spacing w:before="0" w:after="0"/>
            </w:pPr>
            <w:r>
              <w:rPr>
                <w:rFonts w:ascii="Calibri" w:hAnsi="Calibri"/>
                <w:color w:val="000000"/>
                <w:sz w:val="18"/>
              </w:rPr>
              <w:t>NVIDIA GeForce RTX 4070 SUPER (12GB VRAM), Intel i7, 32GB DDR5, 1TB NVMe SSD, 750W Gold PSU</w:t>
            </w:r>
          </w:p>
        </w:tc>
        <w:tc>
          <w:tcPr>
            <w:tcW w:type="dxa" w:w="1296"/>
            <w:shd w:fill="FFFFFF"/>
            <w:tcMar>
              <w:top w:w="90" w:type="dxa"/>
              <w:bottom w:w="90" w:type="dxa"/>
              <w:left w:w="150" w:type="dxa"/>
              <w:right w:w="150" w:type="dxa"/>
            </w:tcMar>
          </w:tcPr>
          <w:p>
            <w:pPr>
              <w:spacing w:before="0" w:after="0"/>
            </w:pPr>
            <w:r>
              <w:rPr>
                <w:rFonts w:ascii="Calibri" w:hAnsi="Calibri"/>
                <w:color w:val="000000"/>
                <w:sz w:val="18"/>
              </w:rPr>
              <w:t>₹85,000</w:t>
            </w:r>
          </w:p>
        </w:tc>
        <w:tc>
          <w:tcPr>
            <w:tcW w:type="dxa" w:w="1872"/>
            <w:shd w:fill="FFFFFF"/>
            <w:tcMar>
              <w:top w:w="90" w:type="dxa"/>
              <w:bottom w:w="90" w:type="dxa"/>
              <w:left w:w="150" w:type="dxa"/>
              <w:right w:w="150" w:type="dxa"/>
            </w:tcMar>
          </w:tcPr>
          <w:p>
            <w:pPr>
              <w:spacing w:before="0" w:after="0"/>
            </w:pPr>
            <w:r>
              <w:rPr>
                <w:rFonts w:ascii="Calibri" w:hAnsi="Calibri"/>
                <w:color w:val="000000"/>
                <w:sz w:val="18"/>
              </w:rPr>
              <w:t>SPONSORED BY AICTE IDEA LAB</w:t>
            </w:r>
          </w:p>
        </w:tc>
        <w:tc>
          <w:tcPr>
            <w:tcW w:type="dxa" w:w="1584"/>
            <w:shd w:fill="FFFFFF"/>
            <w:tcMar>
              <w:top w:w="90" w:type="dxa"/>
              <w:bottom w:w="90" w:type="dxa"/>
              <w:left w:w="150" w:type="dxa"/>
              <w:right w:w="150" w:type="dxa"/>
            </w:tcMar>
          </w:tcPr>
          <w:p>
            <w:pPr>
              <w:spacing w:before="0" w:after="0"/>
            </w:pPr>
            <w:r>
              <w:rPr>
                <w:rFonts w:ascii="Calibri" w:hAnsi="Calibri"/>
                <w:color w:val="000000"/>
                <w:sz w:val="18"/>
              </w:rPr>
              <w:t>₹0 (Sponsored)</w:t>
            </w:r>
          </w:p>
        </w:tc>
      </w:tr>
      <w:tr>
        <w:tc>
          <w:tcPr>
            <w:tcW w:type="dxa" w:w="2160"/>
            <w:shd w:fill="FAFAFA"/>
            <w:tcMar>
              <w:top w:w="90" w:type="dxa"/>
              <w:bottom w:w="90" w:type="dxa"/>
              <w:left w:w="150" w:type="dxa"/>
              <w:right w:w="150" w:type="dxa"/>
            </w:tcMar>
          </w:tcPr>
          <w:p>
            <w:pPr>
              <w:spacing w:before="0" w:after="0"/>
            </w:pPr>
            <w:r>
              <w:rPr>
                <w:rFonts w:ascii="Calibri" w:hAnsi="Calibri"/>
                <w:color w:val="000000"/>
                <w:sz w:val="18"/>
              </w:rPr>
              <w:t>Fixed HD Camera System</w:t>
            </w:r>
          </w:p>
        </w:tc>
        <w:tc>
          <w:tcPr>
            <w:tcW w:type="dxa" w:w="3168"/>
            <w:shd w:fill="FAFAFA"/>
            <w:tcMar>
              <w:top w:w="90" w:type="dxa"/>
              <w:bottom w:w="90" w:type="dxa"/>
              <w:left w:w="150" w:type="dxa"/>
              <w:right w:w="150" w:type="dxa"/>
            </w:tcMar>
          </w:tcPr>
          <w:p>
            <w:pPr>
              <w:spacing w:before="0" w:after="0"/>
            </w:pPr>
            <w:r>
              <w:rPr>
                <w:rFonts w:ascii="Calibri" w:hAnsi="Calibri"/>
                <w:color w:val="000000"/>
                <w:sz w:val="18"/>
              </w:rPr>
              <w:t>Low-distortion 1080p/720p IP camera, wide-angle lens, motorized IR filter, weatherproof dome</w:t>
            </w:r>
          </w:p>
        </w:tc>
        <w:tc>
          <w:tcPr>
            <w:tcW w:type="dxa" w:w="1296"/>
            <w:shd w:fill="FAFAFA"/>
            <w:tcMar>
              <w:top w:w="90" w:type="dxa"/>
              <w:bottom w:w="90" w:type="dxa"/>
              <w:left w:w="150" w:type="dxa"/>
              <w:right w:w="150" w:type="dxa"/>
            </w:tcMar>
          </w:tcPr>
          <w:p>
            <w:pPr>
              <w:spacing w:before="0" w:after="0"/>
            </w:pPr>
            <w:r>
              <w:rPr>
                <w:rFonts w:ascii="Calibri" w:hAnsi="Calibri"/>
                <w:color w:val="000000"/>
                <w:sz w:val="18"/>
              </w:rPr>
              <w:t>₹18,000</w:t>
            </w:r>
          </w:p>
        </w:tc>
        <w:tc>
          <w:tcPr>
            <w:tcW w:type="dxa" w:w="1872"/>
            <w:shd w:fill="FAFAFA"/>
            <w:tcMar>
              <w:top w:w="90" w:type="dxa"/>
              <w:bottom w:w="90" w:type="dxa"/>
              <w:left w:w="150" w:type="dxa"/>
              <w:right w:w="150" w:type="dxa"/>
            </w:tcMar>
          </w:tcPr>
          <w:p>
            <w:pPr>
              <w:spacing w:before="0" w:after="0"/>
            </w:pPr>
            <w:r>
              <w:rPr>
                <w:rFonts w:ascii="Calibri" w:hAnsi="Calibri"/>
                <w:color w:val="000000"/>
                <w:sz w:val="18"/>
              </w:rPr>
              <w:t>Requested Institutional Grant</w:t>
            </w:r>
          </w:p>
        </w:tc>
        <w:tc>
          <w:tcPr>
            <w:tcW w:type="dxa" w:w="1584"/>
            <w:shd w:fill="FAFAFA"/>
            <w:tcMar>
              <w:top w:w="90" w:type="dxa"/>
              <w:bottom w:w="90" w:type="dxa"/>
              <w:left w:w="150" w:type="dxa"/>
              <w:right w:w="150" w:type="dxa"/>
            </w:tcMar>
          </w:tcPr>
          <w:p>
            <w:pPr>
              <w:spacing w:before="0" w:after="0"/>
            </w:pPr>
            <w:r>
              <w:rPr>
                <w:rFonts w:ascii="Calibri" w:hAnsi="Calibri"/>
                <w:color w:val="000000"/>
                <w:sz w:val="18"/>
              </w:rPr>
              <w:t>₹18,000</w:t>
            </w:r>
          </w:p>
        </w:tc>
      </w:tr>
      <w:tr>
        <w:tc>
          <w:tcPr>
            <w:tcW w:type="dxa" w:w="2160"/>
            <w:shd w:fill="FFFFFF"/>
            <w:tcMar>
              <w:top w:w="90" w:type="dxa"/>
              <w:bottom w:w="90" w:type="dxa"/>
              <w:left w:w="150" w:type="dxa"/>
              <w:right w:w="150" w:type="dxa"/>
            </w:tcMar>
          </w:tcPr>
          <w:p>
            <w:pPr>
              <w:spacing w:before="0" w:after="0"/>
            </w:pPr>
            <w:r>
              <w:rPr>
                <w:rFonts w:ascii="Calibri" w:hAnsi="Calibri"/>
                <w:color w:val="000000"/>
                <w:sz w:val="18"/>
              </w:rPr>
              <w:t>Edge Processing Unit</w:t>
            </w:r>
          </w:p>
        </w:tc>
        <w:tc>
          <w:tcPr>
            <w:tcW w:type="dxa" w:w="3168"/>
            <w:shd w:fill="FFFFFF"/>
            <w:tcMar>
              <w:top w:w="90" w:type="dxa"/>
              <w:bottom w:w="90" w:type="dxa"/>
              <w:left w:w="150" w:type="dxa"/>
              <w:right w:w="150" w:type="dxa"/>
            </w:tcMar>
          </w:tcPr>
          <w:p>
            <w:pPr>
              <w:spacing w:before="0" w:after="0"/>
            </w:pPr>
            <w:r>
              <w:rPr>
                <w:rFonts w:ascii="Calibri" w:hAnsi="Calibri"/>
                <w:color w:val="000000"/>
                <w:sz w:val="18"/>
              </w:rPr>
              <w:t>Mini-PC / Embedded industrial relay node for local camera stream forwarding and DirectShow capture</w:t>
            </w:r>
          </w:p>
        </w:tc>
        <w:tc>
          <w:tcPr>
            <w:tcW w:type="dxa" w:w="1296"/>
            <w:shd w:fill="FFFFFF"/>
            <w:tcMar>
              <w:top w:w="90" w:type="dxa"/>
              <w:bottom w:w="90" w:type="dxa"/>
              <w:left w:w="150" w:type="dxa"/>
              <w:right w:w="150" w:type="dxa"/>
            </w:tcMar>
          </w:tcPr>
          <w:p>
            <w:pPr>
              <w:spacing w:before="0" w:after="0"/>
            </w:pPr>
            <w:r>
              <w:rPr>
                <w:rFonts w:ascii="Calibri" w:hAnsi="Calibri"/>
                <w:color w:val="000000"/>
                <w:sz w:val="18"/>
              </w:rPr>
              <w:t>₹22,000</w:t>
            </w:r>
          </w:p>
        </w:tc>
        <w:tc>
          <w:tcPr>
            <w:tcW w:type="dxa" w:w="1872"/>
            <w:shd w:fill="FFFFFF"/>
            <w:tcMar>
              <w:top w:w="90" w:type="dxa"/>
              <w:bottom w:w="90" w:type="dxa"/>
              <w:left w:w="150" w:type="dxa"/>
              <w:right w:w="150" w:type="dxa"/>
            </w:tcMar>
          </w:tcPr>
          <w:p>
            <w:pPr>
              <w:spacing w:before="0" w:after="0"/>
            </w:pPr>
            <w:r>
              <w:rPr>
                <w:rFonts w:ascii="Calibri" w:hAnsi="Calibri"/>
                <w:color w:val="000000"/>
                <w:sz w:val="18"/>
              </w:rPr>
              <w:t>Requested Institutional Grant</w:t>
            </w:r>
          </w:p>
        </w:tc>
        <w:tc>
          <w:tcPr>
            <w:tcW w:type="dxa" w:w="1584"/>
            <w:shd w:fill="FFFFFF"/>
            <w:tcMar>
              <w:top w:w="90" w:type="dxa"/>
              <w:bottom w:w="90" w:type="dxa"/>
              <w:left w:w="150" w:type="dxa"/>
              <w:right w:w="150" w:type="dxa"/>
            </w:tcMar>
          </w:tcPr>
          <w:p>
            <w:pPr>
              <w:spacing w:before="0" w:after="0"/>
            </w:pPr>
            <w:r>
              <w:rPr>
                <w:rFonts w:ascii="Calibri" w:hAnsi="Calibri"/>
                <w:color w:val="000000"/>
                <w:sz w:val="18"/>
              </w:rPr>
              <w:t>₹22,000</w:t>
            </w:r>
          </w:p>
        </w:tc>
      </w:tr>
      <w:tr>
        <w:tc>
          <w:tcPr>
            <w:tcW w:type="dxa" w:w="2160"/>
            <w:shd w:fill="FAFAFA"/>
            <w:tcMar>
              <w:top w:w="90" w:type="dxa"/>
              <w:bottom w:w="90" w:type="dxa"/>
              <w:left w:w="150" w:type="dxa"/>
              <w:right w:w="150" w:type="dxa"/>
            </w:tcMar>
          </w:tcPr>
          <w:p>
            <w:pPr>
              <w:spacing w:before="0" w:after="0"/>
            </w:pPr>
            <w:r>
              <w:rPr>
                <w:rFonts w:ascii="Calibri" w:hAnsi="Calibri"/>
                <w:color w:val="000000"/>
                <w:sz w:val="18"/>
              </w:rPr>
              <w:t>Network &amp; Power Infrastructure</w:t>
            </w:r>
          </w:p>
        </w:tc>
        <w:tc>
          <w:tcPr>
            <w:tcW w:type="dxa" w:w="3168"/>
            <w:shd w:fill="FAFAFA"/>
            <w:tcMar>
              <w:top w:w="90" w:type="dxa"/>
              <w:bottom w:w="90" w:type="dxa"/>
              <w:left w:w="150" w:type="dxa"/>
              <w:right w:w="150" w:type="dxa"/>
            </w:tcMar>
          </w:tcPr>
          <w:p>
            <w:pPr>
              <w:spacing w:before="0" w:after="0"/>
            </w:pPr>
            <w:r>
              <w:rPr>
                <w:rFonts w:ascii="Calibri" w:hAnsi="Calibri"/>
                <w:color w:val="000000"/>
                <w:sz w:val="18"/>
              </w:rPr>
              <w:t>1 kVA Online UPS (surge protection), Cat6 PoE shielded cabling, weather-sealed conduits &amp; wall mounting</w:t>
            </w:r>
          </w:p>
        </w:tc>
        <w:tc>
          <w:tcPr>
            <w:tcW w:type="dxa" w:w="1296"/>
            <w:shd w:fill="FAFAFA"/>
            <w:tcMar>
              <w:top w:w="90" w:type="dxa"/>
              <w:bottom w:w="90" w:type="dxa"/>
              <w:left w:w="150" w:type="dxa"/>
              <w:right w:w="150" w:type="dxa"/>
            </w:tcMar>
          </w:tcPr>
          <w:p>
            <w:pPr>
              <w:spacing w:before="0" w:after="0"/>
            </w:pPr>
            <w:r>
              <w:rPr>
                <w:rFonts w:ascii="Calibri" w:hAnsi="Calibri"/>
                <w:color w:val="000000"/>
                <w:sz w:val="18"/>
              </w:rPr>
              <w:t>₹12,000</w:t>
            </w:r>
          </w:p>
        </w:tc>
        <w:tc>
          <w:tcPr>
            <w:tcW w:type="dxa" w:w="1872"/>
            <w:shd w:fill="FAFAFA"/>
            <w:tcMar>
              <w:top w:w="90" w:type="dxa"/>
              <w:bottom w:w="90" w:type="dxa"/>
              <w:left w:w="150" w:type="dxa"/>
              <w:right w:w="150" w:type="dxa"/>
            </w:tcMar>
          </w:tcPr>
          <w:p>
            <w:pPr>
              <w:spacing w:before="0" w:after="0"/>
            </w:pPr>
            <w:r>
              <w:rPr>
                <w:rFonts w:ascii="Calibri" w:hAnsi="Calibri"/>
                <w:color w:val="000000"/>
                <w:sz w:val="18"/>
              </w:rPr>
              <w:t>Requested Institutional Grant</w:t>
            </w:r>
          </w:p>
        </w:tc>
        <w:tc>
          <w:tcPr>
            <w:tcW w:type="dxa" w:w="1584"/>
            <w:shd w:fill="FAFAFA"/>
            <w:tcMar>
              <w:top w:w="90" w:type="dxa"/>
              <w:bottom w:w="90" w:type="dxa"/>
              <w:left w:w="150" w:type="dxa"/>
              <w:right w:w="150" w:type="dxa"/>
            </w:tcMar>
          </w:tcPr>
          <w:p>
            <w:pPr>
              <w:spacing w:before="0" w:after="0"/>
            </w:pPr>
            <w:r>
              <w:rPr>
                <w:rFonts w:ascii="Calibri" w:hAnsi="Calibri"/>
                <w:color w:val="000000"/>
                <w:sz w:val="18"/>
              </w:rPr>
              <w:t>₹12,000</w:t>
            </w:r>
          </w:p>
        </w:tc>
      </w:tr>
      <w:tr>
        <w:tc>
          <w:tcPr>
            <w:tcW w:type="dxa" w:w="2160"/>
            <w:shd w:fill="FFFFFF"/>
            <w:tcMar>
              <w:top w:w="90" w:type="dxa"/>
              <w:bottom w:w="90" w:type="dxa"/>
              <w:left w:w="150" w:type="dxa"/>
              <w:right w:w="150" w:type="dxa"/>
            </w:tcMar>
          </w:tcPr>
          <w:p>
            <w:pPr>
              <w:spacing w:before="0" w:after="0"/>
            </w:pPr>
            <w:r>
              <w:rPr>
                <w:rFonts w:ascii="Calibri" w:hAnsi="Calibri"/>
                <w:color w:val="000000"/>
                <w:sz w:val="18"/>
              </w:rPr>
              <w:t>Software Hardening &amp; Engineering</w:t>
            </w:r>
          </w:p>
        </w:tc>
        <w:tc>
          <w:tcPr>
            <w:tcW w:type="dxa" w:w="3168"/>
            <w:shd w:fill="FFFFFF"/>
            <w:tcMar>
              <w:top w:w="90" w:type="dxa"/>
              <w:bottom w:w="90" w:type="dxa"/>
              <w:left w:w="150" w:type="dxa"/>
              <w:right w:w="150" w:type="dxa"/>
            </w:tcMar>
          </w:tcPr>
          <w:p>
            <w:pPr>
              <w:spacing w:before="0" w:after="0"/>
            </w:pPr>
            <w:r>
              <w:rPr>
                <w:rFonts w:ascii="Calibri" w:hAnsi="Calibri"/>
                <w:color w:val="000000"/>
                <w:sz w:val="18"/>
              </w:rPr>
              <w:t>Production database integration, multi-gate deduplication, automated system health telemetry (100 hrs)</w:t>
            </w:r>
          </w:p>
        </w:tc>
        <w:tc>
          <w:tcPr>
            <w:tcW w:type="dxa" w:w="1296"/>
            <w:shd w:fill="FFFFFF"/>
            <w:tcMar>
              <w:top w:w="90" w:type="dxa"/>
              <w:bottom w:w="90" w:type="dxa"/>
              <w:left w:w="150" w:type="dxa"/>
              <w:right w:w="150" w:type="dxa"/>
            </w:tcMar>
          </w:tcPr>
          <w:p>
            <w:pPr>
              <w:spacing w:before="0" w:after="0"/>
            </w:pPr>
            <w:r>
              <w:rPr>
                <w:rFonts w:ascii="Calibri" w:hAnsi="Calibri"/>
                <w:color w:val="000000"/>
                <w:sz w:val="18"/>
              </w:rPr>
              <w:t>₹20,000</w:t>
            </w:r>
          </w:p>
        </w:tc>
        <w:tc>
          <w:tcPr>
            <w:tcW w:type="dxa" w:w="1872"/>
            <w:shd w:fill="FFFFFF"/>
            <w:tcMar>
              <w:top w:w="90" w:type="dxa"/>
              <w:bottom w:w="90" w:type="dxa"/>
              <w:left w:w="150" w:type="dxa"/>
              <w:right w:w="150" w:type="dxa"/>
            </w:tcMar>
          </w:tcPr>
          <w:p>
            <w:pPr>
              <w:spacing w:before="0" w:after="0"/>
            </w:pPr>
            <w:r>
              <w:rPr>
                <w:rFonts w:ascii="Calibri" w:hAnsi="Calibri"/>
                <w:color w:val="000000"/>
                <w:sz w:val="18"/>
              </w:rPr>
              <w:t>Requested Institutional Grant</w:t>
            </w:r>
          </w:p>
        </w:tc>
        <w:tc>
          <w:tcPr>
            <w:tcW w:type="dxa" w:w="1584"/>
            <w:shd w:fill="FFFFFF"/>
            <w:tcMar>
              <w:top w:w="90" w:type="dxa"/>
              <w:bottom w:w="90" w:type="dxa"/>
              <w:left w:w="150" w:type="dxa"/>
              <w:right w:w="150" w:type="dxa"/>
            </w:tcMar>
          </w:tcPr>
          <w:p>
            <w:pPr>
              <w:spacing w:before="0" w:after="0"/>
            </w:pPr>
            <w:r>
              <w:rPr>
                <w:rFonts w:ascii="Calibri" w:hAnsi="Calibri"/>
                <w:color w:val="000000"/>
                <w:sz w:val="18"/>
              </w:rPr>
              <w:t>₹20,000</w:t>
            </w:r>
          </w:p>
        </w:tc>
      </w:tr>
      <w:tr>
        <w:tc>
          <w:tcPr>
            <w:tcW w:type="dxa" w:w="2160"/>
            <w:shd w:fill="FAFAFA"/>
            <w:tcMar>
              <w:top w:w="90" w:type="dxa"/>
              <w:bottom w:w="90" w:type="dxa"/>
              <w:left w:w="150" w:type="dxa"/>
              <w:right w:w="150" w:type="dxa"/>
            </w:tcMar>
          </w:tcPr>
          <w:p>
            <w:pPr>
              <w:spacing w:before="0" w:after="0"/>
            </w:pPr>
            <w:r>
              <w:rPr>
                <w:rFonts w:ascii="Calibri" w:hAnsi="Calibri"/>
                <w:color w:val="000000"/>
                <w:sz w:val="18"/>
              </w:rPr>
              <w:t>Compliance &amp; Data Privacy Setup</w:t>
            </w:r>
          </w:p>
        </w:tc>
        <w:tc>
          <w:tcPr>
            <w:tcW w:type="dxa" w:w="3168"/>
            <w:shd w:fill="FAFAFA"/>
            <w:tcMar>
              <w:top w:w="90" w:type="dxa"/>
              <w:bottom w:w="90" w:type="dxa"/>
              <w:left w:w="150" w:type="dxa"/>
              <w:right w:w="150" w:type="dxa"/>
            </w:tcMar>
          </w:tcPr>
          <w:p>
            <w:pPr>
              <w:spacing w:before="0" w:after="0"/>
            </w:pPr>
            <w:r>
              <w:rPr>
                <w:rFonts w:ascii="Calibri" w:hAnsi="Calibri"/>
                <w:color w:val="000000"/>
                <w:sz w:val="18"/>
              </w:rPr>
              <w:t>DPDPA 2023 compliance audit, consent form printing, student notice boards, opt-out protocols</w:t>
            </w:r>
          </w:p>
        </w:tc>
        <w:tc>
          <w:tcPr>
            <w:tcW w:type="dxa" w:w="1296"/>
            <w:shd w:fill="FAFAFA"/>
            <w:tcMar>
              <w:top w:w="90" w:type="dxa"/>
              <w:bottom w:w="90" w:type="dxa"/>
              <w:left w:w="150" w:type="dxa"/>
              <w:right w:w="150" w:type="dxa"/>
            </w:tcMar>
          </w:tcPr>
          <w:p>
            <w:pPr>
              <w:spacing w:before="0" w:after="0"/>
            </w:pPr>
            <w:r>
              <w:rPr>
                <w:rFonts w:ascii="Calibri" w:hAnsi="Calibri"/>
                <w:color w:val="000000"/>
                <w:sz w:val="18"/>
              </w:rPr>
              <w:t>₹6,000</w:t>
            </w:r>
          </w:p>
        </w:tc>
        <w:tc>
          <w:tcPr>
            <w:tcW w:type="dxa" w:w="1872"/>
            <w:shd w:fill="FAFAFA"/>
            <w:tcMar>
              <w:top w:w="90" w:type="dxa"/>
              <w:bottom w:w="90" w:type="dxa"/>
              <w:left w:w="150" w:type="dxa"/>
              <w:right w:w="150" w:type="dxa"/>
            </w:tcMar>
          </w:tcPr>
          <w:p>
            <w:pPr>
              <w:spacing w:before="0" w:after="0"/>
            </w:pPr>
            <w:r>
              <w:rPr>
                <w:rFonts w:ascii="Calibri" w:hAnsi="Calibri"/>
                <w:color w:val="000000"/>
                <w:sz w:val="18"/>
              </w:rPr>
              <w:t>Requested Institutional Grant</w:t>
            </w:r>
          </w:p>
        </w:tc>
        <w:tc>
          <w:tcPr>
            <w:tcW w:type="dxa" w:w="1584"/>
            <w:shd w:fill="FAFAFA"/>
            <w:tcMar>
              <w:top w:w="90" w:type="dxa"/>
              <w:bottom w:w="90" w:type="dxa"/>
              <w:left w:w="150" w:type="dxa"/>
              <w:right w:w="150" w:type="dxa"/>
            </w:tcMar>
          </w:tcPr>
          <w:p>
            <w:pPr>
              <w:spacing w:before="0" w:after="0"/>
            </w:pPr>
            <w:r>
              <w:rPr>
                <w:rFonts w:ascii="Calibri" w:hAnsi="Calibri"/>
                <w:color w:val="000000"/>
                <w:sz w:val="18"/>
              </w:rPr>
              <w:t>₹6,000</w:t>
            </w:r>
          </w:p>
        </w:tc>
      </w:tr>
      <w:tr>
        <w:tc>
          <w:tcPr>
            <w:tcW w:type="dxa" w:w="2160"/>
            <w:shd w:fill="FFFFFF"/>
            <w:tcMar>
              <w:top w:w="90" w:type="dxa"/>
              <w:bottom w:w="90" w:type="dxa"/>
              <w:left w:w="150" w:type="dxa"/>
              <w:right w:w="150" w:type="dxa"/>
            </w:tcMar>
          </w:tcPr>
          <w:p>
            <w:pPr>
              <w:spacing w:before="0" w:after="0"/>
            </w:pPr>
            <w:r>
              <w:rPr>
                <w:rFonts w:ascii="Calibri" w:hAnsi="Calibri"/>
                <w:color w:val="000000"/>
                <w:sz w:val="18"/>
              </w:rPr>
              <w:t>Onboarding &amp; Field Pilot Support</w:t>
            </w:r>
          </w:p>
        </w:tc>
        <w:tc>
          <w:tcPr>
            <w:tcW w:type="dxa" w:w="3168"/>
            <w:shd w:fill="FFFFFF"/>
            <w:tcMar>
              <w:top w:w="90" w:type="dxa"/>
              <w:bottom w:w="90" w:type="dxa"/>
              <w:left w:w="150" w:type="dxa"/>
              <w:right w:w="150" w:type="dxa"/>
            </w:tcMar>
          </w:tcPr>
          <w:p>
            <w:pPr>
              <w:spacing w:before="0" w:after="0"/>
            </w:pPr>
            <w:r>
              <w:rPr>
                <w:rFonts w:ascii="Calibri" w:hAnsi="Calibri"/>
                <w:color w:val="000000"/>
                <w:sz w:val="18"/>
              </w:rPr>
              <w:t>Operator training, volunteer onboarding, edge-case failure logs, registration booth support</w:t>
            </w:r>
          </w:p>
        </w:tc>
        <w:tc>
          <w:tcPr>
            <w:tcW w:type="dxa" w:w="1296"/>
            <w:shd w:fill="FFFFFF"/>
            <w:tcMar>
              <w:top w:w="90" w:type="dxa"/>
              <w:bottom w:w="90" w:type="dxa"/>
              <w:left w:w="150" w:type="dxa"/>
              <w:right w:w="150" w:type="dxa"/>
            </w:tcMar>
          </w:tcPr>
          <w:p>
            <w:pPr>
              <w:spacing w:before="0" w:after="0"/>
            </w:pPr>
            <w:r>
              <w:rPr>
                <w:rFonts w:ascii="Calibri" w:hAnsi="Calibri"/>
                <w:color w:val="000000"/>
                <w:sz w:val="18"/>
              </w:rPr>
              <w:t>₹10,000</w:t>
            </w:r>
          </w:p>
        </w:tc>
        <w:tc>
          <w:tcPr>
            <w:tcW w:type="dxa" w:w="1872"/>
            <w:shd w:fill="FFFFFF"/>
            <w:tcMar>
              <w:top w:w="90" w:type="dxa"/>
              <w:bottom w:w="90" w:type="dxa"/>
              <w:left w:w="150" w:type="dxa"/>
              <w:right w:w="150" w:type="dxa"/>
            </w:tcMar>
          </w:tcPr>
          <w:p>
            <w:pPr>
              <w:spacing w:before="0" w:after="0"/>
            </w:pPr>
            <w:r>
              <w:rPr>
                <w:rFonts w:ascii="Calibri" w:hAnsi="Calibri"/>
                <w:color w:val="000000"/>
                <w:sz w:val="18"/>
              </w:rPr>
              <w:t>Requested Institutional Grant</w:t>
            </w:r>
          </w:p>
        </w:tc>
        <w:tc>
          <w:tcPr>
            <w:tcW w:type="dxa" w:w="1584"/>
            <w:shd w:fill="FFFFFF"/>
            <w:tcMar>
              <w:top w:w="90" w:type="dxa"/>
              <w:bottom w:w="90" w:type="dxa"/>
              <w:left w:w="150" w:type="dxa"/>
              <w:right w:w="150" w:type="dxa"/>
            </w:tcMar>
          </w:tcPr>
          <w:p>
            <w:pPr>
              <w:spacing w:before="0" w:after="0"/>
            </w:pPr>
            <w:r>
              <w:rPr>
                <w:rFonts w:ascii="Calibri" w:hAnsi="Calibri"/>
                <w:color w:val="000000"/>
                <w:sz w:val="18"/>
              </w:rPr>
              <w:t>₹10,000</w:t>
            </w:r>
          </w:p>
        </w:tc>
      </w:tr>
      <w:tr>
        <w:tc>
          <w:tcPr>
            <w:tcW w:type="dxa" w:w="2160"/>
            <w:shd w:fill="FAFAFA"/>
            <w:tcMar>
              <w:top w:w="90" w:type="dxa"/>
              <w:bottom w:w="90" w:type="dxa"/>
              <w:left w:w="150" w:type="dxa"/>
              <w:right w:w="150" w:type="dxa"/>
            </w:tcMar>
          </w:tcPr>
          <w:p>
            <w:pPr>
              <w:spacing w:before="0" w:after="0"/>
            </w:pPr>
            <w:r>
              <w:rPr>
                <w:rFonts w:ascii="Calibri" w:hAnsi="Calibri"/>
                <w:color w:val="000000"/>
                <w:sz w:val="18"/>
              </w:rPr>
              <w:t>Operations &amp; Contingency Reserve</w:t>
            </w:r>
          </w:p>
        </w:tc>
        <w:tc>
          <w:tcPr>
            <w:tcW w:type="dxa" w:w="3168"/>
            <w:shd w:fill="FAFAFA"/>
            <w:tcMar>
              <w:top w:w="90" w:type="dxa"/>
              <w:bottom w:w="90" w:type="dxa"/>
              <w:left w:w="150" w:type="dxa"/>
              <w:right w:w="150" w:type="dxa"/>
            </w:tcMar>
          </w:tcPr>
          <w:p>
            <w:pPr>
              <w:spacing w:before="0" w:after="0"/>
            </w:pPr>
            <w:r>
              <w:rPr>
                <w:rFonts w:ascii="Calibri" w:hAnsi="Calibri"/>
                <w:color w:val="000000"/>
                <w:sz w:val="18"/>
              </w:rPr>
              <w:t>6-month cloud backup storage, server maintenance, spare cables, emergency replacements</w:t>
            </w:r>
          </w:p>
        </w:tc>
        <w:tc>
          <w:tcPr>
            <w:tcW w:type="dxa" w:w="1296"/>
            <w:shd w:fill="FAFAFA"/>
            <w:tcMar>
              <w:top w:w="90" w:type="dxa"/>
              <w:bottom w:w="90" w:type="dxa"/>
              <w:left w:w="150" w:type="dxa"/>
              <w:right w:w="150" w:type="dxa"/>
            </w:tcMar>
          </w:tcPr>
          <w:p>
            <w:pPr>
              <w:spacing w:before="0" w:after="0"/>
            </w:pPr>
            <w:r>
              <w:rPr>
                <w:rFonts w:ascii="Calibri" w:hAnsi="Calibri"/>
                <w:color w:val="000000"/>
                <w:sz w:val="18"/>
              </w:rPr>
              <w:t>₹7,000</w:t>
            </w:r>
          </w:p>
        </w:tc>
        <w:tc>
          <w:tcPr>
            <w:tcW w:type="dxa" w:w="1872"/>
            <w:shd w:fill="FAFAFA"/>
            <w:tcMar>
              <w:top w:w="90" w:type="dxa"/>
              <w:bottom w:w="90" w:type="dxa"/>
              <w:left w:w="150" w:type="dxa"/>
              <w:right w:w="150" w:type="dxa"/>
            </w:tcMar>
          </w:tcPr>
          <w:p>
            <w:pPr>
              <w:spacing w:before="0" w:after="0"/>
            </w:pPr>
            <w:r>
              <w:rPr>
                <w:rFonts w:ascii="Calibri" w:hAnsi="Calibri"/>
                <w:color w:val="000000"/>
                <w:sz w:val="18"/>
              </w:rPr>
              <w:t>Requested Institutional Grant</w:t>
            </w:r>
          </w:p>
        </w:tc>
        <w:tc>
          <w:tcPr>
            <w:tcW w:type="dxa" w:w="1584"/>
            <w:shd w:fill="FAFAFA"/>
            <w:tcMar>
              <w:top w:w="90" w:type="dxa"/>
              <w:bottom w:w="90" w:type="dxa"/>
              <w:left w:w="150" w:type="dxa"/>
              <w:right w:w="150" w:type="dxa"/>
            </w:tcMar>
          </w:tcPr>
          <w:p>
            <w:pPr>
              <w:spacing w:before="0" w:after="0"/>
            </w:pPr>
            <w:r>
              <w:rPr>
                <w:rFonts w:ascii="Calibri" w:hAnsi="Calibri"/>
                <w:color w:val="000000"/>
                <w:sz w:val="18"/>
              </w:rPr>
              <w:t>₹7,000</w:t>
            </w:r>
          </w:p>
        </w:tc>
      </w:tr>
      <w:tr>
        <w:tc>
          <w:tcPr>
            <w:tcW w:type="dxa" w:w="2160"/>
            <w:shd w:fill="FFFFFF"/>
            <w:tcMar>
              <w:top w:w="90" w:type="dxa"/>
              <w:bottom w:w="90" w:type="dxa"/>
              <w:left w:w="150" w:type="dxa"/>
              <w:right w:w="150" w:type="dxa"/>
            </w:tcMar>
          </w:tcPr>
          <w:p>
            <w:pPr>
              <w:spacing w:before="0" w:after="0"/>
            </w:pPr>
            <w:r>
              <w:rPr>
                <w:rFonts w:ascii="Calibri" w:hAnsi="Calibri"/>
                <w:color w:val="000000"/>
                <w:sz w:val="18"/>
              </w:rPr>
              <w:t>TOTAL CAPITAL &amp; DEPLOYMENT VALUATION</w:t>
            </w:r>
          </w:p>
        </w:tc>
        <w:tc>
          <w:tcPr>
            <w:tcW w:type="dxa" w:w="3168"/>
            <w:shd w:fill="FFFFFF"/>
            <w:tcMar>
              <w:top w:w="90" w:type="dxa"/>
              <w:bottom w:w="90" w:type="dxa"/>
              <w:left w:w="150" w:type="dxa"/>
              <w:right w:w="150" w:type="dxa"/>
            </w:tcMar>
          </w:tcPr>
          <w:p>
            <w:pPr>
              <w:spacing w:before="0" w:after="0"/>
            </w:pPr>
            <w:r>
              <w:rPr>
                <w:rFonts w:ascii="Calibri" w:hAnsi="Calibri"/>
                <w:color w:val="000000"/>
                <w:sz w:val="18"/>
              </w:rPr>
              <w:t>Total gross project valuation including advanced AI compute hardware</w:t>
            </w:r>
          </w:p>
        </w:tc>
        <w:tc>
          <w:tcPr>
            <w:tcW w:type="dxa" w:w="1296"/>
            <w:shd w:fill="FFFFFF"/>
            <w:tcMar>
              <w:top w:w="90" w:type="dxa"/>
              <w:bottom w:w="90" w:type="dxa"/>
              <w:left w:w="150" w:type="dxa"/>
              <w:right w:w="150" w:type="dxa"/>
            </w:tcMar>
          </w:tcPr>
          <w:p>
            <w:pPr>
              <w:spacing w:before="0" w:after="0"/>
            </w:pPr>
            <w:r>
              <w:rPr>
                <w:rFonts w:ascii="Calibri" w:hAnsi="Calibri"/>
                <w:color w:val="000000"/>
                <w:sz w:val="18"/>
              </w:rPr>
              <w:t>₹1,80,000</w:t>
            </w:r>
          </w:p>
        </w:tc>
        <w:tc>
          <w:tcPr>
            <w:tcW w:type="dxa" w:w="1872"/>
            <w:shd w:fill="FFFFFF"/>
            <w:tcMar>
              <w:top w:w="90" w:type="dxa"/>
              <w:bottom w:w="90" w:type="dxa"/>
              <w:left w:w="150" w:type="dxa"/>
              <w:right w:w="150" w:type="dxa"/>
            </w:tcMar>
          </w:tcPr>
          <w:p>
            <w:pPr>
              <w:spacing w:before="0" w:after="0"/>
            </w:pPr>
            <w:r>
              <w:rPr>
                <w:rFonts w:ascii="Calibri" w:hAnsi="Calibri"/>
                <w:color w:val="000000"/>
                <w:sz w:val="18"/>
              </w:rPr>
              <w:t>AICTE IDEA Lab Sponsorship Contribution: -₹85,000</w:t>
            </w:r>
          </w:p>
        </w:tc>
        <w:tc>
          <w:tcPr>
            <w:tcW w:type="dxa" w:w="1584"/>
            <w:shd w:fill="FFFFFF"/>
            <w:tcMar>
              <w:top w:w="90" w:type="dxa"/>
              <w:bottom w:w="90" w:type="dxa"/>
              <w:left w:w="150" w:type="dxa"/>
              <w:right w:w="150" w:type="dxa"/>
            </w:tcMar>
          </w:tcPr>
          <w:p>
            <w:pPr>
              <w:spacing w:before="0" w:after="0"/>
            </w:pPr>
            <w:r>
              <w:rPr>
                <w:rFonts w:ascii="Calibri" w:hAnsi="Calibri"/>
                <w:color w:val="000000"/>
                <w:sz w:val="18"/>
              </w:rPr>
              <w:t>₹95,000 (NET REQUEST)</w:t>
            </w:r>
          </w:p>
        </w:tc>
      </w:tr>
    </w:tbl>
    <w:p>
      <w:pPr>
        <w:spacing w:before="0" w:after="120"/>
      </w:pPr>
    </w:p>
    <w:p>
      <w:pPr>
        <w:spacing w:before="0" w:after="120" w:line="276" w:lineRule="auto"/>
      </w:pPr>
      <w:r>
        <w:rPr>
          <w:rFonts w:ascii="Calibri" w:hAnsi="Calibri"/>
          <w:color w:val="000000"/>
          <w:sz w:val="21"/>
        </w:rPr>
        <w:t>By leveraging the existing GPU workstation sponsored by the AICTE IDEA Lab, the net institutional funding required to launch the permanent Smart Campus Access Pilot is only ₹95,000, representing exceptional return on investment.</w:t>
      </w:r>
    </w:p>
    <w:p>
      <w:pPr>
        <w:keepNext/>
        <w:spacing w:before="400" w:after="120"/>
      </w:pPr>
      <w:r>
        <w:rPr>
          <w:rFonts w:ascii="Calibri" w:hAnsi="Calibri"/>
          <w:b/>
          <w:color w:val="000000"/>
          <w:sz w:val="30"/>
        </w:rPr>
        <w:t>8. Data Privacy, Governance &amp; Regulatory Compliance</w:t>
      </w:r>
    </w:p>
    <w:p>
      <w:pPr>
        <w:spacing w:before="0" w:after="120" w:line="276" w:lineRule="auto"/>
      </w:pPr>
      <w:r>
        <w:rPr>
          <w:rFonts w:ascii="Calibri" w:hAnsi="Calibri"/>
          <w:color w:val="000000"/>
          <w:sz w:val="21"/>
        </w:rPr>
        <w:t>Biometric recognition systems deployed in academic environments require strict adherence to data protection laws and human rights safeguards. This system is architected to be fully compliant with India's Digital Personal Data Protection Act (DPDPA), 2023:</w:t>
      </w:r>
    </w:p>
    <w:p>
      <w:pPr>
        <w:pStyle w:val="ListBullet"/>
        <w:spacing w:before="0" w:after="60" w:line="276" w:lineRule="auto"/>
      </w:pPr>
      <w:r>
        <w:rPr>
          <w:rFonts w:ascii="Calibri" w:hAnsi="Calibri"/>
          <w:b/>
          <w:color w:val="000000"/>
          <w:sz w:val="20"/>
        </w:rPr>
        <w:t xml:space="preserve">Embedding Vector Irreversibility: </w:t>
      </w:r>
      <w:r>
        <w:rPr>
          <w:rFonts w:ascii="Calibri" w:hAnsi="Calibri"/>
          <w:color w:val="000000"/>
          <w:sz w:val="20"/>
        </w:rPr>
        <w:t>Student faces are never stored as raw photographs in the live inference engine. Instead, they are transformed into irreversibly projected 512-dimensional mathematical embeddings. Raw photographs cannot be reconstructed from normalized embedding vectors.</w:t>
      </w:r>
    </w:p>
    <w:p>
      <w:pPr>
        <w:pStyle w:val="ListBullet"/>
        <w:spacing w:before="0" w:after="60" w:line="276" w:lineRule="auto"/>
      </w:pPr>
      <w:r>
        <w:rPr>
          <w:rFonts w:ascii="Calibri" w:hAnsi="Calibri"/>
          <w:b/>
          <w:color w:val="000000"/>
          <w:sz w:val="20"/>
        </w:rPr>
        <w:t xml:space="preserve">Zero Continuous Video Retention: </w:t>
      </w:r>
      <w:r>
        <w:rPr>
          <w:rFonts w:ascii="Calibri" w:hAnsi="Calibri"/>
          <w:color w:val="000000"/>
          <w:sz w:val="20"/>
        </w:rPr>
        <w:t>The system does not record or retain continuous 24/7 video streams. Camera frames exist transiently in RAM only for the duration of inference (&lt; 30 ms) and are immediately overwritten in circular buffers.</w:t>
      </w:r>
    </w:p>
    <w:p>
      <w:pPr>
        <w:pStyle w:val="ListBullet"/>
        <w:spacing w:before="0" w:after="60" w:line="276" w:lineRule="auto"/>
      </w:pPr>
      <w:r>
        <w:rPr>
          <w:rFonts w:ascii="Calibri" w:hAnsi="Calibri"/>
          <w:b/>
          <w:color w:val="000000"/>
          <w:sz w:val="20"/>
        </w:rPr>
        <w:t xml:space="preserve">Consent &amp; Non-Biometric Alternative: </w:t>
      </w:r>
      <w:r>
        <w:rPr>
          <w:rFonts w:ascii="Calibri" w:hAnsi="Calibri"/>
          <w:color w:val="000000"/>
          <w:sz w:val="20"/>
        </w:rPr>
        <w:t>Student participation is governed by explicit informed consent collected during orientation/enrollment. Students who prefer not to participate are provided non-biometric manual alternatives (standard physical RFID ID cards) without academic penalty.</w:t>
      </w:r>
    </w:p>
    <w:p>
      <w:pPr>
        <w:pStyle w:val="ListBullet"/>
        <w:spacing w:before="0" w:after="60" w:line="276" w:lineRule="auto"/>
      </w:pPr>
      <w:r>
        <w:rPr>
          <w:rFonts w:ascii="Calibri" w:hAnsi="Calibri"/>
          <w:b/>
          <w:color w:val="000000"/>
          <w:sz w:val="20"/>
        </w:rPr>
        <w:t xml:space="preserve">Access Control &amp; Encryption: </w:t>
      </w:r>
      <w:r>
        <w:rPr>
          <w:rFonts w:ascii="Calibri" w:hAnsi="Calibri"/>
          <w:color w:val="000000"/>
          <w:sz w:val="20"/>
        </w:rPr>
        <w:t>All local embedding databases (`encodings.pkl`) and attendance databases are stored on encrypted partitions with role-based administrative access restricted to authorized PIET authorities.</w:t>
      </w:r>
    </w:p>
    <w:p>
      <w:pPr>
        <w:pStyle w:val="ListBullet"/>
        <w:spacing w:before="0" w:after="60" w:line="276" w:lineRule="auto"/>
      </w:pPr>
      <w:r>
        <w:rPr>
          <w:rFonts w:ascii="Calibri" w:hAnsi="Calibri"/>
          <w:b/>
          <w:color w:val="000000"/>
          <w:sz w:val="20"/>
        </w:rPr>
        <w:t xml:space="preserve">Right to Erasure &amp; Data Minimization: </w:t>
      </w:r>
      <w:r>
        <w:rPr>
          <w:rFonts w:ascii="Calibri" w:hAnsi="Calibri"/>
          <w:color w:val="000000"/>
          <w:sz w:val="20"/>
        </w:rPr>
        <w:t>Students retain the right under DPDPA to request verification or permanent erasure of their biometric enrollment records upon course completion or withdrawal.</w:t>
      </w:r>
    </w:p>
    <w:p>
      <w:pPr>
        <w:keepNext/>
        <w:spacing w:before="400" w:after="120"/>
      </w:pPr>
      <w:r>
        <w:rPr>
          <w:rFonts w:ascii="Calibri" w:hAnsi="Calibri"/>
          <w:b/>
          <w:color w:val="000000"/>
          <w:sz w:val="30"/>
        </w:rPr>
        <w:t>9. Strategic Roadmap &amp; Future Expansion</w:t>
      </w:r>
    </w:p>
    <w:p>
      <w:pPr>
        <w:spacing w:before="0" w:after="120" w:line="276" w:lineRule="auto"/>
      </w:pPr>
      <w:r>
        <w:rPr>
          <w:rFonts w:ascii="Calibri" w:hAnsi="Calibri"/>
          <w:color w:val="000000"/>
          <w:sz w:val="21"/>
        </w:rPr>
        <w:t>Following the successful pilot deployment at the main entrance gate, the system is designed to expand across the entire PIET campus:</w:t>
      </w:r>
    </w:p>
    <w:p>
      <w:pPr>
        <w:pStyle w:val="ListBullet"/>
        <w:spacing w:before="0" w:after="60" w:line="276" w:lineRule="auto"/>
      </w:pPr>
      <w:r>
        <w:rPr>
          <w:rFonts w:ascii="Calibri" w:hAnsi="Calibri"/>
          <w:b/>
          <w:color w:val="000000"/>
          <w:sz w:val="20"/>
        </w:rPr>
        <w:t xml:space="preserve">RTSP CCTV Camera Integration: </w:t>
      </w:r>
      <w:r>
        <w:rPr>
          <w:rFonts w:ascii="Calibri" w:hAnsi="Calibri"/>
          <w:color w:val="000000"/>
          <w:sz w:val="20"/>
        </w:rPr>
        <w:t>Expanding from USB/DirectShow webcams to campus-wide RTSP/HTTP video streams from existing IP CCTV cameras. As documented in `cctv_adaption.md`, the pipeline includes automatic exponential-backoff stream reconnection to handle transient network drops.</w:t>
      </w:r>
    </w:p>
    <w:p>
      <w:pPr>
        <w:pStyle w:val="ListBullet"/>
        <w:spacing w:before="0" w:after="60" w:line="276" w:lineRule="auto"/>
      </w:pPr>
      <w:r>
        <w:rPr>
          <w:rFonts w:ascii="Calibri" w:hAnsi="Calibri"/>
          <w:b/>
          <w:color w:val="000000"/>
          <w:sz w:val="20"/>
        </w:rPr>
        <w:t xml:space="preserve">Centralized Multi-Gate Hub: </w:t>
      </w:r>
      <w:r>
        <w:rPr>
          <w:rFonts w:ascii="Calibri" w:hAnsi="Calibri"/>
          <w:color w:val="000000"/>
          <w:sz w:val="20"/>
        </w:rPr>
        <w:t>Leveraging the NVIDIA RTX 4070 SUPER GPU server (sponsored by IDEA Lab) as a centralized inference hub capable of simultaneously processing up to 6 camera feeds over the high-speed campus LAN.</w:t>
      </w:r>
    </w:p>
    <w:p>
      <w:pPr>
        <w:pStyle w:val="ListBullet"/>
        <w:spacing w:before="0" w:after="60" w:line="276" w:lineRule="auto"/>
      </w:pPr>
      <w:r>
        <w:rPr>
          <w:rFonts w:ascii="Calibri" w:hAnsi="Calibri"/>
          <w:b/>
          <w:color w:val="000000"/>
          <w:sz w:val="20"/>
        </w:rPr>
        <w:t xml:space="preserve">Library Turnstile Automation: </w:t>
      </w:r>
      <w:r>
        <w:rPr>
          <w:rFonts w:ascii="Calibri" w:hAnsi="Calibri"/>
          <w:color w:val="000000"/>
          <w:sz w:val="20"/>
        </w:rPr>
        <w:t>Integrating with automated turnstiles at the central library, replacing manual barcode scanners with seamless walk-through entry.</w:t>
      </w:r>
    </w:p>
    <w:p>
      <w:pPr>
        <w:pStyle w:val="ListBullet"/>
        <w:spacing w:before="0" w:after="60" w:line="276" w:lineRule="auto"/>
      </w:pPr>
      <w:r>
        <w:rPr>
          <w:rFonts w:ascii="Calibri" w:hAnsi="Calibri"/>
          <w:b/>
          <w:color w:val="000000"/>
          <w:sz w:val="20"/>
        </w:rPr>
        <w:t xml:space="preserve">Hostel Gate Governance: </w:t>
      </w:r>
      <w:r>
        <w:rPr>
          <w:rFonts w:ascii="Calibri" w:hAnsi="Calibri"/>
          <w:color w:val="000000"/>
          <w:sz w:val="20"/>
        </w:rPr>
        <w:t>Automating evening roll-call and curfew compliance at student residential hostels, eliminating cumbersome pen-and-paper registers.</w:t>
      </w:r>
    </w:p>
    <w:p>
      <w:pPr>
        <w:pStyle w:val="ListBullet"/>
        <w:spacing w:before="0" w:after="60" w:line="276" w:lineRule="auto"/>
      </w:pPr>
      <w:r>
        <w:rPr>
          <w:rFonts w:ascii="Calibri" w:hAnsi="Calibri"/>
          <w:b/>
          <w:color w:val="000000"/>
          <w:sz w:val="20"/>
        </w:rPr>
        <w:t xml:space="preserve">Elevator &amp; Restrictive Zone Access: </w:t>
      </w:r>
      <w:r>
        <w:rPr>
          <w:rFonts w:ascii="Calibri" w:hAnsi="Calibri"/>
          <w:color w:val="000000"/>
          <w:sz w:val="20"/>
        </w:rPr>
        <w:t>Deploying lightweight ONNX-exported models to edge relays for elevator access control and floor-level security.</w:t>
      </w:r>
    </w:p>
    <w:p>
      <w:pPr>
        <w:keepNext/>
        <w:spacing w:before="400" w:after="120"/>
      </w:pPr>
      <w:r>
        <w:rPr>
          <w:rFonts w:ascii="Calibri" w:hAnsi="Calibri"/>
          <w:b/>
          <w:color w:val="000000"/>
          <w:sz w:val="30"/>
        </w:rPr>
        <w:t>10. Conclusion &amp; Formal Recommendation</w:t>
      </w:r>
    </w:p>
    <w:p>
      <w:pPr>
        <w:spacing w:before="0" w:after="120" w:line="276" w:lineRule="auto"/>
      </w:pPr>
      <w:r>
        <w:rPr>
          <w:rFonts w:ascii="Calibri" w:hAnsi="Calibri"/>
          <w:color w:val="000000"/>
          <w:sz w:val="21"/>
        </w:rPr>
        <w:t>The AI-Based Face Detection and Recognition System has proven its technical excellence, operational robustness, and real-world efficacy through the successful recording of 1,332 attendance transactions and 3,315 audit captures during the official PIET Fest operations. With an 81.27% mAP face detector, sub-30ms inference latency, an automated 20-minute anti-passback security engine, and an enrolled database of 5,255 students, the technical foundation is production-hardened.</w:t>
      </w:r>
    </w:p>
    <w:p>
      <w:pPr>
        <w:spacing w:before="0" w:after="120" w:line="276" w:lineRule="auto"/>
      </w:pPr>
      <w:r>
        <w:rPr>
          <w:rFonts w:ascii="Calibri" w:hAnsi="Calibri"/>
          <w:color w:val="000000"/>
          <w:sz w:val="21"/>
        </w:rPr>
        <w:t>With the core high-performance AI inference GPU workstation generously sponsored by the AICTE IDEA Lab (PIET), the financial threshold for full campus implementation has been dramatically reduced. Formal approval of the net grant request of ₹95,000 will enable immediate permanent installation at the primary campus entrance, establishing PIET as a pioneer in AI-driven smart campus governance.</w:t>
      </w:r>
    </w:p>
    <w:tbl>
      <w:tblPr>
        <w:tblW w:type="auto" w:w="0"/>
        <w:jc w:val="center"/>
        <w:tblLook w:firstColumn="1" w:firstRow="1" w:lastColumn="0" w:lastRow="0" w:noHBand="0" w:noVBand="1" w:val="04A0"/>
      </w:tblPr>
      <w:tblGrid>
        <w:gridCol w:w="9360"/>
      </w:tblGrid>
      <w:tr>
        <w:tc>
          <w:tcPr>
            <w:tcW w:type="dxa" w:w="9360"/>
            <w:shd w:fill="F5F5F5"/>
            <w:tcMar>
              <w:top w:w="140" w:type="dxa"/>
              <w:bottom w:w="140" w:type="dxa"/>
              <w:left w:w="200" w:type="dxa"/>
              <w:right w:w="200" w:type="dxa"/>
            </w:tcMar>
            <w:tcBorders>
              <w:top w:val="none"/>
              <w:bottom w:val="none"/>
              <w:right w:val="none"/>
              <w:left w:val="single" w:sz="24" w:space="0" w:color="000000"/>
            </w:tcBorders>
          </w:tcPr>
          <w:p>
            <w:pPr>
              <w:spacing w:before="0" w:after="0" w:line="276" w:lineRule="auto"/>
            </w:pPr>
            <w:r>
              <w:rPr>
                <w:rFonts w:ascii="Calibri" w:hAnsi="Calibri"/>
                <w:b/>
                <w:color w:val="000000"/>
                <w:sz w:val="21"/>
              </w:rPr>
              <w:t>SUBMISSION &amp; INSTITUTIONAL SIGN-OFF</w:t>
              <w:br/>
            </w:r>
            <w:r>
              <w:rPr>
                <w:rFonts w:ascii="Calibri" w:hAnsi="Calibri"/>
                <w:color w:val="282828"/>
                <w:sz w:val="20"/>
              </w:rPr>
              <w:t>Submitted by: Prateek Boop &amp; Engineering Project Team</w:t>
              <w:br/>
              <w:t>Department of Computer Science &amp; Engineering, PIET</w:t>
              <w:br/>
              <w:t>In Collaboration with: AICTE IDEA Lab, Panipat Institute of Engineering and Technology</w:t>
              <w:br/>
              <w:t>Reviewed and Approved for Institutional Consideration: October 2026</w:t>
            </w:r>
          </w:p>
        </w:tc>
      </w:tr>
    </w:tbl>
    <w:p>
      <w:pPr>
        <w:spacing w:before="0" w:after="8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A5A5A"/>
        <w:sz w:val="16"/>
      </w:rPr>
      <w:t>Panipat Institute of Engineering and Technology (PIET)  •  Official Technical Report &amp; Funding Proposal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A5A5A"/>
        <w:sz w:val="16"/>
      </w:rPr>
      <w:t>AI-Based Face Recognition &amp; Access Governance System  |  PIET &amp; AICTE IDEA Lab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