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D78" w:rsidRPr="00270ACC" w:rsidRDefault="00270D78" w:rsidP="00270D78">
      <w:pPr>
        <w:pStyle w:val="Title"/>
        <w:rPr>
          <w:color w:val="000000" w:themeColor="text1"/>
          <w:sz w:val="24"/>
          <w:szCs w:val="24"/>
        </w:rPr>
      </w:pPr>
      <w:r w:rsidRPr="00270ACC">
        <w:rPr>
          <w:color w:val="000000" w:themeColor="text1"/>
          <w:sz w:val="24"/>
          <w:szCs w:val="24"/>
        </w:rPr>
        <w:t>Case Study: American Water</w:t>
      </w:r>
    </w:p>
    <w:p w:rsidR="00270D78" w:rsidRPr="008E40A1" w:rsidRDefault="00270D78" w:rsidP="00270D78">
      <w:pPr>
        <w:pStyle w:val="Title"/>
        <w:rPr>
          <w:b w:val="0"/>
          <w:bCs w:val="0"/>
          <w:color w:val="000000" w:themeColor="text1"/>
          <w:sz w:val="20"/>
          <w:szCs w:val="20"/>
        </w:rPr>
      </w:pPr>
      <w:r w:rsidRPr="008E40A1">
        <w:rPr>
          <w:b w:val="0"/>
          <w:bCs w:val="0"/>
          <w:color w:val="000000" w:themeColor="text1"/>
          <w:sz w:val="20"/>
          <w:szCs w:val="20"/>
        </w:rPr>
        <w:t>Protecting lone workers across 47 states</w:t>
      </w:r>
    </w:p>
    <w:p w:rsidR="00270D78" w:rsidRPr="008E40A1" w:rsidRDefault="00270D78" w:rsidP="00270D78">
      <w:pPr>
        <w:pStyle w:val="Title"/>
        <w:rPr>
          <w:b w:val="0"/>
          <w:bCs w:val="0"/>
          <w:color w:val="000000" w:themeColor="text1"/>
          <w:sz w:val="20"/>
          <w:szCs w:val="20"/>
        </w:rPr>
      </w:pPr>
      <w:r w:rsidRPr="008E40A1">
        <w:rPr>
          <w:b w:val="0"/>
          <w:bCs w:val="0"/>
          <w:color w:val="000000" w:themeColor="text1"/>
          <w:sz w:val="20"/>
          <w:szCs w:val="20"/>
        </w:rPr>
        <w:t>American Water is the largest publicly traded water and wastewater utility company in the US, serving 15 million people across 47 states. American Water employs 6,800 people in a wide range of roles, many of whom work alone, or out of their colleagues’ sight or hearing. In these scenarios and many others, the company was looking for ways to enhance its existing measures to improve safety.</w:t>
      </w:r>
    </w:p>
    <w:p w:rsidR="00270D78" w:rsidRPr="008E40A1" w:rsidRDefault="00270D78" w:rsidP="00270D78">
      <w:pPr>
        <w:pStyle w:val="Title"/>
        <w:rPr>
          <w:b w:val="0"/>
          <w:bCs w:val="0"/>
          <w:color w:val="000000" w:themeColor="text1"/>
          <w:sz w:val="20"/>
          <w:szCs w:val="20"/>
        </w:rPr>
      </w:pPr>
      <w:r w:rsidRPr="008E40A1">
        <w:rPr>
          <w:b w:val="0"/>
          <w:bCs w:val="0"/>
          <w:color w:val="000000" w:themeColor="text1"/>
          <w:sz w:val="20"/>
          <w:szCs w:val="20"/>
        </w:rPr>
        <w:t>In 2016, we were selected to provide lone worker protection services for American Water. The company’s priority had been to find a supplier who would work closely with them, to deliver a system that would meet their workers’ specific needs and improve safety. Our proprietary Safe Hub platform was considered the frontrunner in the utility company’s selection process.</w:t>
      </w:r>
    </w:p>
    <w:p w:rsidR="00270D78" w:rsidRPr="008E40A1" w:rsidRDefault="00270D78" w:rsidP="00270D78">
      <w:pPr>
        <w:pStyle w:val="Title"/>
        <w:rPr>
          <w:b w:val="0"/>
          <w:bCs w:val="0"/>
          <w:color w:val="000000" w:themeColor="text1"/>
          <w:sz w:val="20"/>
          <w:szCs w:val="20"/>
        </w:rPr>
      </w:pPr>
      <w:r w:rsidRPr="008E40A1">
        <w:rPr>
          <w:b w:val="0"/>
          <w:bCs w:val="0"/>
          <w:color w:val="000000" w:themeColor="text1"/>
          <w:sz w:val="20"/>
          <w:szCs w:val="20"/>
        </w:rPr>
        <w:t>One key factor was that we were able to install our proprietary monitoring software for Safe Hub on the American Water network. This allows the company’s Security Team to monitor their lone workers’ safety themselves.</w:t>
      </w:r>
    </w:p>
    <w:p w:rsidR="00270D78" w:rsidRPr="008E40A1" w:rsidRDefault="00270D78" w:rsidP="00270D78">
      <w:pPr>
        <w:pStyle w:val="Title"/>
        <w:rPr>
          <w:b w:val="0"/>
          <w:bCs w:val="0"/>
          <w:color w:val="000000" w:themeColor="text1"/>
          <w:sz w:val="20"/>
          <w:szCs w:val="20"/>
        </w:rPr>
      </w:pPr>
      <w:r w:rsidRPr="008E40A1">
        <w:rPr>
          <w:b w:val="0"/>
          <w:bCs w:val="0"/>
          <w:color w:val="000000" w:themeColor="text1"/>
          <w:sz w:val="20"/>
          <w:szCs w:val="20"/>
        </w:rPr>
        <w:t>The solution: Safe Hub’s smartphone app</w:t>
      </w:r>
    </w:p>
    <w:p w:rsidR="00270D78" w:rsidRPr="008E40A1" w:rsidRDefault="00270D78" w:rsidP="00270D78">
      <w:pPr>
        <w:pStyle w:val="Title"/>
        <w:rPr>
          <w:b w:val="0"/>
          <w:bCs w:val="0"/>
          <w:color w:val="000000" w:themeColor="text1"/>
          <w:sz w:val="20"/>
          <w:szCs w:val="20"/>
        </w:rPr>
      </w:pPr>
      <w:r w:rsidRPr="008E40A1">
        <w:rPr>
          <w:b w:val="0"/>
          <w:bCs w:val="0"/>
          <w:color w:val="000000" w:themeColor="text1"/>
          <w:sz w:val="20"/>
          <w:szCs w:val="20"/>
        </w:rPr>
        <w:t>We deployed Safe Hub via smartphone apps for both Android and Apple smartphones, which American Water had already supplied to workers. Several features stood out for American Water:</w:t>
      </w:r>
    </w:p>
    <w:p w:rsidR="00270D78" w:rsidRPr="008E40A1" w:rsidRDefault="00270D78" w:rsidP="00270D78">
      <w:pPr>
        <w:pStyle w:val="Title"/>
        <w:rPr>
          <w:b w:val="0"/>
          <w:bCs w:val="0"/>
          <w:color w:val="000000" w:themeColor="text1"/>
          <w:sz w:val="20"/>
          <w:szCs w:val="20"/>
        </w:rPr>
      </w:pPr>
      <w:r w:rsidRPr="008E40A1">
        <w:rPr>
          <w:b w:val="0"/>
          <w:bCs w:val="0"/>
          <w:color w:val="000000" w:themeColor="text1"/>
          <w:sz w:val="20"/>
          <w:szCs w:val="20"/>
        </w:rPr>
        <w:t>The Red Alert button, which overrides the handset’s keypad lock, allowing fast access in the event of an emergency.</w:t>
      </w:r>
    </w:p>
    <w:p w:rsidR="00270D78" w:rsidRPr="008E40A1" w:rsidRDefault="00270D78" w:rsidP="00270D78">
      <w:pPr>
        <w:pStyle w:val="Title"/>
        <w:rPr>
          <w:b w:val="0"/>
          <w:bCs w:val="0"/>
          <w:color w:val="000000" w:themeColor="text1"/>
          <w:sz w:val="20"/>
          <w:szCs w:val="20"/>
        </w:rPr>
      </w:pPr>
      <w:r w:rsidRPr="008E40A1">
        <w:rPr>
          <w:b w:val="0"/>
          <w:bCs w:val="0"/>
          <w:color w:val="000000" w:themeColor="text1"/>
          <w:sz w:val="20"/>
          <w:szCs w:val="20"/>
        </w:rPr>
        <w:t>The fact that our proactive and reactive support functions (Safe Check and Worker Down) run seamlessly in the background, without interrupting the normal function of the smartphone.</w:t>
      </w:r>
    </w:p>
    <w:p w:rsidR="00270D78" w:rsidRPr="008E40A1" w:rsidRDefault="00270D78" w:rsidP="00270D78">
      <w:pPr>
        <w:pStyle w:val="Title"/>
        <w:rPr>
          <w:b w:val="0"/>
          <w:bCs w:val="0"/>
          <w:color w:val="000000" w:themeColor="text1"/>
          <w:sz w:val="20"/>
          <w:szCs w:val="20"/>
        </w:rPr>
      </w:pPr>
      <w:r w:rsidRPr="008E40A1">
        <w:rPr>
          <w:b w:val="0"/>
          <w:bCs w:val="0"/>
          <w:color w:val="000000" w:themeColor="text1"/>
          <w:sz w:val="20"/>
          <w:szCs w:val="20"/>
        </w:rPr>
        <w:t>The use of GPS and GPRS technology, which provide accurate location data and the fastest possible alert transmission in the event of an emergency.</w:t>
      </w:r>
    </w:p>
    <w:p w:rsidR="00270D78" w:rsidRPr="008E40A1" w:rsidRDefault="00270D78" w:rsidP="00270D78">
      <w:pPr>
        <w:pStyle w:val="Title"/>
        <w:rPr>
          <w:b w:val="0"/>
          <w:bCs w:val="0"/>
          <w:color w:val="000000" w:themeColor="text1"/>
          <w:sz w:val="20"/>
          <w:szCs w:val="20"/>
        </w:rPr>
      </w:pPr>
      <w:r w:rsidRPr="008E40A1">
        <w:rPr>
          <w:b w:val="0"/>
          <w:bCs w:val="0"/>
          <w:color w:val="000000" w:themeColor="text1"/>
          <w:sz w:val="20"/>
          <w:szCs w:val="20"/>
        </w:rPr>
        <w:t>Putting clients and lone workers first</w:t>
      </w:r>
    </w:p>
    <w:p w:rsidR="00117AFF" w:rsidRPr="008A0A69" w:rsidRDefault="00270D78" w:rsidP="00117AFF">
      <w:pPr>
        <w:pStyle w:val="Title"/>
        <w:rPr>
          <w:b w:val="0"/>
          <w:bCs w:val="0"/>
          <w:color w:val="000000" w:themeColor="text1"/>
          <w:sz w:val="20"/>
          <w:szCs w:val="20"/>
        </w:rPr>
      </w:pPr>
      <w:r w:rsidRPr="008E40A1">
        <w:rPr>
          <w:b w:val="0"/>
          <w:bCs w:val="0"/>
          <w:color w:val="000000" w:themeColor="text1"/>
          <w:sz w:val="20"/>
          <w:szCs w:val="20"/>
        </w:rPr>
        <w:t>The needs of our clients and the end-users of our systems are at the heart of our approach. We constantly innovate to meet those specific and changing needs. Our integrated Safe Hub platform supports multiple devices, and allows individual users to have bespoke escalation and safety protocols. Meanwhile, team leaders have one comprehensive management interface with which to monitor their lone</w:t>
      </w:r>
      <w:r w:rsidRPr="008A0A69">
        <w:rPr>
          <w:b w:val="0"/>
          <w:bCs w:val="0"/>
          <w:color w:val="000000" w:themeColor="text1"/>
          <w:sz w:val="20"/>
          <w:szCs w:val="20"/>
        </w:rPr>
        <w:t xml:space="preserve"> workers.</w:t>
      </w:r>
    </w:p>
    <w:p w:rsidR="004D0CD6" w:rsidRPr="008A0A69" w:rsidRDefault="004D0CD6" w:rsidP="004D0CD6">
      <w:pPr>
        <w:pStyle w:val="Subtitle"/>
        <w:rPr>
          <w:color w:val="000000" w:themeColor="text1"/>
          <w:szCs w:val="20"/>
        </w:rPr>
      </w:pPr>
    </w:p>
    <w:p w:rsidR="004D0CD6" w:rsidRPr="008A0A69" w:rsidRDefault="004D0CD6" w:rsidP="004D0CD6">
      <w:pPr>
        <w:rPr>
          <w:rFonts w:ascii="Century Gothic" w:hAnsi="Century Gothic"/>
          <w:color w:val="000000" w:themeColor="text1"/>
          <w:sz w:val="20"/>
          <w:szCs w:val="20"/>
          <w:lang w:eastAsia="en-US"/>
        </w:rPr>
      </w:pPr>
      <w:proofErr w:type="spellStart"/>
      <w:r w:rsidRPr="008A0A69">
        <w:rPr>
          <w:rFonts w:ascii="Century Gothic" w:hAnsi="Century Gothic"/>
          <w:color w:val="000000" w:themeColor="text1"/>
          <w:sz w:val="20"/>
          <w:szCs w:val="20"/>
          <w:lang w:eastAsia="en-US"/>
        </w:rPr>
        <w:lastRenderedPageBreak/>
        <w:t>Customization</w:t>
      </w:r>
      <w:proofErr w:type="spellEnd"/>
      <w:r w:rsidRPr="008A0A69">
        <w:rPr>
          <w:rFonts w:ascii="Century Gothic" w:hAnsi="Century Gothic"/>
          <w:color w:val="000000" w:themeColor="text1"/>
          <w:sz w:val="20"/>
          <w:szCs w:val="20"/>
          <w:lang w:eastAsia="en-US"/>
        </w:rPr>
        <w:t>, innovation &amp; adaptability</w:t>
      </w:r>
    </w:p>
    <w:p w:rsidR="004D0CD6" w:rsidRPr="008A0A69" w:rsidRDefault="004D0CD6" w:rsidP="004D0CD6">
      <w:pPr>
        <w:rPr>
          <w:rFonts w:ascii="Century Gothic" w:hAnsi="Century Gothic"/>
          <w:color w:val="000000" w:themeColor="text1"/>
          <w:sz w:val="20"/>
          <w:szCs w:val="20"/>
          <w:lang w:eastAsia="en-US"/>
        </w:rPr>
      </w:pPr>
      <w:r w:rsidRPr="008A0A69">
        <w:rPr>
          <w:rFonts w:ascii="Arial" w:hAnsi="Arial" w:cs="Arial"/>
          <w:color w:val="000000" w:themeColor="text1"/>
          <w:sz w:val="20"/>
          <w:szCs w:val="20"/>
          <w:lang w:eastAsia="en-US"/>
        </w:rPr>
        <w:t>​</w:t>
      </w:r>
    </w:p>
    <w:p w:rsidR="004D0CD6" w:rsidRPr="008A0A69" w:rsidRDefault="004D0CD6" w:rsidP="004D0CD6">
      <w:pPr>
        <w:rPr>
          <w:rFonts w:ascii="Century Gothic" w:hAnsi="Century Gothic"/>
          <w:color w:val="000000" w:themeColor="text1"/>
          <w:sz w:val="20"/>
          <w:szCs w:val="20"/>
          <w:lang w:eastAsia="en-US"/>
        </w:rPr>
      </w:pPr>
      <w:r w:rsidRPr="008A0A69">
        <w:rPr>
          <w:rFonts w:ascii="Century Gothic" w:hAnsi="Century Gothic"/>
          <w:color w:val="000000" w:themeColor="text1"/>
          <w:sz w:val="20"/>
          <w:szCs w:val="20"/>
          <w:lang w:eastAsia="en-US"/>
        </w:rPr>
        <w:t xml:space="preserve">To fully support American Water with the deployment, we were happy to </w:t>
      </w:r>
      <w:proofErr w:type="spellStart"/>
      <w:r w:rsidRPr="008A0A69">
        <w:rPr>
          <w:rFonts w:ascii="Century Gothic" w:hAnsi="Century Gothic"/>
          <w:color w:val="000000" w:themeColor="text1"/>
          <w:sz w:val="20"/>
          <w:szCs w:val="20"/>
          <w:lang w:eastAsia="en-US"/>
        </w:rPr>
        <w:t>customize</w:t>
      </w:r>
      <w:proofErr w:type="spellEnd"/>
      <w:r w:rsidRPr="008A0A69">
        <w:rPr>
          <w:rFonts w:ascii="Century Gothic" w:hAnsi="Century Gothic"/>
          <w:color w:val="000000" w:themeColor="text1"/>
          <w:sz w:val="20"/>
          <w:szCs w:val="20"/>
          <w:lang w:eastAsia="en-US"/>
        </w:rPr>
        <w:t xml:space="preserve"> the platform in several areas. We worked closely with their safety and health team to ensure each adaptation delivered genuine improvements for end-users.</w:t>
      </w:r>
    </w:p>
    <w:p w:rsidR="004D0CD6" w:rsidRPr="008A0A69" w:rsidRDefault="004D0CD6" w:rsidP="004D0CD6">
      <w:pPr>
        <w:rPr>
          <w:rFonts w:ascii="Century Gothic" w:hAnsi="Century Gothic"/>
          <w:color w:val="000000" w:themeColor="text1"/>
          <w:sz w:val="20"/>
          <w:szCs w:val="20"/>
          <w:lang w:eastAsia="en-US"/>
        </w:rPr>
      </w:pPr>
      <w:r w:rsidRPr="008A0A69">
        <w:rPr>
          <w:rFonts w:ascii="Arial" w:hAnsi="Arial" w:cs="Arial"/>
          <w:color w:val="000000" w:themeColor="text1"/>
          <w:sz w:val="20"/>
          <w:szCs w:val="20"/>
          <w:lang w:eastAsia="en-US"/>
        </w:rPr>
        <w:t>​</w:t>
      </w:r>
    </w:p>
    <w:p w:rsidR="004D0CD6" w:rsidRPr="008A0A69" w:rsidRDefault="004D0CD6" w:rsidP="004D0CD6">
      <w:pPr>
        <w:rPr>
          <w:rFonts w:ascii="Century Gothic" w:hAnsi="Century Gothic"/>
          <w:color w:val="000000" w:themeColor="text1"/>
          <w:sz w:val="20"/>
          <w:szCs w:val="20"/>
          <w:lang w:eastAsia="en-US"/>
        </w:rPr>
      </w:pPr>
      <w:r w:rsidRPr="008A0A69">
        <w:rPr>
          <w:rFonts w:ascii="Century Gothic" w:hAnsi="Century Gothic"/>
          <w:color w:val="000000" w:themeColor="text1"/>
          <w:sz w:val="20"/>
          <w:szCs w:val="20"/>
          <w:lang w:eastAsia="en-US"/>
        </w:rPr>
        <w:t>Below, Steve White, our Chief Technical Officer, explains three of the key changes we introduced within the Safe Hub app’s safety modules.</w:t>
      </w:r>
    </w:p>
    <w:p w:rsidR="004D0CD6" w:rsidRPr="008A0A69" w:rsidRDefault="004D0CD6" w:rsidP="004D0CD6">
      <w:pPr>
        <w:rPr>
          <w:rFonts w:ascii="Century Gothic" w:hAnsi="Century Gothic"/>
          <w:color w:val="000000" w:themeColor="text1"/>
          <w:sz w:val="20"/>
          <w:szCs w:val="20"/>
          <w:lang w:eastAsia="en-US"/>
        </w:rPr>
      </w:pPr>
      <w:r w:rsidRPr="008A0A69">
        <w:rPr>
          <w:rFonts w:ascii="Century Gothic" w:hAnsi="Century Gothic"/>
          <w:color w:val="000000" w:themeColor="text1"/>
          <w:sz w:val="20"/>
          <w:szCs w:val="20"/>
          <w:lang w:eastAsia="en-US"/>
        </w:rPr>
        <w:t xml:space="preserve"> </w:t>
      </w:r>
    </w:p>
    <w:p w:rsidR="004D0CD6" w:rsidRPr="008A0A69" w:rsidRDefault="004D0CD6" w:rsidP="004D0CD6">
      <w:pPr>
        <w:rPr>
          <w:rFonts w:ascii="Century Gothic" w:hAnsi="Century Gothic"/>
          <w:color w:val="000000" w:themeColor="text1"/>
          <w:sz w:val="20"/>
          <w:szCs w:val="20"/>
          <w:lang w:eastAsia="en-US"/>
        </w:rPr>
      </w:pPr>
      <w:r w:rsidRPr="008A0A69">
        <w:rPr>
          <w:rFonts w:ascii="Century Gothic" w:hAnsi="Century Gothic"/>
          <w:color w:val="000000" w:themeColor="text1"/>
          <w:sz w:val="20"/>
          <w:szCs w:val="20"/>
          <w:lang w:eastAsia="en-US"/>
        </w:rPr>
        <w:t>Adapting terminology</w:t>
      </w:r>
    </w:p>
    <w:p w:rsidR="004D0CD6" w:rsidRPr="008A0A69" w:rsidRDefault="004D0CD6" w:rsidP="004D0CD6">
      <w:pPr>
        <w:rPr>
          <w:rFonts w:ascii="Century Gothic" w:hAnsi="Century Gothic"/>
          <w:color w:val="000000" w:themeColor="text1"/>
          <w:sz w:val="20"/>
          <w:szCs w:val="20"/>
          <w:lang w:eastAsia="en-US"/>
        </w:rPr>
      </w:pPr>
      <w:r w:rsidRPr="008A0A69">
        <w:rPr>
          <w:rFonts w:ascii="Century Gothic" w:hAnsi="Century Gothic"/>
          <w:color w:val="000000" w:themeColor="text1"/>
          <w:sz w:val="20"/>
          <w:szCs w:val="20"/>
          <w:lang w:eastAsia="en-US"/>
        </w:rPr>
        <w:t>For lone workers under stress, it’s vital to avoid confusion. We ensured that the terms we used matched the territory where the user was based. This helped to ensure users were familiar with the terms, which in turn resulted in high rates of user adoption.</w:t>
      </w:r>
    </w:p>
    <w:p w:rsidR="004D0CD6" w:rsidRPr="008A0A69" w:rsidRDefault="004D0CD6" w:rsidP="004D0CD6">
      <w:pPr>
        <w:rPr>
          <w:rFonts w:ascii="Century Gothic" w:hAnsi="Century Gothic"/>
          <w:color w:val="000000" w:themeColor="text1"/>
          <w:sz w:val="20"/>
          <w:szCs w:val="20"/>
          <w:lang w:eastAsia="en-US"/>
        </w:rPr>
      </w:pPr>
      <w:r w:rsidRPr="008A0A69">
        <w:rPr>
          <w:rFonts w:ascii="Arial" w:hAnsi="Arial" w:cs="Arial"/>
          <w:color w:val="000000" w:themeColor="text1"/>
          <w:sz w:val="20"/>
          <w:szCs w:val="20"/>
          <w:lang w:eastAsia="en-US"/>
        </w:rPr>
        <w:t>​</w:t>
      </w:r>
    </w:p>
    <w:p w:rsidR="004D0CD6" w:rsidRPr="008A0A69" w:rsidRDefault="004D0CD6" w:rsidP="004D0CD6">
      <w:pPr>
        <w:rPr>
          <w:rFonts w:ascii="Century Gothic" w:hAnsi="Century Gothic"/>
          <w:color w:val="000000" w:themeColor="text1"/>
          <w:sz w:val="20"/>
          <w:szCs w:val="20"/>
          <w:lang w:eastAsia="en-US"/>
        </w:rPr>
      </w:pPr>
      <w:proofErr w:type="spellStart"/>
      <w:r w:rsidRPr="008A0A69">
        <w:rPr>
          <w:rFonts w:ascii="Century Gothic" w:hAnsi="Century Gothic"/>
          <w:color w:val="000000" w:themeColor="text1"/>
          <w:sz w:val="20"/>
          <w:szCs w:val="20"/>
          <w:lang w:eastAsia="en-US"/>
        </w:rPr>
        <w:t>Localizing</w:t>
      </w:r>
      <w:proofErr w:type="spellEnd"/>
      <w:r w:rsidRPr="008A0A69">
        <w:rPr>
          <w:rFonts w:ascii="Century Gothic" w:hAnsi="Century Gothic"/>
          <w:color w:val="000000" w:themeColor="text1"/>
          <w:sz w:val="20"/>
          <w:szCs w:val="20"/>
          <w:lang w:eastAsia="en-US"/>
        </w:rPr>
        <w:t xml:space="preserve"> language</w:t>
      </w:r>
    </w:p>
    <w:p w:rsidR="004D0CD6" w:rsidRPr="008A0A69" w:rsidRDefault="004D0CD6" w:rsidP="004D0CD6">
      <w:pPr>
        <w:rPr>
          <w:rFonts w:ascii="Century Gothic" w:hAnsi="Century Gothic"/>
          <w:color w:val="000000" w:themeColor="text1"/>
          <w:sz w:val="20"/>
          <w:szCs w:val="20"/>
          <w:lang w:eastAsia="en-US"/>
        </w:rPr>
      </w:pPr>
      <w:r w:rsidRPr="008A0A69">
        <w:rPr>
          <w:rFonts w:ascii="Century Gothic" w:hAnsi="Century Gothic"/>
          <w:color w:val="000000" w:themeColor="text1"/>
          <w:sz w:val="20"/>
          <w:szCs w:val="20"/>
          <w:lang w:eastAsia="en-US"/>
        </w:rPr>
        <w:t>Sometimes, lone workers need to hear a friendly and familiar voice. Some of Safe Hub’s functions include pre-recorded messages to acknowledge service access. These messages have been re-recorded by voice artists with US accents to aid comprehension and familiarity.</w:t>
      </w:r>
    </w:p>
    <w:p w:rsidR="004D0CD6" w:rsidRPr="008A0A69" w:rsidRDefault="004D0CD6" w:rsidP="004D0CD6">
      <w:pPr>
        <w:rPr>
          <w:rFonts w:ascii="Century Gothic" w:hAnsi="Century Gothic"/>
          <w:color w:val="000000" w:themeColor="text1"/>
          <w:sz w:val="20"/>
          <w:szCs w:val="20"/>
          <w:lang w:eastAsia="en-US"/>
        </w:rPr>
      </w:pPr>
      <w:r w:rsidRPr="008A0A69">
        <w:rPr>
          <w:rFonts w:ascii="Arial" w:hAnsi="Arial" w:cs="Arial"/>
          <w:color w:val="000000" w:themeColor="text1"/>
          <w:sz w:val="20"/>
          <w:szCs w:val="20"/>
          <w:lang w:eastAsia="en-US"/>
        </w:rPr>
        <w:t>​</w:t>
      </w:r>
    </w:p>
    <w:p w:rsidR="004D0CD6" w:rsidRPr="008A0A69" w:rsidRDefault="004D0CD6" w:rsidP="004D0CD6">
      <w:pPr>
        <w:rPr>
          <w:rFonts w:ascii="Century Gothic" w:hAnsi="Century Gothic"/>
          <w:color w:val="000000" w:themeColor="text1"/>
          <w:sz w:val="20"/>
          <w:szCs w:val="20"/>
          <w:lang w:eastAsia="en-US"/>
        </w:rPr>
      </w:pPr>
      <w:r w:rsidRPr="008A0A69">
        <w:rPr>
          <w:rFonts w:ascii="Century Gothic" w:hAnsi="Century Gothic"/>
          <w:color w:val="000000" w:themeColor="text1"/>
          <w:sz w:val="20"/>
          <w:szCs w:val="20"/>
          <w:lang w:eastAsia="en-US"/>
        </w:rPr>
        <w:t>Improving access</w:t>
      </w:r>
    </w:p>
    <w:p w:rsidR="004D0CD6" w:rsidRDefault="004D0CD6" w:rsidP="004D0CD6">
      <w:pPr>
        <w:rPr>
          <w:lang w:eastAsia="en-US"/>
        </w:rPr>
      </w:pPr>
      <w:r w:rsidRPr="008A0A69">
        <w:rPr>
          <w:rFonts w:ascii="Century Gothic" w:hAnsi="Century Gothic"/>
          <w:color w:val="000000" w:themeColor="text1"/>
          <w:sz w:val="20"/>
          <w:szCs w:val="20"/>
          <w:lang w:eastAsia="en-US"/>
        </w:rPr>
        <w:t>Historically, the lone worker industry has a poor track record of end-users exploiting centrally deployed technology. To resolve this issue we adapted the access protocols and introduced Automated Self Registration (ASR). Lone workers are identified and provided with an access code. They can then register with the system and have full access to a step-by-step download process and easy-to-understand user instructions. The platform is intuitive and allows workers to learn in their own time. This both reduces their reliance on supervisors, and encourages greater numbers of staff to access the system, to take ownership of their own safety</w:t>
      </w:r>
      <w:r>
        <w:rPr>
          <w:lang w:eastAsia="en-US"/>
        </w:rPr>
        <w:t>.</w:t>
      </w:r>
    </w:p>
    <w:p w:rsidR="005216B3" w:rsidRPr="003E17E3" w:rsidRDefault="005216B3" w:rsidP="004D0CD6">
      <w:pPr>
        <w:rPr>
          <w:rFonts w:ascii="Century Gothic" w:hAnsi="Century Gothic"/>
          <w:i/>
          <w:iCs/>
          <w:sz w:val="20"/>
          <w:szCs w:val="20"/>
          <w:lang w:eastAsia="en-US"/>
        </w:rPr>
      </w:pPr>
    </w:p>
    <w:p w:rsidR="005216B3" w:rsidRDefault="003E17E3" w:rsidP="004D0CD6">
      <w:pPr>
        <w:rPr>
          <w:rFonts w:ascii="Century Gothic" w:hAnsi="Century Gothic"/>
          <w:i/>
          <w:iCs/>
          <w:sz w:val="20"/>
          <w:szCs w:val="20"/>
          <w:lang w:eastAsia="en-US"/>
        </w:rPr>
      </w:pPr>
      <w:r w:rsidRPr="003E17E3">
        <w:rPr>
          <w:rFonts w:ascii="Century Gothic" w:hAnsi="Century Gothic"/>
          <w:i/>
          <w:iCs/>
          <w:sz w:val="20"/>
          <w:szCs w:val="20"/>
          <w:lang w:eastAsia="en-US"/>
        </w:rPr>
        <w:t>It was essential for us to find a partner with a proven track record in delivering an effective solution. We were looking for a great product, excellent customer service and a partner who understood our working environments. In practice, this meant the supplier had to be prepared to adapt their solution to fit our needs – a challenge that Lone Worker Solutions responded to with enthusiasm and dedication.”</w:t>
      </w:r>
      <w:r>
        <w:rPr>
          <w:rFonts w:ascii="Century Gothic" w:hAnsi="Century Gothic"/>
          <w:i/>
          <w:iCs/>
          <w:sz w:val="20"/>
          <w:szCs w:val="20"/>
          <w:lang w:eastAsia="en-US"/>
        </w:rPr>
        <w:t xml:space="preserve"> </w:t>
      </w:r>
      <w:r w:rsidRPr="003E17E3">
        <w:rPr>
          <w:rFonts w:ascii="Century Gothic" w:hAnsi="Century Gothic"/>
          <w:i/>
          <w:iCs/>
          <w:sz w:val="20"/>
          <w:szCs w:val="20"/>
          <w:lang w:eastAsia="en-US"/>
        </w:rPr>
        <w:t xml:space="preserve">Nicholas </w:t>
      </w:r>
      <w:proofErr w:type="spellStart"/>
      <w:r w:rsidRPr="003E17E3">
        <w:rPr>
          <w:rFonts w:ascii="Century Gothic" w:hAnsi="Century Gothic"/>
          <w:i/>
          <w:iCs/>
          <w:sz w:val="20"/>
          <w:szCs w:val="20"/>
          <w:lang w:eastAsia="en-US"/>
        </w:rPr>
        <w:t>Santillo</w:t>
      </w:r>
      <w:proofErr w:type="spellEnd"/>
      <w:r w:rsidRPr="003E17E3">
        <w:rPr>
          <w:rFonts w:ascii="Century Gothic" w:hAnsi="Century Gothic"/>
          <w:i/>
          <w:iCs/>
          <w:sz w:val="20"/>
          <w:szCs w:val="20"/>
          <w:lang w:eastAsia="en-US"/>
        </w:rPr>
        <w:t xml:space="preserve"> Jr., Vice President, Internal Audit and CSO, American Water.</w:t>
      </w:r>
    </w:p>
    <w:p w:rsidR="003E17E3" w:rsidRPr="003E17E3" w:rsidRDefault="003E17E3" w:rsidP="004D0CD6">
      <w:pPr>
        <w:rPr>
          <w:rFonts w:ascii="Century Gothic" w:hAnsi="Century Gothic"/>
          <w:i/>
          <w:iCs/>
          <w:sz w:val="20"/>
          <w:szCs w:val="20"/>
          <w:lang w:eastAsia="en-US"/>
        </w:rPr>
      </w:pPr>
      <w:bookmarkStart w:id="0" w:name="_GoBack"/>
      <w:bookmarkEnd w:id="0"/>
    </w:p>
    <w:p w:rsidR="00711B31" w:rsidRPr="004D0CD6" w:rsidRDefault="00711B31" w:rsidP="004D0CD6">
      <w:pPr>
        <w:rPr>
          <w:lang w:eastAsia="en-US"/>
        </w:rPr>
      </w:pPr>
    </w:p>
    <w:p w:rsidR="00132B1E" w:rsidRPr="008E40A1" w:rsidRDefault="00132B1E" w:rsidP="00132B1E">
      <w:pPr>
        <w:rPr>
          <w:rFonts w:ascii="Century Gothic" w:hAnsi="Century Gothic" w:cs="Arial"/>
          <w:color w:val="000000" w:themeColor="text1"/>
          <w:sz w:val="20"/>
          <w:szCs w:val="20"/>
        </w:rPr>
      </w:pPr>
      <w:r w:rsidRPr="008E40A1">
        <w:rPr>
          <w:rFonts w:ascii="Century Gothic" w:hAnsi="Century Gothic" w:cs="Arial"/>
          <w:color w:val="000000" w:themeColor="text1"/>
          <w:sz w:val="20"/>
          <w:szCs w:val="20"/>
        </w:rPr>
        <w:t>About Lone Worker Solutions</w:t>
      </w:r>
    </w:p>
    <w:p w:rsidR="00132B1E" w:rsidRPr="008E40A1" w:rsidRDefault="00132B1E" w:rsidP="00132B1E">
      <w:pPr>
        <w:rPr>
          <w:rStyle w:val="color34"/>
          <w:rFonts w:ascii="Century Gothic" w:hAnsi="Century Gothic" w:cs="Arial"/>
          <w:color w:val="000000" w:themeColor="text1"/>
          <w:sz w:val="20"/>
          <w:szCs w:val="20"/>
        </w:rPr>
      </w:pPr>
      <w:r w:rsidRPr="008E40A1">
        <w:rPr>
          <w:rStyle w:val="color34"/>
          <w:rFonts w:ascii="Century Gothic" w:hAnsi="Century Gothic" w:cs="Arial"/>
          <w:color w:val="000000" w:themeColor="text1"/>
          <w:sz w:val="20"/>
          <w:szCs w:val="20"/>
        </w:rPr>
        <w:t xml:space="preserve">At Lone Worker Solutions, it’s our business to protect employees, managers and shareholders from the risks associated with working alone. This includes the potential hazards faced by staff who work by themselves, remotely, or out-of-sight or earshot of colleagues. When it comes to safety we don't believe in a ‘one-size-fits-all’ approach; instead, we tailor our solution to each organisation's exact needs. </w:t>
      </w:r>
    </w:p>
    <w:p w:rsidR="00132B1E" w:rsidRPr="008E40A1" w:rsidRDefault="00132B1E" w:rsidP="00132B1E">
      <w:pPr>
        <w:rPr>
          <w:rStyle w:val="color34"/>
          <w:rFonts w:ascii="Century Gothic" w:hAnsi="Century Gothic" w:cs="Arial"/>
          <w:color w:val="000000" w:themeColor="text1"/>
          <w:sz w:val="20"/>
          <w:szCs w:val="20"/>
        </w:rPr>
      </w:pPr>
    </w:p>
    <w:p w:rsidR="00132B1E" w:rsidRPr="008E40A1" w:rsidRDefault="00132B1E" w:rsidP="00132B1E">
      <w:pPr>
        <w:rPr>
          <w:rFonts w:ascii="Century Gothic" w:hAnsi="Century Gothic" w:cs="Arial"/>
          <w:color w:val="000000" w:themeColor="text1"/>
          <w:sz w:val="20"/>
          <w:szCs w:val="20"/>
        </w:rPr>
      </w:pPr>
      <w:r w:rsidRPr="008E40A1">
        <w:rPr>
          <w:rFonts w:ascii="Century Gothic" w:hAnsi="Century Gothic" w:cs="Arial"/>
          <w:color w:val="000000" w:themeColor="text1"/>
          <w:sz w:val="20"/>
          <w:szCs w:val="20"/>
        </w:rPr>
        <w:t>About Safe Hub</w:t>
      </w:r>
    </w:p>
    <w:p w:rsidR="00132B1E" w:rsidRPr="008E40A1" w:rsidRDefault="00132B1E" w:rsidP="00132B1E">
      <w:pPr>
        <w:rPr>
          <w:rStyle w:val="color34"/>
          <w:rFonts w:ascii="Century Gothic" w:hAnsi="Century Gothic" w:cs="Arial"/>
          <w:color w:val="000000" w:themeColor="text1"/>
          <w:sz w:val="20"/>
          <w:szCs w:val="20"/>
        </w:rPr>
      </w:pPr>
      <w:r w:rsidRPr="008E40A1">
        <w:rPr>
          <w:rFonts w:ascii="Century Gothic" w:hAnsi="Century Gothic" w:cs="Arial"/>
          <w:color w:val="000000" w:themeColor="text1"/>
          <w:sz w:val="20"/>
          <w:szCs w:val="20"/>
        </w:rPr>
        <w:lastRenderedPageBreak/>
        <w:t>Safe Hub is an award-winning package of emergency, buddy, proactive, reactive, broadcast and virtual barrier protection for lone workers. Safe Hub supports lone and remote workers on the widest possible array of BS8484:2016 Gold Certified devices, including Android, Apple and Windows smartphones, BlackBerrys, standard mobiles, PCs, intrinsically safe devices, specialist personal safety devices and satellite phones.</w:t>
      </w:r>
    </w:p>
    <w:p w:rsidR="00132B1E" w:rsidRPr="008E40A1" w:rsidRDefault="00132B1E" w:rsidP="00132B1E">
      <w:pPr>
        <w:rPr>
          <w:rFonts w:ascii="Century Gothic" w:hAnsi="Century Gothic"/>
          <w:color w:val="000000" w:themeColor="text1"/>
          <w:sz w:val="20"/>
          <w:szCs w:val="20"/>
        </w:rPr>
      </w:pPr>
    </w:p>
    <w:p w:rsidR="00A3306D" w:rsidRPr="008E40A1" w:rsidRDefault="00A75335" w:rsidP="00714C25">
      <w:pPr>
        <w:rPr>
          <w:rFonts w:ascii="Century Gothic" w:hAnsi="Century Gothic"/>
          <w:color w:val="000000" w:themeColor="text1"/>
          <w:sz w:val="20"/>
          <w:szCs w:val="20"/>
        </w:rPr>
      </w:pPr>
    </w:p>
    <w:sectPr w:rsidR="00A3306D" w:rsidRPr="008E40A1" w:rsidSect="00B77D75">
      <w:headerReference w:type="default" r:id="rId7"/>
      <w:pgSz w:w="11906" w:h="16838" w:code="9"/>
      <w:pgMar w:top="2722" w:right="3175"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44E" w:rsidRDefault="0011444E" w:rsidP="00714C25">
      <w:r>
        <w:separator/>
      </w:r>
    </w:p>
  </w:endnote>
  <w:endnote w:type="continuationSeparator" w:id="0">
    <w:p w:rsidR="0011444E" w:rsidRDefault="0011444E" w:rsidP="0071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utura Condensed Medium">
    <w:panose1 w:val="020B0506020204030204"/>
    <w:charset w:val="B1"/>
    <w:family w:val="swiss"/>
    <w:pitch w:val="variable"/>
    <w:sig w:usb0="8000086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44E" w:rsidRDefault="0011444E" w:rsidP="00714C25">
      <w:r>
        <w:separator/>
      </w:r>
    </w:p>
  </w:footnote>
  <w:footnote w:type="continuationSeparator" w:id="0">
    <w:p w:rsidR="0011444E" w:rsidRDefault="0011444E" w:rsidP="00714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15" w:rsidRDefault="00B77D75" w:rsidP="00714C25">
    <w:pPr>
      <w:pStyle w:val="Header"/>
    </w:pPr>
    <w:r>
      <w:rPr>
        <w:noProof/>
        <w:lang w:eastAsia="en-GB"/>
      </w:rPr>
      <w:drawing>
        <wp:anchor distT="0" distB="0" distL="114300" distR="114300" simplePos="0" relativeHeight="251658240" behindDoc="1" locked="0" layoutInCell="1" allowOverlap="1" wp14:anchorId="4E84F92E" wp14:editId="5E583101">
          <wp:simplePos x="0" y="0"/>
          <wp:positionH relativeFrom="page">
            <wp:posOffset>0</wp:posOffset>
          </wp:positionH>
          <wp:positionV relativeFrom="page">
            <wp:posOffset>0</wp:posOffset>
          </wp:positionV>
          <wp:extent cx="7560000" cy="10692000"/>
          <wp:effectExtent l="0" t="0" r="952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WS_Letter_Header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B8A"/>
    <w:multiLevelType w:val="hybridMultilevel"/>
    <w:tmpl w:val="D5CEC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10B2B"/>
    <w:multiLevelType w:val="hybridMultilevel"/>
    <w:tmpl w:val="3F669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DC1BA0"/>
    <w:multiLevelType w:val="multilevel"/>
    <w:tmpl w:val="E25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32AD6"/>
    <w:multiLevelType w:val="hybridMultilevel"/>
    <w:tmpl w:val="34AE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1E"/>
    <w:rsid w:val="00013964"/>
    <w:rsid w:val="00020CEF"/>
    <w:rsid w:val="00055A20"/>
    <w:rsid w:val="00066FB1"/>
    <w:rsid w:val="00090173"/>
    <w:rsid w:val="000974E7"/>
    <w:rsid w:val="000D1CC5"/>
    <w:rsid w:val="000D4482"/>
    <w:rsid w:val="0011444E"/>
    <w:rsid w:val="00117AFF"/>
    <w:rsid w:val="00120756"/>
    <w:rsid w:val="00132B1E"/>
    <w:rsid w:val="001372BC"/>
    <w:rsid w:val="001A01BB"/>
    <w:rsid w:val="00216823"/>
    <w:rsid w:val="002172C2"/>
    <w:rsid w:val="00270ACC"/>
    <w:rsid w:val="00270D78"/>
    <w:rsid w:val="00300CE2"/>
    <w:rsid w:val="00303F3A"/>
    <w:rsid w:val="003A3A53"/>
    <w:rsid w:val="003A49D3"/>
    <w:rsid w:val="003E17E3"/>
    <w:rsid w:val="004D0CD6"/>
    <w:rsid w:val="004E374B"/>
    <w:rsid w:val="004E4A45"/>
    <w:rsid w:val="00511883"/>
    <w:rsid w:val="005216B3"/>
    <w:rsid w:val="005B6B15"/>
    <w:rsid w:val="005D5660"/>
    <w:rsid w:val="006C7CE8"/>
    <w:rsid w:val="00711B31"/>
    <w:rsid w:val="00714C25"/>
    <w:rsid w:val="007655DD"/>
    <w:rsid w:val="007B54AE"/>
    <w:rsid w:val="007D4DCF"/>
    <w:rsid w:val="007F5FC7"/>
    <w:rsid w:val="00860434"/>
    <w:rsid w:val="008A0A69"/>
    <w:rsid w:val="008A40F6"/>
    <w:rsid w:val="008E40A1"/>
    <w:rsid w:val="00913AD4"/>
    <w:rsid w:val="00980464"/>
    <w:rsid w:val="00A43F9A"/>
    <w:rsid w:val="00A44436"/>
    <w:rsid w:val="00A969DB"/>
    <w:rsid w:val="00B42692"/>
    <w:rsid w:val="00B42B6D"/>
    <w:rsid w:val="00B43B8F"/>
    <w:rsid w:val="00B77D75"/>
    <w:rsid w:val="00B821A2"/>
    <w:rsid w:val="00BF17D9"/>
    <w:rsid w:val="00C16001"/>
    <w:rsid w:val="00C67799"/>
    <w:rsid w:val="00C868BD"/>
    <w:rsid w:val="00C96D6E"/>
    <w:rsid w:val="00CA0598"/>
    <w:rsid w:val="00DC72C6"/>
    <w:rsid w:val="00E246AC"/>
    <w:rsid w:val="00E4691C"/>
    <w:rsid w:val="00F87AD4"/>
    <w:rsid w:val="00F9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FE24D5"/>
  <w15:chartTrackingRefBased/>
  <w15:docId w15:val="{D2A98773-EFCE-5C44-8727-F1428E49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132B1E"/>
    <w:rPr>
      <w:rFonts w:eastAsiaTheme="minorEastAsia"/>
      <w:sz w:val="22"/>
      <w:szCs w:val="22"/>
      <w:lang w:val="en-GB" w:eastAsia="en-GB"/>
    </w:rPr>
  </w:style>
  <w:style w:type="paragraph" w:styleId="Heading1">
    <w:name w:val="heading 1"/>
    <w:basedOn w:val="Normal"/>
    <w:next w:val="Normal"/>
    <w:link w:val="Heading1Char"/>
    <w:uiPriority w:val="9"/>
    <w:qFormat/>
    <w:rsid w:val="00714C25"/>
    <w:pPr>
      <w:spacing w:before="100" w:beforeAutospacing="1" w:after="100" w:afterAutospacing="1"/>
      <w:ind w:left="720"/>
      <w:outlineLvl w:val="0"/>
    </w:pPr>
    <w:rPr>
      <w:rFonts w:ascii="Century Gothic" w:hAnsi="Century Gothic"/>
      <w:b/>
      <w:bCs/>
      <w:color w:val="285185"/>
      <w:sz w:val="26"/>
      <w:szCs w:val="26"/>
      <w:lang w:eastAsia="en-US"/>
    </w:rPr>
  </w:style>
  <w:style w:type="paragraph" w:styleId="Heading2">
    <w:name w:val="heading 2"/>
    <w:basedOn w:val="Normal"/>
    <w:next w:val="Normal"/>
    <w:link w:val="Heading2Char"/>
    <w:uiPriority w:val="9"/>
    <w:unhideWhenUsed/>
    <w:qFormat/>
    <w:rsid w:val="00132B1E"/>
    <w:pPr>
      <w:spacing w:before="100" w:beforeAutospacing="1" w:after="100" w:afterAutospacing="1"/>
      <w:outlineLvl w:val="1"/>
    </w:pPr>
    <w:rPr>
      <w:rFonts w:ascii="Century Gothic" w:hAnsi="Century Gothic"/>
      <w:b/>
      <w:bCs/>
      <w:color w:val="245193"/>
      <w:sz w:val="20"/>
      <w:lang w:eastAsia="en-US"/>
    </w:rPr>
  </w:style>
  <w:style w:type="paragraph" w:styleId="Heading3">
    <w:name w:val="heading 3"/>
    <w:basedOn w:val="Normal"/>
    <w:next w:val="Normal"/>
    <w:link w:val="Heading3Char"/>
    <w:uiPriority w:val="9"/>
    <w:unhideWhenUsed/>
    <w:qFormat/>
    <w:rsid w:val="00714C25"/>
    <w:pPr>
      <w:spacing w:before="100" w:beforeAutospacing="1" w:after="100" w:afterAutospacing="1"/>
      <w:ind w:left="720"/>
      <w:jc w:val="both"/>
      <w:outlineLvl w:val="2"/>
    </w:pPr>
    <w:rPr>
      <w:rFonts w:ascii="Century Gothic" w:hAnsi="Century Gothic"/>
      <w:color w:val="245193"/>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B15"/>
    <w:pPr>
      <w:tabs>
        <w:tab w:val="center" w:pos="4513"/>
        <w:tab w:val="right" w:pos="9026"/>
      </w:tabs>
      <w:spacing w:before="100" w:beforeAutospacing="1" w:after="100" w:afterAutospacing="1"/>
      <w:jc w:val="both"/>
    </w:pPr>
    <w:rPr>
      <w:rFonts w:ascii="Century Gothic" w:hAnsi="Century Gothic"/>
      <w:sz w:val="20"/>
      <w:lang w:eastAsia="en-US"/>
    </w:rPr>
  </w:style>
  <w:style w:type="character" w:customStyle="1" w:styleId="HeaderChar">
    <w:name w:val="Header Char"/>
    <w:basedOn w:val="DefaultParagraphFont"/>
    <w:link w:val="Header"/>
    <w:uiPriority w:val="99"/>
    <w:rsid w:val="005B6B15"/>
    <w:rPr>
      <w:lang w:val="en-GB"/>
    </w:rPr>
  </w:style>
  <w:style w:type="paragraph" w:styleId="Footer">
    <w:name w:val="footer"/>
    <w:basedOn w:val="Normal"/>
    <w:link w:val="FooterChar"/>
    <w:uiPriority w:val="99"/>
    <w:unhideWhenUsed/>
    <w:rsid w:val="005B6B15"/>
    <w:pPr>
      <w:tabs>
        <w:tab w:val="center" w:pos="4513"/>
        <w:tab w:val="right" w:pos="9026"/>
      </w:tabs>
      <w:spacing w:before="100" w:beforeAutospacing="1" w:after="100" w:afterAutospacing="1"/>
      <w:jc w:val="both"/>
    </w:pPr>
    <w:rPr>
      <w:rFonts w:ascii="Century Gothic" w:hAnsi="Century Gothic"/>
      <w:sz w:val="20"/>
      <w:lang w:eastAsia="en-US"/>
    </w:rPr>
  </w:style>
  <w:style w:type="character" w:customStyle="1" w:styleId="FooterChar">
    <w:name w:val="Footer Char"/>
    <w:basedOn w:val="DefaultParagraphFont"/>
    <w:link w:val="Footer"/>
    <w:uiPriority w:val="99"/>
    <w:rsid w:val="005B6B15"/>
    <w:rPr>
      <w:lang w:val="en-GB"/>
    </w:rPr>
  </w:style>
  <w:style w:type="paragraph" w:styleId="NormalWeb">
    <w:name w:val="Normal (Web)"/>
    <w:basedOn w:val="Normal"/>
    <w:uiPriority w:val="99"/>
    <w:unhideWhenUsed/>
    <w:rsid w:val="005B6B15"/>
  </w:style>
  <w:style w:type="paragraph" w:styleId="Title">
    <w:name w:val="Title"/>
    <w:basedOn w:val="Normal"/>
    <w:next w:val="Subtitle"/>
    <w:link w:val="TitleChar"/>
    <w:uiPriority w:val="10"/>
    <w:qFormat/>
    <w:rsid w:val="00714C25"/>
    <w:pPr>
      <w:spacing w:before="100" w:beforeAutospacing="1" w:after="100" w:afterAutospacing="1"/>
    </w:pPr>
    <w:rPr>
      <w:rFonts w:ascii="Century Gothic" w:hAnsi="Century Gothic" w:cs="Futura Condensed Medium"/>
      <w:b/>
      <w:bCs/>
      <w:color w:val="285185"/>
      <w:sz w:val="44"/>
      <w:szCs w:val="44"/>
      <w:lang w:eastAsia="en-US"/>
    </w:rPr>
  </w:style>
  <w:style w:type="character" w:customStyle="1" w:styleId="TitleChar">
    <w:name w:val="Title Char"/>
    <w:basedOn w:val="DefaultParagraphFont"/>
    <w:link w:val="Title"/>
    <w:uiPriority w:val="10"/>
    <w:rsid w:val="00714C25"/>
    <w:rPr>
      <w:rFonts w:ascii="Century Gothic" w:hAnsi="Century Gothic" w:cs="Futura Condensed Medium"/>
      <w:b/>
      <w:bCs/>
      <w:color w:val="285185"/>
      <w:sz w:val="44"/>
      <w:szCs w:val="44"/>
    </w:rPr>
  </w:style>
  <w:style w:type="character" w:customStyle="1" w:styleId="Heading1Char">
    <w:name w:val="Heading 1 Char"/>
    <w:basedOn w:val="DefaultParagraphFont"/>
    <w:link w:val="Heading1"/>
    <w:uiPriority w:val="9"/>
    <w:rsid w:val="00714C25"/>
    <w:rPr>
      <w:rFonts w:ascii="Century Gothic" w:hAnsi="Century Gothic" w:cs="Times New Roman"/>
      <w:b/>
      <w:bCs/>
      <w:color w:val="285185"/>
      <w:sz w:val="26"/>
      <w:szCs w:val="26"/>
    </w:rPr>
  </w:style>
  <w:style w:type="character" w:customStyle="1" w:styleId="Heading2Char">
    <w:name w:val="Heading 2 Char"/>
    <w:basedOn w:val="DefaultParagraphFont"/>
    <w:link w:val="Heading2"/>
    <w:uiPriority w:val="9"/>
    <w:rsid w:val="00132B1E"/>
    <w:rPr>
      <w:rFonts w:ascii="Century Gothic" w:eastAsiaTheme="minorEastAsia" w:hAnsi="Century Gothic"/>
      <w:b/>
      <w:bCs/>
      <w:color w:val="245193"/>
      <w:sz w:val="20"/>
      <w:szCs w:val="22"/>
      <w:lang w:val="en-GB"/>
    </w:rPr>
  </w:style>
  <w:style w:type="character" w:customStyle="1" w:styleId="Heading3Char">
    <w:name w:val="Heading 3 Char"/>
    <w:basedOn w:val="DefaultParagraphFont"/>
    <w:link w:val="Heading3"/>
    <w:uiPriority w:val="9"/>
    <w:rsid w:val="00714C25"/>
    <w:rPr>
      <w:rFonts w:ascii="Century Gothic" w:hAnsi="Century Gothic" w:cs="Times New Roman"/>
      <w:color w:val="245193"/>
      <w:sz w:val="20"/>
      <w:szCs w:val="22"/>
    </w:rPr>
  </w:style>
  <w:style w:type="paragraph" w:styleId="Subtitle">
    <w:name w:val="Subtitle"/>
    <w:basedOn w:val="Normal"/>
    <w:next w:val="Normal"/>
    <w:link w:val="SubtitleChar"/>
    <w:uiPriority w:val="11"/>
    <w:qFormat/>
    <w:rsid w:val="00714C25"/>
    <w:pPr>
      <w:spacing w:before="100" w:beforeAutospacing="1" w:after="100" w:afterAutospacing="1"/>
    </w:pPr>
    <w:rPr>
      <w:rFonts w:ascii="Century Gothic" w:hAnsi="Century Gothic"/>
      <w:color w:val="285185"/>
      <w:sz w:val="20"/>
      <w:lang w:eastAsia="en-US"/>
    </w:rPr>
  </w:style>
  <w:style w:type="character" w:customStyle="1" w:styleId="SubtitleChar">
    <w:name w:val="Subtitle Char"/>
    <w:basedOn w:val="DefaultParagraphFont"/>
    <w:link w:val="Subtitle"/>
    <w:uiPriority w:val="11"/>
    <w:rsid w:val="00714C25"/>
    <w:rPr>
      <w:rFonts w:ascii="Century Gothic" w:hAnsi="Century Gothic" w:cs="Times New Roman"/>
      <w:color w:val="285185"/>
      <w:sz w:val="20"/>
      <w:szCs w:val="22"/>
    </w:rPr>
  </w:style>
  <w:style w:type="paragraph" w:styleId="Quote">
    <w:name w:val="Quote"/>
    <w:basedOn w:val="Normal"/>
    <w:next w:val="Normal"/>
    <w:link w:val="QuoteChar"/>
    <w:uiPriority w:val="29"/>
    <w:qFormat/>
    <w:rsid w:val="00714C25"/>
    <w:pPr>
      <w:spacing w:before="100" w:beforeAutospacing="1" w:after="100" w:afterAutospacing="1"/>
      <w:ind w:left="720"/>
      <w:jc w:val="both"/>
    </w:pPr>
    <w:rPr>
      <w:rFonts w:ascii="Century Gothic" w:hAnsi="Century Gothic"/>
      <w:i/>
      <w:iCs/>
      <w:sz w:val="20"/>
      <w:lang w:eastAsia="en-US"/>
    </w:rPr>
  </w:style>
  <w:style w:type="character" w:customStyle="1" w:styleId="QuoteChar">
    <w:name w:val="Quote Char"/>
    <w:basedOn w:val="DefaultParagraphFont"/>
    <w:link w:val="Quote"/>
    <w:uiPriority w:val="29"/>
    <w:rsid w:val="00714C25"/>
    <w:rPr>
      <w:rFonts w:ascii="Century Gothic" w:hAnsi="Century Gothic" w:cs="Times New Roman"/>
      <w:i/>
      <w:iCs/>
      <w:sz w:val="20"/>
      <w:szCs w:val="22"/>
    </w:rPr>
  </w:style>
  <w:style w:type="character" w:styleId="Strong">
    <w:name w:val="Strong"/>
    <w:uiPriority w:val="22"/>
    <w:qFormat/>
    <w:rsid w:val="00714C25"/>
    <w:rPr>
      <w:b/>
      <w:bCs/>
      <w:sz w:val="18"/>
    </w:rPr>
  </w:style>
  <w:style w:type="character" w:styleId="Emphasis">
    <w:name w:val="Emphasis"/>
    <w:basedOn w:val="DefaultParagraphFont"/>
    <w:uiPriority w:val="20"/>
    <w:rsid w:val="007D4DCF"/>
    <w:rPr>
      <w:i/>
      <w:iCs/>
    </w:rPr>
  </w:style>
  <w:style w:type="character" w:styleId="SubtleReference">
    <w:name w:val="Subtle Reference"/>
    <w:aliases w:val="Normal No Spacing"/>
    <w:basedOn w:val="DefaultParagraphFont"/>
    <w:uiPriority w:val="31"/>
    <w:qFormat/>
    <w:rsid w:val="00E4691C"/>
    <w:rPr>
      <w:rFonts w:ascii="Century Gothic" w:hAnsi="Century Gothic"/>
      <w:b w:val="0"/>
      <w:bCs w:val="0"/>
      <w:i w:val="0"/>
      <w:iCs w:val="0"/>
      <w:smallCaps/>
      <w:color w:val="5A5A5A" w:themeColor="text1" w:themeTint="A5"/>
      <w:sz w:val="20"/>
    </w:rPr>
  </w:style>
  <w:style w:type="character" w:styleId="Hyperlink">
    <w:name w:val="Hyperlink"/>
    <w:basedOn w:val="DefaultParagraphFont"/>
    <w:uiPriority w:val="99"/>
    <w:unhideWhenUsed/>
    <w:rsid w:val="00A969DB"/>
    <w:rPr>
      <w:color w:val="0000FF"/>
      <w:u w:val="single"/>
    </w:rPr>
  </w:style>
  <w:style w:type="character" w:customStyle="1" w:styleId="s1">
    <w:name w:val="s1"/>
    <w:basedOn w:val="DefaultParagraphFont"/>
    <w:rsid w:val="00A969DB"/>
  </w:style>
  <w:style w:type="paragraph" w:styleId="ListParagraph">
    <w:name w:val="List Paragraph"/>
    <w:basedOn w:val="Normal"/>
    <w:uiPriority w:val="34"/>
    <w:qFormat/>
    <w:rsid w:val="00A969DB"/>
    <w:pPr>
      <w:ind w:left="720"/>
      <w:contextualSpacing/>
    </w:pPr>
  </w:style>
  <w:style w:type="character" w:customStyle="1" w:styleId="color34">
    <w:name w:val="color_34"/>
    <w:basedOn w:val="DefaultParagraphFont"/>
    <w:rsid w:val="00132B1E"/>
  </w:style>
  <w:style w:type="paragraph" w:styleId="BalloonText">
    <w:name w:val="Balloon Text"/>
    <w:basedOn w:val="Normal"/>
    <w:link w:val="BalloonTextChar"/>
    <w:uiPriority w:val="99"/>
    <w:semiHidden/>
    <w:unhideWhenUsed/>
    <w:rsid w:val="00132B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2B1E"/>
    <w:rPr>
      <w:rFonts w:ascii="Times New Roman" w:eastAsiaTheme="minorEastAsia" w:hAnsi="Times New Roman"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54665">
      <w:bodyDiv w:val="1"/>
      <w:marLeft w:val="0"/>
      <w:marRight w:val="0"/>
      <w:marTop w:val="0"/>
      <w:marBottom w:val="0"/>
      <w:divBdr>
        <w:top w:val="none" w:sz="0" w:space="0" w:color="auto"/>
        <w:left w:val="none" w:sz="0" w:space="0" w:color="auto"/>
        <w:bottom w:val="none" w:sz="0" w:space="0" w:color="auto"/>
        <w:right w:val="none" w:sz="0" w:space="0" w:color="auto"/>
      </w:divBdr>
    </w:div>
    <w:div w:id="661664703">
      <w:bodyDiv w:val="1"/>
      <w:marLeft w:val="0"/>
      <w:marRight w:val="0"/>
      <w:marTop w:val="0"/>
      <w:marBottom w:val="0"/>
      <w:divBdr>
        <w:top w:val="none" w:sz="0" w:space="0" w:color="auto"/>
        <w:left w:val="none" w:sz="0" w:space="0" w:color="auto"/>
        <w:bottom w:val="none" w:sz="0" w:space="0" w:color="auto"/>
        <w:right w:val="none" w:sz="0" w:space="0" w:color="auto"/>
      </w:divBdr>
    </w:div>
    <w:div w:id="818688694">
      <w:bodyDiv w:val="1"/>
      <w:marLeft w:val="0"/>
      <w:marRight w:val="0"/>
      <w:marTop w:val="0"/>
      <w:marBottom w:val="0"/>
      <w:divBdr>
        <w:top w:val="none" w:sz="0" w:space="0" w:color="auto"/>
        <w:left w:val="none" w:sz="0" w:space="0" w:color="auto"/>
        <w:bottom w:val="none" w:sz="0" w:space="0" w:color="auto"/>
        <w:right w:val="none" w:sz="0" w:space="0" w:color="auto"/>
      </w:divBdr>
    </w:div>
    <w:div w:id="1043561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bates/Library/Group%20Containers/UBF8T346G9.Office/User%20Content.localized/Templates.localized/LW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LWSTemplate.dotx</Template>
  <TotalTime>14</TotalTime>
  <Pages>3</Pages>
  <Words>772</Words>
  <Characters>4403</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Social</vt:lpstr>
    </vt:vector>
  </TitlesOfParts>
  <Company>Balanced Agency</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Bates</dc:creator>
  <cp:keywords/>
  <dc:description/>
  <cp:lastModifiedBy>Marc Bates</cp:lastModifiedBy>
  <cp:revision>2</cp:revision>
  <cp:lastPrinted>2016-03-08T00:42:00Z</cp:lastPrinted>
  <dcterms:created xsi:type="dcterms:W3CDTF">2019-09-01T10:57:00Z</dcterms:created>
  <dcterms:modified xsi:type="dcterms:W3CDTF">2019-09-01T10:57:00Z</dcterms:modified>
</cp:coreProperties>
</file>