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15C42" w14:textId="03D66AD5" w:rsidR="009216F5" w:rsidRDefault="00291DE9" w:rsidP="0019075A">
      <w:pPr>
        <w:rPr>
          <w:b/>
          <w:sz w:val="28"/>
          <w:szCs w:val="28"/>
        </w:rPr>
      </w:pPr>
      <w:r w:rsidRPr="006C700C">
        <w:rPr>
          <w:b/>
          <w:sz w:val="28"/>
          <w:szCs w:val="28"/>
        </w:rPr>
        <w:t>Indoor Air Pollution and Stunting Among Indian Children</w:t>
      </w:r>
    </w:p>
    <w:p w14:paraId="37040B0E" w14:textId="3128F346" w:rsidR="00B73133" w:rsidRDefault="00620F42" w:rsidP="001D4A6F">
      <w:pPr>
        <w:spacing w:after="0"/>
        <w:rPr>
          <w:sz w:val="24"/>
          <w:szCs w:val="24"/>
        </w:rPr>
      </w:pPr>
      <w:r w:rsidRPr="00C13591">
        <w:rPr>
          <w:sz w:val="24"/>
          <w:szCs w:val="24"/>
        </w:rPr>
        <w:t xml:space="preserve">Anca Balietti and Prateek </w:t>
      </w:r>
      <w:r w:rsidR="00C13591" w:rsidRPr="00C13591">
        <w:rPr>
          <w:sz w:val="24"/>
          <w:szCs w:val="24"/>
        </w:rPr>
        <w:t>Mittal</w:t>
      </w:r>
    </w:p>
    <w:p w14:paraId="2534ADBC" w14:textId="70F9BB2B" w:rsidR="00B73133" w:rsidRPr="00C13591" w:rsidRDefault="00B73133" w:rsidP="001D4A6F">
      <w:pPr>
        <w:spacing w:after="0"/>
        <w:rPr>
          <w:sz w:val="24"/>
          <w:szCs w:val="24"/>
        </w:rPr>
      </w:pPr>
      <w:r>
        <w:rPr>
          <w:sz w:val="24"/>
          <w:szCs w:val="24"/>
        </w:rPr>
        <w:t>Follow @EPoDHarvard</w:t>
      </w:r>
    </w:p>
    <w:p w14:paraId="378E5177" w14:textId="77777777" w:rsidR="00B73133" w:rsidRDefault="00B73133">
      <w:pPr>
        <w:jc w:val="both"/>
      </w:pPr>
    </w:p>
    <w:p w14:paraId="01285947" w14:textId="13BD8468" w:rsidR="00AC1D19" w:rsidRDefault="00D55B91">
      <w:pPr>
        <w:jc w:val="both"/>
      </w:pPr>
      <w:hyperlink r:id="rId8" w:history="1">
        <w:r w:rsidR="00CB00D1" w:rsidRPr="00CB00D1">
          <w:rPr>
            <w:rStyle w:val="Hyperlink"/>
          </w:rPr>
          <w:t>4.3 million</w:t>
        </w:r>
      </w:hyperlink>
      <w:r w:rsidR="00CB00D1">
        <w:t xml:space="preserve"> people die each year due to indoor air pollution. The conversation on air quality, however, has been focused largely on outdoor air pollution.</w:t>
      </w:r>
      <w:r w:rsidR="00891418">
        <w:t xml:space="preserve"> </w:t>
      </w:r>
      <w:r w:rsidR="00DE3210" w:rsidRPr="00DE3210">
        <w:t xml:space="preserve">Our analysis of </w:t>
      </w:r>
      <w:r w:rsidR="00DE3210">
        <w:t xml:space="preserve">2005-2006 National Family Health Survey (NFHS-3) </w:t>
      </w:r>
      <w:r w:rsidR="00DE3210" w:rsidRPr="00DE3210">
        <w:t>data finds strong evidence that the exposure to indoor air pollution from burning solid fuels increases the probability of stunting among Indian children.</w:t>
      </w:r>
    </w:p>
    <w:p w14:paraId="6D93CF60" w14:textId="77777777" w:rsidR="00DE3210" w:rsidRDefault="00DE3210">
      <w:pPr>
        <w:jc w:val="both"/>
        <w:rPr>
          <w:b/>
        </w:rPr>
      </w:pPr>
    </w:p>
    <w:p w14:paraId="46E45D03" w14:textId="2F705AB6" w:rsidR="009216F5" w:rsidRDefault="00224C10">
      <w:pPr>
        <w:jc w:val="both"/>
        <w:rPr>
          <w:b/>
        </w:rPr>
      </w:pPr>
      <w:r>
        <w:rPr>
          <w:b/>
        </w:rPr>
        <w:t>Stunting is big in India</w:t>
      </w:r>
    </w:p>
    <w:p w14:paraId="6F37DA61" w14:textId="186B7F3D" w:rsidR="004E767D" w:rsidRPr="004E767D" w:rsidRDefault="004E767D" w:rsidP="004E767D">
      <w:pPr>
        <w:jc w:val="both"/>
      </w:pPr>
      <w:r>
        <w:t>A child is regarded as stunted</w:t>
      </w:r>
      <w:r w:rsidR="00CB00D1">
        <w:t xml:space="preserve"> </w:t>
      </w:r>
      <w:r>
        <w:t xml:space="preserve">if her </w:t>
      </w:r>
      <w:r w:rsidRPr="004E767D">
        <w:t>height</w:t>
      </w:r>
      <w:r w:rsidR="004B0F0B">
        <w:t>-</w:t>
      </w:r>
      <w:r w:rsidRPr="004E767D">
        <w:t>for</w:t>
      </w:r>
      <w:r w:rsidR="004B0F0B">
        <w:t>-</w:t>
      </w:r>
      <w:r w:rsidRPr="004E767D">
        <w:t xml:space="preserve">age is below </w:t>
      </w:r>
      <w:r w:rsidR="00A4149F">
        <w:t xml:space="preserve">certain </w:t>
      </w:r>
      <w:hyperlink r:id="rId9" w:history="1">
        <w:r w:rsidR="00CB00D1" w:rsidRPr="00A4149F">
          <w:rPr>
            <w:rStyle w:val="Hyperlink"/>
          </w:rPr>
          <w:t>threshol</w:t>
        </w:r>
        <w:r w:rsidR="00DB40A8">
          <w:rPr>
            <w:rStyle w:val="Hyperlink"/>
          </w:rPr>
          <w:t>ds</w:t>
        </w:r>
      </w:hyperlink>
      <w:r w:rsidR="00CB00D1">
        <w:t xml:space="preserve"> set as per</w:t>
      </w:r>
      <w:r w:rsidRPr="004E767D">
        <w:t xml:space="preserve"> the WHO Child Growth Standards</w:t>
      </w:r>
      <w:r w:rsidR="00CB00D1">
        <w:t>.</w:t>
      </w:r>
      <w:r>
        <w:t xml:space="preserve"> </w:t>
      </w:r>
      <w:r w:rsidRPr="004E767D">
        <w:t xml:space="preserve">Stunted children tend to have both physical and cognitive </w:t>
      </w:r>
      <w:hyperlink r:id="rId10" w:history="1">
        <w:r w:rsidRPr="00F135F4">
          <w:rPr>
            <w:rStyle w:val="Hyperlink"/>
          </w:rPr>
          <w:t>developmental delays</w:t>
        </w:r>
      </w:hyperlink>
      <w:r w:rsidRPr="004E767D">
        <w:t xml:space="preserve">, including delayed walking, </w:t>
      </w:r>
      <w:r w:rsidR="004B0F0B">
        <w:t>impeded</w:t>
      </w:r>
      <w:r w:rsidR="004B0F0B" w:rsidRPr="004E767D">
        <w:t xml:space="preserve"> </w:t>
      </w:r>
      <w:r w:rsidRPr="004E767D">
        <w:t xml:space="preserve">speech development, and </w:t>
      </w:r>
      <w:r w:rsidR="004B0F0B">
        <w:t>diminished</w:t>
      </w:r>
      <w:r w:rsidR="004B0F0B" w:rsidRPr="004E767D">
        <w:t xml:space="preserve"> </w:t>
      </w:r>
      <w:r w:rsidRPr="004E767D">
        <w:t xml:space="preserve">school performance. They also experience higher rates of </w:t>
      </w:r>
      <w:hyperlink r:id="rId11" w:history="1">
        <w:r w:rsidRPr="00A4149F">
          <w:rPr>
            <w:rStyle w:val="Hyperlink"/>
          </w:rPr>
          <w:t>mortality and morbidity</w:t>
        </w:r>
      </w:hyperlink>
      <w:r w:rsidRPr="004E767D">
        <w:t>, including diabetes and hypertension.</w:t>
      </w:r>
    </w:p>
    <w:p w14:paraId="41D1066B" w14:textId="61775740" w:rsidR="009216F5" w:rsidRDefault="00F1064A">
      <w:pPr>
        <w:jc w:val="both"/>
      </w:pPr>
      <w:r>
        <w:t>According to</w:t>
      </w:r>
      <w:r w:rsidR="0028454B">
        <w:t xml:space="preserve"> the NFHS</w:t>
      </w:r>
      <w:r w:rsidR="005B7643">
        <w:t xml:space="preserve">-3 </w:t>
      </w:r>
      <w:r w:rsidR="0028454B">
        <w:t xml:space="preserve">data, </w:t>
      </w:r>
      <w:r w:rsidR="004E767D">
        <w:t xml:space="preserve">as </w:t>
      </w:r>
      <w:r>
        <w:t xml:space="preserve">many </w:t>
      </w:r>
      <w:r w:rsidR="004E767D">
        <w:t>as</w:t>
      </w:r>
      <w:r w:rsidR="00291DE9">
        <w:t xml:space="preserve"> 43% of Indian children under</w:t>
      </w:r>
      <w:r w:rsidR="004E767D">
        <w:t xml:space="preserve"> the age of five</w:t>
      </w:r>
      <w:r w:rsidR="00291DE9">
        <w:t xml:space="preserve"> were stunted as of 2006. Despite high economic growth during the last few decades, India </w:t>
      </w:r>
      <w:r w:rsidR="00E11044">
        <w:t xml:space="preserve">still </w:t>
      </w:r>
      <w:r w:rsidR="00291DE9">
        <w:t>has the highest prevalence of stunting among all South Asian economies with the exception of war-st</w:t>
      </w:r>
      <w:r w:rsidR="004E767D">
        <w:t>ricken Afghanistan.</w:t>
      </w:r>
      <w:r w:rsidR="0082101D">
        <w:t xml:space="preserve"> The sheer magnitude of the problem is apparent </w:t>
      </w:r>
      <w:r>
        <w:t xml:space="preserve">in </w:t>
      </w:r>
      <w:r w:rsidR="0082101D">
        <w:t xml:space="preserve">the fact that India has 61 million stunted children, more than any other country. </w:t>
      </w:r>
    </w:p>
    <w:p w14:paraId="7D2C4C01" w14:textId="3B7B88ED" w:rsidR="00EF0412" w:rsidRDefault="006609A9" w:rsidP="004B670F">
      <w:pPr>
        <w:jc w:val="center"/>
        <w:rPr>
          <w:color w:val="ACB9CA" w:themeColor="text2" w:themeTint="66"/>
        </w:rPr>
      </w:pPr>
      <w:r>
        <w:rPr>
          <w:noProof/>
          <w:color w:val="ACB9CA" w:themeColor="text2" w:themeTint="66"/>
        </w:rPr>
        <w:lastRenderedPageBreak/>
        <w:drawing>
          <wp:inline distT="0" distB="0" distL="0" distR="0" wp14:anchorId="0D40B947" wp14:editId="1BD041EA">
            <wp:extent cx="5943600" cy="4457700"/>
            <wp:effectExtent l="25400" t="25400" r="25400" b="38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1.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tx1"/>
                      </a:solidFill>
                    </a:ln>
                  </pic:spPr>
                </pic:pic>
              </a:graphicData>
            </a:graphic>
          </wp:inline>
        </w:drawing>
      </w:r>
    </w:p>
    <w:p w14:paraId="2D026DE4" w14:textId="0898A3F4" w:rsidR="00525946" w:rsidRPr="001D4A6F" w:rsidRDefault="00D2322D" w:rsidP="00525946">
      <w:pPr>
        <w:jc w:val="center"/>
        <w:rPr>
          <w:rStyle w:val="Hyperlink"/>
          <w:i/>
        </w:rPr>
      </w:pPr>
      <w:r>
        <w:fldChar w:fldCharType="begin"/>
      </w:r>
      <w:r>
        <w:instrText xml:space="preserve"> HYPERLINK "https://rawgit.com/prateek149/data_visualization/master/air_pollution_stunting/stunting_country.html" </w:instrText>
      </w:r>
      <w:r>
        <w:fldChar w:fldCharType="separate"/>
      </w:r>
      <w:r w:rsidR="00525946" w:rsidRPr="001D4A6F">
        <w:rPr>
          <w:rStyle w:val="Hyperlink"/>
          <w:i/>
        </w:rPr>
        <w:t>Trend in stunting rate among the BRICS and South Asian countries, 1986 – 2014</w:t>
      </w:r>
      <w:r w:rsidR="00894236">
        <w:rPr>
          <w:rStyle w:val="Hyperlink"/>
          <w:i/>
        </w:rPr>
        <w:t xml:space="preserve"> </w:t>
      </w:r>
    </w:p>
    <w:p w14:paraId="7398158E" w14:textId="62D68022" w:rsidR="00AC1D19" w:rsidRDefault="00D2322D" w:rsidP="00AC1D19">
      <w:pPr>
        <w:jc w:val="both"/>
        <w:rPr>
          <w:color w:val="ACB9CA" w:themeColor="text2" w:themeTint="66"/>
        </w:rPr>
      </w:pPr>
      <w:r>
        <w:fldChar w:fldCharType="end"/>
      </w:r>
    </w:p>
    <w:p w14:paraId="59FE96E7" w14:textId="77777777" w:rsidR="006609A9" w:rsidRPr="006609A9" w:rsidRDefault="006609A9" w:rsidP="00AC1D19">
      <w:pPr>
        <w:jc w:val="both"/>
        <w:rPr>
          <w:color w:val="ACB9CA" w:themeColor="text2" w:themeTint="66"/>
        </w:rPr>
      </w:pPr>
    </w:p>
    <w:p w14:paraId="0174750A" w14:textId="77777777" w:rsidR="00AC1D19" w:rsidRDefault="00291DE9" w:rsidP="00AC1D19">
      <w:pPr>
        <w:jc w:val="both"/>
        <w:rPr>
          <w:b/>
        </w:rPr>
      </w:pPr>
      <w:r>
        <w:rPr>
          <w:b/>
        </w:rPr>
        <w:t>The connection between stunting and solid cooking fuels</w:t>
      </w:r>
    </w:p>
    <w:p w14:paraId="0C11C425" w14:textId="53B7C9D3" w:rsidR="00BF1127" w:rsidRPr="00724D60" w:rsidRDefault="008F24FB" w:rsidP="0042617D">
      <w:pPr>
        <w:jc w:val="both"/>
        <w:rPr>
          <w:rFonts w:cs="URWPalladioL-Roma"/>
        </w:rPr>
      </w:pPr>
      <w:r>
        <w:rPr>
          <w:rFonts w:cs="URWPalladioL-Roma"/>
        </w:rPr>
        <w:t xml:space="preserve">While stunting is most commonly associated with </w:t>
      </w:r>
      <w:r w:rsidR="006C700C">
        <w:rPr>
          <w:rFonts w:cs="URWPalladioL-Roma"/>
        </w:rPr>
        <w:t xml:space="preserve">poor </w:t>
      </w:r>
      <w:r w:rsidR="00D63F73">
        <w:rPr>
          <w:rFonts w:cs="URWPalladioL-Roma"/>
        </w:rPr>
        <w:t xml:space="preserve">nutrition, </w:t>
      </w:r>
      <w:r>
        <w:rPr>
          <w:rFonts w:cs="URWPalladioL-Roma"/>
        </w:rPr>
        <w:t>there is a</w:t>
      </w:r>
      <w:r w:rsidR="006C700C">
        <w:rPr>
          <w:rFonts w:cs="URWPalladioL-Roma"/>
        </w:rPr>
        <w:t>n</w:t>
      </w:r>
      <w:r>
        <w:rPr>
          <w:rFonts w:cs="URWPalladioL-Roma"/>
        </w:rPr>
        <w:t xml:space="preserve"> </w:t>
      </w:r>
      <w:r w:rsidR="00B70706">
        <w:rPr>
          <w:rFonts w:cs="URWPalladioL-Roma"/>
        </w:rPr>
        <w:t>emerging</w:t>
      </w:r>
      <w:r>
        <w:rPr>
          <w:rFonts w:cs="URWPalladioL-Roma"/>
        </w:rPr>
        <w:t xml:space="preserve"> body of research that links exposure to poor air quality to stunting. </w:t>
      </w:r>
      <w:r w:rsidR="00983F10">
        <w:rPr>
          <w:rFonts w:cs="URWPalladioL-Roma"/>
        </w:rPr>
        <w:t>In many households in India, solid fuels</w:t>
      </w:r>
      <w:r w:rsidR="00983F10">
        <w:rPr>
          <w:rFonts w:cs="URWPalladioL-Roma"/>
        </w:rPr>
        <w:softHyphen/>
        <w:t>–such as coal, wood, crop residue and dung-are used for cooking. These fuels release particulate matter, carbon monoxide, formaldehyde and other toxins</w:t>
      </w:r>
      <w:r w:rsidR="00724D60">
        <w:rPr>
          <w:rFonts w:cs="URWPalladioL-Roma"/>
        </w:rPr>
        <w:t xml:space="preserve">, at a much higher rate than non-solid fuels such as kerosene and LPG. </w:t>
      </w:r>
      <w:r w:rsidR="0042617D">
        <w:t>Children’s</w:t>
      </w:r>
      <w:r w:rsidR="00CF2EB7" w:rsidRPr="00CF2EB7">
        <w:t xml:space="preserve"> </w:t>
      </w:r>
      <w:r w:rsidR="00E11044">
        <w:t>lungs are</w:t>
      </w:r>
      <w:r w:rsidR="00CF2EB7">
        <w:t xml:space="preserve"> still</w:t>
      </w:r>
      <w:r w:rsidR="0042617D">
        <w:t xml:space="preserve"> developing</w:t>
      </w:r>
      <w:r w:rsidR="00E11044">
        <w:t xml:space="preserve"> and</w:t>
      </w:r>
      <w:r w:rsidR="0042617D">
        <w:t xml:space="preserve"> are </w:t>
      </w:r>
      <w:r w:rsidR="00E11044">
        <w:t xml:space="preserve">therefore </w:t>
      </w:r>
      <w:r w:rsidR="0042617D">
        <w:t xml:space="preserve">particularly susceptible to irritation and contamination from the fumes of solid cooking fuels; when children’s bodies must repeatedly fight off the respiratory infections these fumes provoke, their growth suffers. </w:t>
      </w:r>
    </w:p>
    <w:p w14:paraId="4B73B3A1" w14:textId="77777777" w:rsidR="009216F5" w:rsidRDefault="009216F5">
      <w:pPr>
        <w:spacing w:after="0" w:line="240" w:lineRule="auto"/>
        <w:jc w:val="both"/>
        <w:rPr>
          <w:rFonts w:ascii="URWPalladioL-Roma" w:hAnsi="URWPalladioL-Roma" w:cs="URWPalladioL-Roma"/>
        </w:rPr>
      </w:pPr>
    </w:p>
    <w:p w14:paraId="2C7FD8C1" w14:textId="47FC5217" w:rsidR="00AC1D19" w:rsidRDefault="006609A9" w:rsidP="004B670F">
      <w:pPr>
        <w:spacing w:after="0" w:line="240" w:lineRule="auto"/>
        <w:jc w:val="center"/>
        <w:rPr>
          <w:rFonts w:ascii="URWPalladioL-Roma" w:hAnsi="URWPalladioL-Roma" w:cs="URWPalladioL-Roma"/>
        </w:rPr>
      </w:pPr>
      <w:r>
        <w:rPr>
          <w:rFonts w:ascii="URWPalladioL-Roma" w:hAnsi="URWPalladioL-Roma" w:cs="URWPalladioL-Roma"/>
          <w:noProof/>
        </w:rPr>
        <w:lastRenderedPageBreak/>
        <w:drawing>
          <wp:inline distT="0" distB="0" distL="0" distR="0" wp14:anchorId="35E60C9B" wp14:editId="2BD1B887">
            <wp:extent cx="5943600" cy="4457700"/>
            <wp:effectExtent l="25400" t="25400" r="25400"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2.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tx1"/>
                      </a:solidFill>
                    </a:ln>
                  </pic:spPr>
                </pic:pic>
              </a:graphicData>
            </a:graphic>
          </wp:inline>
        </w:drawing>
      </w:r>
    </w:p>
    <w:p w14:paraId="3669A13E" w14:textId="77777777" w:rsidR="00894236" w:rsidRPr="001D4A6F" w:rsidRDefault="00DB40A8" w:rsidP="00DB40A8">
      <w:pPr>
        <w:tabs>
          <w:tab w:val="center" w:pos="4680"/>
          <w:tab w:val="left" w:pos="8675"/>
        </w:tabs>
        <w:spacing w:after="0"/>
        <w:rPr>
          <w:i/>
        </w:rPr>
      </w:pPr>
      <w:r w:rsidRPr="001D4A6F">
        <w:rPr>
          <w:i/>
        </w:rPr>
        <w:tab/>
      </w:r>
      <w:r w:rsidR="00894236">
        <w:rPr>
          <w:i/>
        </w:rPr>
        <w:fldChar w:fldCharType="begin"/>
      </w:r>
      <w:r w:rsidR="00894236">
        <w:rPr>
          <w:i/>
        </w:rPr>
        <w:instrText xml:space="preserve"> HYPERLINK "</w:instrText>
      </w:r>
      <w:r w:rsidR="00894236" w:rsidRPr="001D4A6F">
        <w:rPr>
          <w:i/>
        </w:rPr>
        <w:instrText>The association between fuel used for cooking and stunting rates</w:instrText>
      </w:r>
      <w:r w:rsidR="00894236" w:rsidRPr="001D4A6F">
        <w:instrText xml:space="preserve"> (https://rawgit.com/prateek149/data_visualization/master/air_pollution_stunting/stunting_fuel.html)</w:instrText>
      </w:r>
      <w:r w:rsidR="00894236" w:rsidRPr="001D4A6F">
        <w:rPr>
          <w:i/>
        </w:rPr>
        <w:tab/>
      </w:r>
    </w:p>
    <w:p w14:paraId="0D5BA6FC" w14:textId="5805A945" w:rsidR="00894236" w:rsidRPr="001D4A6F" w:rsidRDefault="00894236" w:rsidP="00DB40A8">
      <w:pPr>
        <w:tabs>
          <w:tab w:val="center" w:pos="4680"/>
          <w:tab w:val="left" w:pos="8675"/>
        </w:tabs>
        <w:spacing w:after="0"/>
        <w:rPr>
          <w:rStyle w:val="Hyperlink"/>
          <w:i/>
        </w:rPr>
      </w:pPr>
      <w:r>
        <w:rPr>
          <w:i/>
        </w:rPr>
        <w:instrText xml:space="preserve">" </w:instrText>
      </w:r>
      <w:r w:rsidR="00091ACD">
        <w:rPr>
          <w:i/>
        </w:rPr>
      </w:r>
      <w:r>
        <w:rPr>
          <w:i/>
        </w:rPr>
        <w:fldChar w:fldCharType="separate"/>
      </w:r>
      <w:r w:rsidRPr="001D4A6F">
        <w:rPr>
          <w:rStyle w:val="Hyperlink"/>
          <w:i/>
        </w:rPr>
        <w:t>The association between fuel used for cooking and stunting rates</w:t>
      </w:r>
      <w:r w:rsidRPr="00894236">
        <w:rPr>
          <w:rStyle w:val="Hyperlink"/>
          <w:i/>
        </w:rPr>
        <w:t xml:space="preserve"> </w:t>
      </w:r>
    </w:p>
    <w:p w14:paraId="70133634" w14:textId="1021D4C3" w:rsidR="00525946" w:rsidRDefault="00894236">
      <w:pPr>
        <w:spacing w:after="0" w:line="240" w:lineRule="auto"/>
        <w:jc w:val="both"/>
        <w:rPr>
          <w:rFonts w:ascii="URWPalladioL-Roma" w:hAnsi="URWPalladioL-Roma" w:cs="URWPalladioL-Roma"/>
        </w:rPr>
      </w:pPr>
      <w:r>
        <w:rPr>
          <w:i/>
        </w:rPr>
        <w:fldChar w:fldCharType="end"/>
      </w:r>
    </w:p>
    <w:p w14:paraId="14B79390" w14:textId="77777777" w:rsidR="00D25179" w:rsidRDefault="00D25179">
      <w:pPr>
        <w:spacing w:after="0" w:line="240" w:lineRule="auto"/>
        <w:jc w:val="both"/>
        <w:rPr>
          <w:rFonts w:ascii="URWPalladioL-Roma" w:hAnsi="URWPalladioL-Roma" w:cs="URWPalladioL-Roma"/>
        </w:rPr>
      </w:pPr>
    </w:p>
    <w:p w14:paraId="0470BCF7" w14:textId="3C771D10" w:rsidR="00D25179" w:rsidRDefault="00D25179" w:rsidP="00D25179">
      <w:pPr>
        <w:jc w:val="both"/>
      </w:pPr>
      <w:r>
        <w:t>We analyzed NFHS</w:t>
      </w:r>
      <w:r w:rsidR="00724D60">
        <w:t>-3</w:t>
      </w:r>
      <w:r>
        <w:t xml:space="preserve"> data to identify the main drivers of stunting among Indian children. </w:t>
      </w:r>
      <w:r w:rsidR="00207A3B">
        <w:t>Control</w:t>
      </w:r>
      <w:r w:rsidR="000B0C87">
        <w:t xml:space="preserve">ling for </w:t>
      </w:r>
      <w:r w:rsidR="00494E21">
        <w:t xml:space="preserve">nutrition, recent illnesses, and other </w:t>
      </w:r>
      <w:r w:rsidR="006C700C">
        <w:t>socio-economic</w:t>
      </w:r>
      <w:r w:rsidR="000B0C87">
        <w:t xml:space="preserve"> factors,</w:t>
      </w:r>
      <w:r w:rsidR="009F0C84">
        <w:t xml:space="preserve"> </w:t>
      </w:r>
      <w:r>
        <w:t>living in a household that burns solid fuels is</w:t>
      </w:r>
      <w:r w:rsidR="009F0C84">
        <w:t xml:space="preserve"> </w:t>
      </w:r>
      <w:r w:rsidR="00126962">
        <w:t>associated with</w:t>
      </w:r>
      <w:r>
        <w:t xml:space="preserve"> </w:t>
      </w:r>
      <w:r w:rsidR="00206B1F">
        <w:t>6.</w:t>
      </w:r>
      <w:r>
        <w:t xml:space="preserve">5% of stunting cases in Indian children below </w:t>
      </w:r>
      <w:r w:rsidR="00206B1F">
        <w:t xml:space="preserve">three </w:t>
      </w:r>
      <w:r>
        <w:t xml:space="preserve">years old. </w:t>
      </w:r>
      <w:r w:rsidR="000B0C87">
        <w:t>In fact, in our analysis, fuel type comes out to be almost half as influential as malnutrition in terms of impact on stunting.</w:t>
      </w:r>
    </w:p>
    <w:p w14:paraId="58E4969B" w14:textId="77777777" w:rsidR="001F4AE4" w:rsidRPr="00D25179" w:rsidRDefault="001F4AE4" w:rsidP="00D25179">
      <w:pPr>
        <w:jc w:val="both"/>
      </w:pPr>
    </w:p>
    <w:p w14:paraId="71D6871D" w14:textId="5E955500" w:rsidR="001F4AE4" w:rsidRDefault="00724D60" w:rsidP="001D4A6F">
      <w:pPr>
        <w:jc w:val="both"/>
      </w:pPr>
      <w:r w:rsidRPr="00D50A1A">
        <w:rPr>
          <w:rFonts w:cs="URWPalladioL-Roma"/>
          <w:b/>
        </w:rPr>
        <w:t>Breaking the link between indoor air pollution and childhood stunting</w:t>
      </w:r>
    </w:p>
    <w:p w14:paraId="7F1161DF" w14:textId="200D5EC1" w:rsidR="001F4AE4" w:rsidRDefault="001F4AE4" w:rsidP="001F4AE4">
      <w:pPr>
        <w:jc w:val="both"/>
      </w:pPr>
      <w:r>
        <w:t>In May 2016, the Indian government began providing below</w:t>
      </w:r>
      <w:r w:rsidR="00CF2EB7">
        <w:t>-</w:t>
      </w:r>
      <w:r>
        <w:t>poverty</w:t>
      </w:r>
      <w:r w:rsidR="00CF2EB7">
        <w:t>-</w:t>
      </w:r>
      <w:r>
        <w:t xml:space="preserve">line households with </w:t>
      </w:r>
      <w:hyperlink r:id="rId14" w:history="1">
        <w:r w:rsidRPr="008B1905">
          <w:rPr>
            <w:rStyle w:val="Hyperlink"/>
          </w:rPr>
          <w:t>liquefied petroleum gas</w:t>
        </w:r>
      </w:hyperlink>
      <w:r w:rsidR="00362B7A">
        <w:rPr>
          <w:rStyle w:val="Hyperlink"/>
        </w:rPr>
        <w:t xml:space="preserve"> (LPG)</w:t>
      </w:r>
      <w:r>
        <w:t xml:space="preserve"> connections. </w:t>
      </w:r>
      <w:r w:rsidR="00724D60">
        <w:t>At the same time, m</w:t>
      </w:r>
      <w:r>
        <w:t>any NGOs and local institutions are working to replace traditional cookstoves with more efficient ones, which would reduce the total quantity of fuel consumed and emissions produced per hour of usage.</w:t>
      </w:r>
      <w:r w:rsidR="004C7C24">
        <w:t xml:space="preserve"> </w:t>
      </w:r>
    </w:p>
    <w:p w14:paraId="15C7534E" w14:textId="77777777" w:rsidR="00937789" w:rsidRDefault="00937789">
      <w:pPr>
        <w:spacing w:after="0" w:line="240" w:lineRule="auto"/>
        <w:jc w:val="both"/>
        <w:rPr>
          <w:rFonts w:ascii="URWPalladioL-Roma" w:hAnsi="URWPalladioL-Roma" w:cs="URWPalladioL-Roma"/>
          <w:color w:val="ACB9CA" w:themeColor="text2" w:themeTint="66"/>
        </w:rPr>
      </w:pPr>
    </w:p>
    <w:p w14:paraId="3EC0B306" w14:textId="5D8930AF" w:rsidR="001E7250" w:rsidRPr="001E7250" w:rsidRDefault="00291DE9" w:rsidP="001E7250">
      <w:pPr>
        <w:jc w:val="both"/>
      </w:pPr>
      <w:r>
        <w:t>Although a</w:t>
      </w:r>
      <w:r w:rsidR="00213F34">
        <w:t xml:space="preserve"> transition to cleaner fuels and </w:t>
      </w:r>
      <w:r w:rsidR="00724D60">
        <w:t>technology</w:t>
      </w:r>
      <w:r>
        <w:t xml:space="preserve"> </w:t>
      </w:r>
      <w:r w:rsidR="00213F34">
        <w:t>is</w:t>
      </w:r>
      <w:r>
        <w:t xml:space="preserve"> perhaps the only </w:t>
      </w:r>
      <w:r w:rsidR="007F3488">
        <w:t xml:space="preserve">long-term </w:t>
      </w:r>
      <w:r>
        <w:t>solution</w:t>
      </w:r>
      <w:r w:rsidR="00724D60">
        <w:t>s</w:t>
      </w:r>
      <w:r>
        <w:t xml:space="preserve"> that </w:t>
      </w:r>
      <w:r w:rsidR="00CF2EB7">
        <w:t>address</w:t>
      </w:r>
      <w:r w:rsidR="00213F34">
        <w:t>es</w:t>
      </w:r>
      <w:r w:rsidR="00CF2EB7">
        <w:t xml:space="preserve"> </w:t>
      </w:r>
      <w:r>
        <w:t xml:space="preserve">the indoor air pollution problem at its roots, we find that there is a second option that </w:t>
      </w:r>
      <w:r w:rsidR="007F3488">
        <w:t>has the potential to tackle stunting.</w:t>
      </w:r>
      <w:r>
        <w:t xml:space="preserve"> </w:t>
      </w:r>
      <w:r w:rsidR="00213F34">
        <w:t>H</w:t>
      </w:r>
      <w:r w:rsidR="007F3488">
        <w:t>aving appropriate ventilation mechanism</w:t>
      </w:r>
      <w:r w:rsidR="00AD1EBA">
        <w:t>s</w:t>
      </w:r>
      <w:r w:rsidR="007F3488">
        <w:t xml:space="preserve"> can considerably mitigate </w:t>
      </w:r>
      <w:r>
        <w:t>the negative impact of sol</w:t>
      </w:r>
      <w:r w:rsidR="007F3488">
        <w:t>id fuel smoke exposure on child</w:t>
      </w:r>
      <w:r w:rsidR="00AD1EBA">
        <w:t xml:space="preserve"> stunting</w:t>
      </w:r>
      <w:r w:rsidR="007F3488">
        <w:t>.</w:t>
      </w:r>
      <w:r w:rsidR="009F0C84">
        <w:t xml:space="preserve"> </w:t>
      </w:r>
      <w:r w:rsidR="001E7250" w:rsidRPr="001E7250">
        <w:t xml:space="preserve">The simple presence of a window in </w:t>
      </w:r>
      <w:r w:rsidR="001E7250" w:rsidRPr="001E7250">
        <w:lastRenderedPageBreak/>
        <w:t xml:space="preserve">households burning solid fuels is associated with a </w:t>
      </w:r>
      <w:r w:rsidR="00380DCC">
        <w:t>3.</w:t>
      </w:r>
      <w:r w:rsidR="001E7250" w:rsidRPr="001E7250">
        <w:t xml:space="preserve">4% lower prevalence of stunting. Having separate kitchen and living areas reduces the chance of stunting by </w:t>
      </w:r>
      <w:r w:rsidR="00380DCC">
        <w:t>4</w:t>
      </w:r>
      <w:r w:rsidR="001E7250" w:rsidRPr="001E7250">
        <w:t>%.</w:t>
      </w:r>
      <w:r w:rsidR="009F0C84">
        <w:t xml:space="preserve"> </w:t>
      </w:r>
      <w:r w:rsidR="001E7250" w:rsidRPr="001E7250">
        <w:t xml:space="preserve">As </w:t>
      </w:r>
      <w:r w:rsidR="009F0C84">
        <w:t>the</w:t>
      </w:r>
      <w:r w:rsidR="009F0C84" w:rsidRPr="001E7250">
        <w:t xml:space="preserve"> </w:t>
      </w:r>
      <w:r w:rsidR="001E7250" w:rsidRPr="001E7250">
        <w:t xml:space="preserve">data capture only whether households possess the different ventilation options and not their actual usage, </w:t>
      </w:r>
      <w:r w:rsidR="00CE49C8">
        <w:t>so the benefits of using ventilation consistently and strategically are probably greater.</w:t>
      </w:r>
    </w:p>
    <w:p w14:paraId="586A6D2B" w14:textId="02D542DF" w:rsidR="009216F5" w:rsidRDefault="006609A9" w:rsidP="004B670F">
      <w:pPr>
        <w:spacing w:after="0" w:line="240" w:lineRule="auto"/>
        <w:jc w:val="center"/>
        <w:rPr>
          <w:rFonts w:ascii="URWPalladioL-Roma" w:hAnsi="URWPalladioL-Roma" w:cs="URWPalladioL-Roma"/>
          <w:color w:val="ACB9CA" w:themeColor="text2" w:themeTint="66"/>
        </w:rPr>
      </w:pPr>
      <w:bookmarkStart w:id="0" w:name="_GoBack"/>
      <w:bookmarkEnd w:id="0"/>
      <w:r>
        <w:rPr>
          <w:rFonts w:ascii="URWPalladioL-Roma" w:hAnsi="URWPalladioL-Roma" w:cs="URWPalladioL-Roma"/>
          <w:noProof/>
          <w:color w:val="ACB9CA" w:themeColor="text2" w:themeTint="66"/>
        </w:rPr>
        <w:drawing>
          <wp:inline distT="0" distB="0" distL="0" distR="0" wp14:anchorId="4A73230D" wp14:editId="5E8DA6BF">
            <wp:extent cx="5943600" cy="4457700"/>
            <wp:effectExtent l="25400" t="25400" r="25400"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3.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a:ln>
                      <a:solidFill>
                        <a:schemeClr val="tx1"/>
                      </a:solidFill>
                    </a:ln>
                  </pic:spPr>
                </pic:pic>
              </a:graphicData>
            </a:graphic>
          </wp:inline>
        </w:drawing>
      </w:r>
    </w:p>
    <w:p w14:paraId="3E30C5FB" w14:textId="07371884" w:rsidR="001E7250" w:rsidRPr="001D4A6F" w:rsidRDefault="00DB40A8" w:rsidP="00DB40A8">
      <w:pPr>
        <w:tabs>
          <w:tab w:val="center" w:pos="4680"/>
          <w:tab w:val="left" w:pos="8628"/>
        </w:tabs>
        <w:rPr>
          <w:i/>
        </w:rPr>
      </w:pPr>
      <w:r w:rsidRPr="001D4A6F">
        <w:rPr>
          <w:i/>
        </w:rPr>
        <w:tab/>
      </w:r>
      <w:hyperlink r:id="rId16" w:history="1">
        <w:r w:rsidR="00525946" w:rsidRPr="001D4A6F">
          <w:rPr>
            <w:rStyle w:val="Hyperlink"/>
            <w:rFonts w:ascii="URWPalladioL-Roma" w:hAnsi="URWPalladioL-Roma" w:cs="URWPalladioL-Roma"/>
            <w:i/>
          </w:rPr>
          <w:t>Stunting frequency for different ventilation options</w:t>
        </w:r>
      </w:hyperlink>
    </w:p>
    <w:p w14:paraId="7028113C" w14:textId="77777777" w:rsidR="001E7250" w:rsidRDefault="001E7250" w:rsidP="001E7250">
      <w:pPr>
        <w:jc w:val="both"/>
      </w:pPr>
    </w:p>
    <w:p w14:paraId="4AC4B68F" w14:textId="18A213A8" w:rsidR="00B62A95" w:rsidRDefault="004B0F0B">
      <w:pPr>
        <w:spacing w:after="0" w:line="240" w:lineRule="auto"/>
        <w:jc w:val="both"/>
        <w:rPr>
          <w:rFonts w:cstheme="minorHAnsi"/>
        </w:rPr>
      </w:pPr>
      <w:r>
        <w:rPr>
          <w:rFonts w:cstheme="minorHAnsi"/>
        </w:rPr>
        <w:t>In order to be free of the health risks associated with air pollution</w:t>
      </w:r>
      <w:r w:rsidR="00E11044">
        <w:rPr>
          <w:rFonts w:cstheme="minorHAnsi"/>
        </w:rPr>
        <w:t>,</w:t>
      </w:r>
      <w:r>
        <w:rPr>
          <w:rFonts w:cstheme="minorHAnsi"/>
        </w:rPr>
        <w:t xml:space="preserve"> </w:t>
      </w:r>
      <w:r w:rsidR="00291DE9">
        <w:rPr>
          <w:rFonts w:cstheme="minorHAnsi"/>
        </w:rPr>
        <w:t xml:space="preserve">citizens need </w:t>
      </w:r>
      <w:r>
        <w:rPr>
          <w:rFonts w:cstheme="minorHAnsi"/>
        </w:rPr>
        <w:t>clean air both at home and in their communities</w:t>
      </w:r>
      <w:r w:rsidR="00291DE9">
        <w:rPr>
          <w:rFonts w:cstheme="minorHAnsi"/>
        </w:rPr>
        <w:t xml:space="preserve">. </w:t>
      </w:r>
      <w:r>
        <w:t>A permanent</w:t>
      </w:r>
      <w:r w:rsidR="00B62A95">
        <w:t xml:space="preserve"> transition to cleaner fuels is perhaps the only solution that will improve India’s air quality—both indoors and outdoors. </w:t>
      </w:r>
      <w:r>
        <w:t>In the meantime, l</w:t>
      </w:r>
      <w:r w:rsidR="00B62A95">
        <w:t>ow-cost ventilation solutions have the potential to mitigate the impact of solid fuel burning on stunting, and should be integrated into health promotion campaigns.</w:t>
      </w:r>
    </w:p>
    <w:p w14:paraId="483269B9" w14:textId="77777777" w:rsidR="00B73133" w:rsidRDefault="00B73133">
      <w:pPr>
        <w:spacing w:after="0" w:line="240" w:lineRule="auto"/>
        <w:jc w:val="both"/>
        <w:rPr>
          <w:rFonts w:cstheme="minorHAnsi"/>
        </w:rPr>
      </w:pPr>
    </w:p>
    <w:p w14:paraId="510EA743" w14:textId="679B42C9" w:rsidR="00B73133" w:rsidRDefault="00B73133">
      <w:pPr>
        <w:spacing w:after="0" w:line="240" w:lineRule="auto"/>
        <w:jc w:val="both"/>
        <w:rPr>
          <w:rFonts w:cstheme="minorHAnsi"/>
        </w:rPr>
      </w:pPr>
      <w:r>
        <w:rPr>
          <w:rFonts w:cstheme="minorHAnsi"/>
        </w:rPr>
        <w:t>____</w:t>
      </w:r>
    </w:p>
    <w:p w14:paraId="01D29D13" w14:textId="77777777" w:rsidR="00B73133" w:rsidRDefault="00B73133">
      <w:pPr>
        <w:spacing w:after="0" w:line="240" w:lineRule="auto"/>
        <w:jc w:val="both"/>
        <w:rPr>
          <w:rFonts w:cstheme="minorHAnsi"/>
        </w:rPr>
      </w:pPr>
    </w:p>
    <w:p w14:paraId="109D9236" w14:textId="4FB73AA0" w:rsidR="009216F5" w:rsidRDefault="00B73133">
      <w:pPr>
        <w:spacing w:after="0" w:line="240" w:lineRule="auto"/>
        <w:jc w:val="both"/>
        <w:rPr>
          <w:rFonts w:cstheme="minorHAnsi"/>
        </w:rPr>
      </w:pPr>
      <w:r>
        <w:rPr>
          <w:b/>
        </w:rPr>
        <w:t>Anca Balietti</w:t>
      </w:r>
      <w:r>
        <w:t xml:space="preserve"> is a </w:t>
      </w:r>
      <w:r w:rsidRPr="00B73133">
        <w:t>is a postdoctoral Research Fellow</w:t>
      </w:r>
      <w:r>
        <w:t xml:space="preserve"> at</w:t>
      </w:r>
      <w:r w:rsidRPr="00B73133">
        <w:t> </w:t>
      </w:r>
      <w:hyperlink r:id="rId17" w:history="1">
        <w:r w:rsidRPr="00B73133">
          <w:rPr>
            <w:rStyle w:val="Hyperlink"/>
          </w:rPr>
          <w:t xml:space="preserve">Evidence </w:t>
        </w:r>
        <w:r w:rsidR="00213F34">
          <w:rPr>
            <w:rStyle w:val="Hyperlink"/>
          </w:rPr>
          <w:t xml:space="preserve">for </w:t>
        </w:r>
        <w:r w:rsidRPr="00B73133">
          <w:rPr>
            <w:rStyle w:val="Hyperlink"/>
          </w:rPr>
          <w:t>Policy Design</w:t>
        </w:r>
      </w:hyperlink>
      <w:r w:rsidR="00213F34">
        <w:t xml:space="preserve"> (EPoD)</w:t>
      </w:r>
      <w:r>
        <w:t xml:space="preserve"> at Harvard Kennedy School. </w:t>
      </w:r>
      <w:r>
        <w:rPr>
          <w:b/>
        </w:rPr>
        <w:t xml:space="preserve">Prateek </w:t>
      </w:r>
      <w:r w:rsidRPr="00BC3E19">
        <w:rPr>
          <w:b/>
        </w:rPr>
        <w:t>Mittal</w:t>
      </w:r>
      <w:r>
        <w:t xml:space="preserve"> is a Senior Research Associate for </w:t>
      </w:r>
      <w:hyperlink r:id="rId18" w:history="1">
        <w:r w:rsidRPr="00BC3E19">
          <w:rPr>
            <w:rStyle w:val="Hyperlink"/>
          </w:rPr>
          <w:t>EPoD India at IFMR</w:t>
        </w:r>
      </w:hyperlink>
      <w:r>
        <w:t xml:space="preserve">, a joint initiative by EPoD and the Institute for Financial Management and Research. </w:t>
      </w:r>
      <w:r w:rsidR="00F82094">
        <w:rPr>
          <w:rFonts w:cstheme="minorHAnsi"/>
        </w:rPr>
        <w:t>The</w:t>
      </w:r>
      <w:r w:rsidR="00DE3210">
        <w:rPr>
          <w:rFonts w:cstheme="minorHAnsi"/>
        </w:rPr>
        <w:t xml:space="preserve"> study was done in collaboration with </w:t>
      </w:r>
      <w:r w:rsidR="00DE3210" w:rsidRPr="00DE3210">
        <w:rPr>
          <w:rFonts w:cstheme="minorHAnsi"/>
        </w:rPr>
        <w:t>Dr. Souvik Datta of Glasgow University</w:t>
      </w:r>
    </w:p>
    <w:sectPr w:rsidR="009216F5">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5A7B8" w14:textId="77777777" w:rsidR="00D55B91" w:rsidRDefault="00D55B91">
      <w:r>
        <w:separator/>
      </w:r>
    </w:p>
  </w:endnote>
  <w:endnote w:type="continuationSeparator" w:id="0">
    <w:p w14:paraId="60FB78DE" w14:textId="77777777" w:rsidR="00D55B91" w:rsidRDefault="00D5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URWPalladioL-Roma">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FE14D" w14:textId="77777777" w:rsidR="00D55B91" w:rsidRDefault="00D55B91">
      <w:r>
        <w:separator/>
      </w:r>
    </w:p>
  </w:footnote>
  <w:footnote w:type="continuationSeparator" w:id="0">
    <w:p w14:paraId="6BC856B6" w14:textId="77777777" w:rsidR="00D55B91" w:rsidRDefault="00D55B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21EE2"/>
    <w:multiLevelType w:val="multilevel"/>
    <w:tmpl w:val="18A4AA3A"/>
    <w:lvl w:ilvl="0">
      <w:numFmt w:val="bullet"/>
      <w:lvlText w:val="-"/>
      <w:lvlJc w:val="left"/>
      <w:pPr>
        <w:ind w:left="408" w:hanging="360"/>
      </w:pPr>
      <w:rPr>
        <w:rFonts w:ascii="Calibri" w:hAnsi="Calibri" w:cs="Calibri" w:hint="default"/>
        <w:b/>
      </w:rPr>
    </w:lvl>
    <w:lvl w:ilvl="1">
      <w:start w:val="1"/>
      <w:numFmt w:val="bullet"/>
      <w:lvlText w:val="o"/>
      <w:lvlJc w:val="left"/>
      <w:pPr>
        <w:ind w:left="1128" w:hanging="360"/>
      </w:pPr>
      <w:rPr>
        <w:rFonts w:ascii="Courier New" w:hAnsi="Courier New" w:cs="Courier New" w:hint="default"/>
      </w:rPr>
    </w:lvl>
    <w:lvl w:ilvl="2">
      <w:start w:val="1"/>
      <w:numFmt w:val="bullet"/>
      <w:lvlText w:val=""/>
      <w:lvlJc w:val="left"/>
      <w:pPr>
        <w:ind w:left="1848" w:hanging="360"/>
      </w:pPr>
      <w:rPr>
        <w:rFonts w:ascii="Wingdings" w:hAnsi="Wingdings" w:cs="Wingdings" w:hint="default"/>
      </w:rPr>
    </w:lvl>
    <w:lvl w:ilvl="3">
      <w:start w:val="1"/>
      <w:numFmt w:val="bullet"/>
      <w:lvlText w:val=""/>
      <w:lvlJc w:val="left"/>
      <w:pPr>
        <w:ind w:left="2568" w:hanging="360"/>
      </w:pPr>
      <w:rPr>
        <w:rFonts w:ascii="Symbol" w:hAnsi="Symbol" w:cs="Symbol" w:hint="default"/>
      </w:rPr>
    </w:lvl>
    <w:lvl w:ilvl="4">
      <w:start w:val="1"/>
      <w:numFmt w:val="bullet"/>
      <w:lvlText w:val="o"/>
      <w:lvlJc w:val="left"/>
      <w:pPr>
        <w:ind w:left="3288" w:hanging="360"/>
      </w:pPr>
      <w:rPr>
        <w:rFonts w:ascii="Courier New" w:hAnsi="Courier New" w:cs="Courier New" w:hint="default"/>
      </w:rPr>
    </w:lvl>
    <w:lvl w:ilvl="5">
      <w:start w:val="1"/>
      <w:numFmt w:val="bullet"/>
      <w:lvlText w:val=""/>
      <w:lvlJc w:val="left"/>
      <w:pPr>
        <w:ind w:left="4008" w:hanging="360"/>
      </w:pPr>
      <w:rPr>
        <w:rFonts w:ascii="Wingdings" w:hAnsi="Wingdings" w:cs="Wingdings" w:hint="default"/>
      </w:rPr>
    </w:lvl>
    <w:lvl w:ilvl="6">
      <w:start w:val="1"/>
      <w:numFmt w:val="bullet"/>
      <w:lvlText w:val=""/>
      <w:lvlJc w:val="left"/>
      <w:pPr>
        <w:ind w:left="4728" w:hanging="360"/>
      </w:pPr>
      <w:rPr>
        <w:rFonts w:ascii="Symbol" w:hAnsi="Symbol" w:cs="Symbol" w:hint="default"/>
      </w:rPr>
    </w:lvl>
    <w:lvl w:ilvl="7">
      <w:start w:val="1"/>
      <w:numFmt w:val="bullet"/>
      <w:lvlText w:val="o"/>
      <w:lvlJc w:val="left"/>
      <w:pPr>
        <w:ind w:left="5448" w:hanging="360"/>
      </w:pPr>
      <w:rPr>
        <w:rFonts w:ascii="Courier New" w:hAnsi="Courier New" w:cs="Courier New" w:hint="default"/>
      </w:rPr>
    </w:lvl>
    <w:lvl w:ilvl="8">
      <w:start w:val="1"/>
      <w:numFmt w:val="bullet"/>
      <w:lvlText w:val=""/>
      <w:lvlJc w:val="left"/>
      <w:pPr>
        <w:ind w:left="6168" w:hanging="360"/>
      </w:pPr>
      <w:rPr>
        <w:rFonts w:ascii="Wingdings" w:hAnsi="Wingdings" w:cs="Wingdings" w:hint="default"/>
      </w:rPr>
    </w:lvl>
  </w:abstractNum>
  <w:abstractNum w:abstractNumId="1">
    <w:nsid w:val="48FB1A30"/>
    <w:multiLevelType w:val="multilevel"/>
    <w:tmpl w:val="D25E05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6CB1138"/>
    <w:multiLevelType w:val="multilevel"/>
    <w:tmpl w:val="8E5AA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F5"/>
    <w:rsid w:val="00012FF7"/>
    <w:rsid w:val="00043570"/>
    <w:rsid w:val="00075B14"/>
    <w:rsid w:val="00091ACD"/>
    <w:rsid w:val="000B0C87"/>
    <w:rsid w:val="000B477A"/>
    <w:rsid w:val="0010438C"/>
    <w:rsid w:val="001057A5"/>
    <w:rsid w:val="001227A1"/>
    <w:rsid w:val="00126962"/>
    <w:rsid w:val="00131928"/>
    <w:rsid w:val="00133986"/>
    <w:rsid w:val="00133D1B"/>
    <w:rsid w:val="0013507F"/>
    <w:rsid w:val="00137BCE"/>
    <w:rsid w:val="00165FF7"/>
    <w:rsid w:val="0019075A"/>
    <w:rsid w:val="001D4A6F"/>
    <w:rsid w:val="001E7250"/>
    <w:rsid w:val="001F4AE4"/>
    <w:rsid w:val="00206B1F"/>
    <w:rsid w:val="00207A3B"/>
    <w:rsid w:val="00213F34"/>
    <w:rsid w:val="00224C10"/>
    <w:rsid w:val="0028454B"/>
    <w:rsid w:val="00291DE9"/>
    <w:rsid w:val="002C6AC2"/>
    <w:rsid w:val="002D13FA"/>
    <w:rsid w:val="002D7A3F"/>
    <w:rsid w:val="002F1417"/>
    <w:rsid w:val="00304F6F"/>
    <w:rsid w:val="00306422"/>
    <w:rsid w:val="00321070"/>
    <w:rsid w:val="00330604"/>
    <w:rsid w:val="00362B7A"/>
    <w:rsid w:val="00380DCC"/>
    <w:rsid w:val="003967F4"/>
    <w:rsid w:val="003C64A2"/>
    <w:rsid w:val="003D7798"/>
    <w:rsid w:val="003E3B24"/>
    <w:rsid w:val="003F47CA"/>
    <w:rsid w:val="003F7EDB"/>
    <w:rsid w:val="00400329"/>
    <w:rsid w:val="00402E1D"/>
    <w:rsid w:val="004141D2"/>
    <w:rsid w:val="0042617D"/>
    <w:rsid w:val="00431459"/>
    <w:rsid w:val="00456AF4"/>
    <w:rsid w:val="00461F63"/>
    <w:rsid w:val="00481DC0"/>
    <w:rsid w:val="00494E21"/>
    <w:rsid w:val="004966D8"/>
    <w:rsid w:val="004A6750"/>
    <w:rsid w:val="004B0F0B"/>
    <w:rsid w:val="004B670F"/>
    <w:rsid w:val="004C1F3C"/>
    <w:rsid w:val="004C7C24"/>
    <w:rsid w:val="004E767D"/>
    <w:rsid w:val="00501022"/>
    <w:rsid w:val="005120B4"/>
    <w:rsid w:val="00523EFA"/>
    <w:rsid w:val="00525946"/>
    <w:rsid w:val="00533265"/>
    <w:rsid w:val="0055291B"/>
    <w:rsid w:val="00565F5F"/>
    <w:rsid w:val="00576EDD"/>
    <w:rsid w:val="005A2476"/>
    <w:rsid w:val="005A6B1B"/>
    <w:rsid w:val="005B32D9"/>
    <w:rsid w:val="005B7643"/>
    <w:rsid w:val="005D1CAE"/>
    <w:rsid w:val="005D4268"/>
    <w:rsid w:val="005D730E"/>
    <w:rsid w:val="005E6E4B"/>
    <w:rsid w:val="00601140"/>
    <w:rsid w:val="00620F42"/>
    <w:rsid w:val="00621D08"/>
    <w:rsid w:val="00626C53"/>
    <w:rsid w:val="0063714F"/>
    <w:rsid w:val="006609A9"/>
    <w:rsid w:val="006730DB"/>
    <w:rsid w:val="006B1FB3"/>
    <w:rsid w:val="006B1FE5"/>
    <w:rsid w:val="006C700C"/>
    <w:rsid w:val="006D3B9C"/>
    <w:rsid w:val="006E40F4"/>
    <w:rsid w:val="007004FB"/>
    <w:rsid w:val="00713899"/>
    <w:rsid w:val="0072270D"/>
    <w:rsid w:val="00724D60"/>
    <w:rsid w:val="00732A1E"/>
    <w:rsid w:val="00766784"/>
    <w:rsid w:val="007704AA"/>
    <w:rsid w:val="00783508"/>
    <w:rsid w:val="00792C51"/>
    <w:rsid w:val="007A2FB5"/>
    <w:rsid w:val="007F001B"/>
    <w:rsid w:val="007F3488"/>
    <w:rsid w:val="007F3795"/>
    <w:rsid w:val="007F4A56"/>
    <w:rsid w:val="007F5F5E"/>
    <w:rsid w:val="0080218A"/>
    <w:rsid w:val="008030E5"/>
    <w:rsid w:val="00807C11"/>
    <w:rsid w:val="0082101D"/>
    <w:rsid w:val="0083786F"/>
    <w:rsid w:val="00850D2D"/>
    <w:rsid w:val="00872B5A"/>
    <w:rsid w:val="00884D16"/>
    <w:rsid w:val="00891418"/>
    <w:rsid w:val="00894236"/>
    <w:rsid w:val="008B1905"/>
    <w:rsid w:val="008B1C86"/>
    <w:rsid w:val="008B4431"/>
    <w:rsid w:val="008B5A97"/>
    <w:rsid w:val="008C4E79"/>
    <w:rsid w:val="008F24FB"/>
    <w:rsid w:val="009216F5"/>
    <w:rsid w:val="00937789"/>
    <w:rsid w:val="009426DD"/>
    <w:rsid w:val="00983F10"/>
    <w:rsid w:val="009A52E4"/>
    <w:rsid w:val="009A5735"/>
    <w:rsid w:val="009B0854"/>
    <w:rsid w:val="009B116D"/>
    <w:rsid w:val="009B6957"/>
    <w:rsid w:val="009D4AEB"/>
    <w:rsid w:val="009E0B0F"/>
    <w:rsid w:val="009E724C"/>
    <w:rsid w:val="009F0C84"/>
    <w:rsid w:val="00A06E4A"/>
    <w:rsid w:val="00A13E7F"/>
    <w:rsid w:val="00A156E5"/>
    <w:rsid w:val="00A206E6"/>
    <w:rsid w:val="00A30326"/>
    <w:rsid w:val="00A307DF"/>
    <w:rsid w:val="00A31243"/>
    <w:rsid w:val="00A4149F"/>
    <w:rsid w:val="00A5051D"/>
    <w:rsid w:val="00A52A8D"/>
    <w:rsid w:val="00A86465"/>
    <w:rsid w:val="00A956F3"/>
    <w:rsid w:val="00AC1D19"/>
    <w:rsid w:val="00AC20AA"/>
    <w:rsid w:val="00AD1EBA"/>
    <w:rsid w:val="00B21A73"/>
    <w:rsid w:val="00B53C33"/>
    <w:rsid w:val="00B62A95"/>
    <w:rsid w:val="00B70706"/>
    <w:rsid w:val="00B73133"/>
    <w:rsid w:val="00B9736B"/>
    <w:rsid w:val="00BC0B72"/>
    <w:rsid w:val="00BD728A"/>
    <w:rsid w:val="00BE464E"/>
    <w:rsid w:val="00BF1127"/>
    <w:rsid w:val="00C06D40"/>
    <w:rsid w:val="00C13591"/>
    <w:rsid w:val="00C24197"/>
    <w:rsid w:val="00C6007E"/>
    <w:rsid w:val="00C81538"/>
    <w:rsid w:val="00CA0C31"/>
    <w:rsid w:val="00CB00D1"/>
    <w:rsid w:val="00CE49C8"/>
    <w:rsid w:val="00CF2EB7"/>
    <w:rsid w:val="00CF3238"/>
    <w:rsid w:val="00D05864"/>
    <w:rsid w:val="00D1629E"/>
    <w:rsid w:val="00D2322D"/>
    <w:rsid w:val="00D25179"/>
    <w:rsid w:val="00D31730"/>
    <w:rsid w:val="00D50A1A"/>
    <w:rsid w:val="00D55B91"/>
    <w:rsid w:val="00D63F73"/>
    <w:rsid w:val="00D76F30"/>
    <w:rsid w:val="00D95682"/>
    <w:rsid w:val="00DA6BCE"/>
    <w:rsid w:val="00DB40A8"/>
    <w:rsid w:val="00DC279E"/>
    <w:rsid w:val="00DD07BD"/>
    <w:rsid w:val="00DD5E46"/>
    <w:rsid w:val="00DD651A"/>
    <w:rsid w:val="00DE3210"/>
    <w:rsid w:val="00E021A8"/>
    <w:rsid w:val="00E11044"/>
    <w:rsid w:val="00E1283F"/>
    <w:rsid w:val="00E26791"/>
    <w:rsid w:val="00E433CA"/>
    <w:rsid w:val="00EA7A5B"/>
    <w:rsid w:val="00EB00DC"/>
    <w:rsid w:val="00ED41B7"/>
    <w:rsid w:val="00EE11B4"/>
    <w:rsid w:val="00EE46B5"/>
    <w:rsid w:val="00EF0412"/>
    <w:rsid w:val="00F01BE6"/>
    <w:rsid w:val="00F1064A"/>
    <w:rsid w:val="00F135F4"/>
    <w:rsid w:val="00F41659"/>
    <w:rsid w:val="00F47A09"/>
    <w:rsid w:val="00F54A86"/>
    <w:rsid w:val="00F57395"/>
    <w:rsid w:val="00F82094"/>
    <w:rsid w:val="00FA16D5"/>
    <w:rsid w:val="00FD2D6F"/>
    <w:rsid w:val="00FD5438"/>
    <w:rsid w:val="00FE6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CF2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44151"/>
    <w:rPr>
      <w:sz w:val="16"/>
      <w:szCs w:val="16"/>
    </w:rPr>
  </w:style>
  <w:style w:type="character" w:customStyle="1" w:styleId="CommentTextChar">
    <w:name w:val="Comment Text Char"/>
    <w:basedOn w:val="DefaultParagraphFont"/>
    <w:link w:val="CommentText"/>
    <w:uiPriority w:val="99"/>
    <w:semiHidden/>
    <w:qFormat/>
    <w:rsid w:val="00B44151"/>
    <w:rPr>
      <w:sz w:val="20"/>
      <w:szCs w:val="20"/>
    </w:rPr>
  </w:style>
  <w:style w:type="character" w:customStyle="1" w:styleId="CommentSubjectChar">
    <w:name w:val="Comment Subject Char"/>
    <w:basedOn w:val="CommentTextChar"/>
    <w:link w:val="CommentSubject"/>
    <w:uiPriority w:val="99"/>
    <w:semiHidden/>
    <w:qFormat/>
    <w:rsid w:val="00B44151"/>
    <w:rPr>
      <w:b/>
      <w:bCs/>
      <w:sz w:val="20"/>
      <w:szCs w:val="20"/>
    </w:rPr>
  </w:style>
  <w:style w:type="character" w:customStyle="1" w:styleId="BalloonTextChar">
    <w:name w:val="Balloon Text Char"/>
    <w:basedOn w:val="DefaultParagraphFont"/>
    <w:link w:val="BalloonText"/>
    <w:uiPriority w:val="99"/>
    <w:semiHidden/>
    <w:qFormat/>
    <w:rsid w:val="00B44151"/>
    <w:rPr>
      <w:rFonts w:ascii="Segoe UI" w:hAnsi="Segoe UI" w:cs="Segoe UI"/>
      <w:sz w:val="18"/>
      <w:szCs w:val="18"/>
    </w:rPr>
  </w:style>
  <w:style w:type="character" w:customStyle="1" w:styleId="EndnoteTextChar">
    <w:name w:val="Endnote Text Char"/>
    <w:basedOn w:val="DefaultParagraphFont"/>
    <w:link w:val="EndnoteText"/>
    <w:uiPriority w:val="99"/>
    <w:semiHidden/>
    <w:qFormat/>
    <w:rsid w:val="00B53CD9"/>
    <w:rPr>
      <w:sz w:val="20"/>
      <w:szCs w:val="20"/>
    </w:rPr>
  </w:style>
  <w:style w:type="character" w:styleId="EndnoteReference">
    <w:name w:val="endnote reference"/>
    <w:basedOn w:val="DefaultParagraphFont"/>
    <w:uiPriority w:val="99"/>
    <w:semiHidden/>
    <w:unhideWhenUsed/>
    <w:qFormat/>
    <w:rsid w:val="00B53CD9"/>
    <w:rPr>
      <w:vertAlign w:val="superscript"/>
    </w:rPr>
  </w:style>
  <w:style w:type="character" w:customStyle="1" w:styleId="FootnoteTextChar">
    <w:name w:val="Footnote Text Char"/>
    <w:basedOn w:val="DefaultParagraphFont"/>
    <w:link w:val="FootnoteText"/>
    <w:uiPriority w:val="99"/>
    <w:semiHidden/>
    <w:qFormat/>
    <w:rsid w:val="00646044"/>
    <w:rPr>
      <w:sz w:val="20"/>
      <w:szCs w:val="20"/>
    </w:rPr>
  </w:style>
  <w:style w:type="character" w:styleId="FootnoteReference">
    <w:name w:val="footnote reference"/>
    <w:basedOn w:val="DefaultParagraphFont"/>
    <w:uiPriority w:val="99"/>
    <w:semiHidden/>
    <w:unhideWhenUsed/>
    <w:qFormat/>
    <w:rsid w:val="00646044"/>
    <w:rPr>
      <w:vertAlign w:val="superscript"/>
    </w:rPr>
  </w:style>
  <w:style w:type="character" w:customStyle="1" w:styleId="ListLabel1">
    <w:name w:val="ListLabel 1"/>
    <w:qFormat/>
    <w:rPr>
      <w:rFonts w:eastAsia="Calibri" w:cs="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ListLabel5">
    <w:name w:val="ListLabel 5"/>
    <w:qFormat/>
    <w:rPr>
      <w:rFonts w:cs="Calibri"/>
      <w:b/>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36065"/>
    <w:pPr>
      <w:ind w:left="720"/>
      <w:contextualSpacing/>
    </w:pPr>
  </w:style>
  <w:style w:type="paragraph" w:styleId="CommentText">
    <w:name w:val="annotation text"/>
    <w:basedOn w:val="Normal"/>
    <w:link w:val="CommentTextChar"/>
    <w:uiPriority w:val="99"/>
    <w:semiHidden/>
    <w:unhideWhenUsed/>
    <w:qFormat/>
    <w:rsid w:val="00B4415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44151"/>
    <w:rPr>
      <w:b/>
      <w:bCs/>
    </w:rPr>
  </w:style>
  <w:style w:type="paragraph" w:styleId="BalloonText">
    <w:name w:val="Balloon Text"/>
    <w:basedOn w:val="Normal"/>
    <w:link w:val="BalloonTextChar"/>
    <w:uiPriority w:val="99"/>
    <w:semiHidden/>
    <w:unhideWhenUsed/>
    <w:qFormat/>
    <w:rsid w:val="00B44151"/>
    <w:pPr>
      <w:spacing w:after="0" w:line="240" w:lineRule="auto"/>
    </w:pPr>
    <w:rPr>
      <w:rFonts w:ascii="Segoe UI" w:hAnsi="Segoe UI" w:cs="Segoe UI"/>
      <w:sz w:val="18"/>
      <w:szCs w:val="18"/>
    </w:rPr>
  </w:style>
  <w:style w:type="paragraph" w:styleId="EndnoteText">
    <w:name w:val="endnote text"/>
    <w:basedOn w:val="Normal"/>
    <w:link w:val="EndnoteTextChar"/>
  </w:style>
  <w:style w:type="paragraph" w:styleId="FootnoteText">
    <w:name w:val="footnote text"/>
    <w:basedOn w:val="Normal"/>
    <w:link w:val="FootnoteTextChar"/>
  </w:style>
  <w:style w:type="paragraph" w:customStyle="1" w:styleId="EndnoteSymbol">
    <w:name w:val="Endnote Symbol"/>
    <w:basedOn w:val="Normal"/>
    <w:qFormat/>
  </w:style>
  <w:style w:type="character" w:styleId="Hyperlink">
    <w:name w:val="Hyperlink"/>
    <w:basedOn w:val="DefaultParagraphFont"/>
    <w:uiPriority w:val="99"/>
    <w:unhideWhenUsed/>
    <w:rsid w:val="008B1905"/>
    <w:rPr>
      <w:color w:val="0563C1" w:themeColor="hyperlink"/>
      <w:u w:val="single"/>
    </w:rPr>
  </w:style>
  <w:style w:type="character" w:styleId="FollowedHyperlink">
    <w:name w:val="FollowedHyperlink"/>
    <w:basedOn w:val="DefaultParagraphFont"/>
    <w:uiPriority w:val="99"/>
    <w:semiHidden/>
    <w:unhideWhenUsed/>
    <w:rsid w:val="0042617D"/>
    <w:rPr>
      <w:color w:val="954F72" w:themeColor="followedHyperlink"/>
      <w:u w:val="single"/>
    </w:rPr>
  </w:style>
  <w:style w:type="character" w:customStyle="1" w:styleId="Mention1">
    <w:name w:val="Mention1"/>
    <w:basedOn w:val="DefaultParagraphFont"/>
    <w:uiPriority w:val="99"/>
    <w:rsid w:val="00F135F4"/>
    <w:rPr>
      <w:color w:val="2B579A"/>
      <w:shd w:val="clear" w:color="auto" w:fill="E6E6E6"/>
    </w:rPr>
  </w:style>
  <w:style w:type="paragraph" w:styleId="Revision">
    <w:name w:val="Revision"/>
    <w:hidden/>
    <w:uiPriority w:val="99"/>
    <w:semiHidden/>
    <w:rsid w:val="00F1064A"/>
    <w:rPr>
      <w:color w:val="00000A"/>
      <w:sz w:val="22"/>
    </w:rPr>
  </w:style>
  <w:style w:type="character" w:customStyle="1" w:styleId="UnresolvedMention1">
    <w:name w:val="Unresolved Mention1"/>
    <w:basedOn w:val="DefaultParagraphFont"/>
    <w:uiPriority w:val="99"/>
    <w:semiHidden/>
    <w:unhideWhenUsed/>
    <w:rsid w:val="00CE49C8"/>
    <w:rPr>
      <w:color w:val="808080"/>
      <w:shd w:val="clear" w:color="auto" w:fill="E6E6E6"/>
    </w:rPr>
  </w:style>
  <w:style w:type="character" w:customStyle="1" w:styleId="UnresolvedMention">
    <w:name w:val="Unresolved Mention"/>
    <w:basedOn w:val="DefaultParagraphFont"/>
    <w:uiPriority w:val="99"/>
    <w:rsid w:val="00A414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502391">
      <w:bodyDiv w:val="1"/>
      <w:marLeft w:val="0"/>
      <w:marRight w:val="0"/>
      <w:marTop w:val="0"/>
      <w:marBottom w:val="0"/>
      <w:divBdr>
        <w:top w:val="none" w:sz="0" w:space="0" w:color="auto"/>
        <w:left w:val="none" w:sz="0" w:space="0" w:color="auto"/>
        <w:bottom w:val="none" w:sz="0" w:space="0" w:color="auto"/>
        <w:right w:val="none" w:sz="0" w:space="0" w:color="auto"/>
      </w:divBdr>
    </w:div>
    <w:div w:id="947614504">
      <w:bodyDiv w:val="1"/>
      <w:marLeft w:val="0"/>
      <w:marRight w:val="0"/>
      <w:marTop w:val="0"/>
      <w:marBottom w:val="0"/>
      <w:divBdr>
        <w:top w:val="none" w:sz="0" w:space="0" w:color="auto"/>
        <w:left w:val="none" w:sz="0" w:space="0" w:color="auto"/>
        <w:bottom w:val="none" w:sz="0" w:space="0" w:color="auto"/>
        <w:right w:val="none" w:sz="0" w:space="0" w:color="auto"/>
      </w:divBdr>
    </w:div>
    <w:div w:id="1414474691">
      <w:bodyDiv w:val="1"/>
      <w:marLeft w:val="0"/>
      <w:marRight w:val="0"/>
      <w:marTop w:val="0"/>
      <w:marBottom w:val="0"/>
      <w:divBdr>
        <w:top w:val="none" w:sz="0" w:space="0" w:color="auto"/>
        <w:left w:val="none" w:sz="0" w:space="0" w:color="auto"/>
        <w:bottom w:val="none" w:sz="0" w:space="0" w:color="auto"/>
        <w:right w:val="none" w:sz="0" w:space="0" w:color="auto"/>
      </w:divBdr>
    </w:div>
    <w:div w:id="1851985169">
      <w:bodyDiv w:val="1"/>
      <w:marLeft w:val="0"/>
      <w:marRight w:val="0"/>
      <w:marTop w:val="0"/>
      <w:marBottom w:val="0"/>
      <w:divBdr>
        <w:top w:val="none" w:sz="0" w:space="0" w:color="auto"/>
        <w:left w:val="none" w:sz="0" w:space="0" w:color="auto"/>
        <w:bottom w:val="none" w:sz="0" w:space="0" w:color="auto"/>
        <w:right w:val="none" w:sz="0" w:space="0" w:color="auto"/>
      </w:divBdr>
    </w:div>
    <w:div w:id="1996258797">
      <w:bodyDiv w:val="1"/>
      <w:marLeft w:val="0"/>
      <w:marRight w:val="0"/>
      <w:marTop w:val="0"/>
      <w:marBottom w:val="0"/>
      <w:divBdr>
        <w:top w:val="none" w:sz="0" w:space="0" w:color="auto"/>
        <w:left w:val="none" w:sz="0" w:space="0" w:color="auto"/>
        <w:bottom w:val="none" w:sz="0" w:space="0" w:color="auto"/>
        <w:right w:val="none" w:sz="0" w:space="0" w:color="auto"/>
      </w:divBdr>
    </w:div>
    <w:div w:id="200438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ho.int/nutrition/healthygrowthproj_stunted_videos/en/" TargetMode="External"/><Relationship Id="rId20" Type="http://schemas.openxmlformats.org/officeDocument/2006/relationships/theme" Target="theme/theme1.xml"/><Relationship Id="rId10" Type="http://schemas.openxmlformats.org/officeDocument/2006/relationships/hyperlink" Target="http://onlinelibrary.wiley.com/doi/10.1111/mcn.12080/full" TargetMode="External"/><Relationship Id="rId11" Type="http://schemas.openxmlformats.org/officeDocument/2006/relationships/hyperlink" Target="https://www.ncbi.nlm.nih.gov/pubmed/23426036"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yperlink" Target="http://www.pmujjwalayojana.in/" TargetMode="External"/><Relationship Id="rId15" Type="http://schemas.openxmlformats.org/officeDocument/2006/relationships/image" Target="media/image3.jpeg"/><Relationship Id="rId16" Type="http://schemas.openxmlformats.org/officeDocument/2006/relationships/hyperlink" Target="https://rawgit.com/prateek149/data_visualization/master/air_pollution_stunting/stunting_fuel_venting.html" TargetMode="External"/><Relationship Id="rId17" Type="http://schemas.openxmlformats.org/officeDocument/2006/relationships/hyperlink" Target="https://epod.cid.harvard.edu" TargetMode="External"/><Relationship Id="rId18" Type="http://schemas.openxmlformats.org/officeDocument/2006/relationships/hyperlink" Target="https://epod.cid.harvard.edu/india"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ho.int/mediacentre/factsheets/fs29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4F520-32C8-044D-B355-BDF0EC76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dc:creator>
  <cp:keywords/>
  <dc:description/>
  <cp:lastModifiedBy>prateek</cp:lastModifiedBy>
  <cp:revision>2</cp:revision>
  <dcterms:created xsi:type="dcterms:W3CDTF">2017-10-08T16:45:00Z</dcterms:created>
  <dcterms:modified xsi:type="dcterms:W3CDTF">2017-10-08T16:45:00Z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