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uskntp2yj4m" w:id="0"/>
      <w:bookmarkEnd w:id="0"/>
      <w:r w:rsidDel="00000000" w:rsidR="00000000" w:rsidRPr="00000000">
        <w:rPr>
          <w:rtl w:val="0"/>
        </w:rPr>
        <w:t xml:space="preserve">MTP Performance Report</w:t>
      </w:r>
    </w:p>
    <w:p w:rsidR="00000000" w:rsidDel="00000000" w:rsidP="00000000" w:rsidRDefault="00000000" w:rsidRPr="00000000" w14:paraId="00000002">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 - Design aspects of lithium-ion batteries for electric vehicles.</w:t>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Supervisor - Dr Pattabhi Ramaiah</w:t>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data analysis on the temperatures of various Indian cities was done. The data was collected from the WORLD METEOROLOGICAL ORGANIZATION. Climatological information was based on monthly averages for the 48-year period 1953-2000. Data analysis was done with the help of the programming language, Python.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Afterwards, a thorough literature survey is being done. Some of the highlights have been presented below.</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Li-ion is considered to be one of the most sophisticated pieces of technology in energy storage right now. It is also the most commercialized technology for its cost to performance ratio.</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we call Li-ion is a family of chemistries. They differ by Cathode material (mostly) or by Anode material. There are major variations that should be included in the Li-ion family or not is debatable, and then there are minor or very custom variations made for very specific purposes. The most common chemistries which are well known and commercialized by multiple companies are:</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NMC (Nickel Manganese Cobalt)</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LFP (Lithium Ferro Phosphate or Lithium Iron Phosphate)</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NCA (Nickel Cobalt Aluminium Oxide)</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LMO (Lithium Manganese Oxide)</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LCO (Lithium Cobalt Oxide)</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Li-ion cell is made of:</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Cathode: NMC, LFP, LMO, NCA, or LCO</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Anode: Carbon (In Graphite form) or LTO</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Separator: Ceramic or similar material</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Electrolyte: Lithium salt (e.g. LiPF6), in organic solvent (e.g. Ethylene Carbonate)</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Collectors: Aluminium and Copper.</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summary of all the common chemistries has been presented below in a tabular form.</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Density</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(Wh/kg)</w:t>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Cyclability</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(Cycles)</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maturity,</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Low-self discharge,</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discharge voltage</w:t>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cost,</w:t>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inherent safety</w:t>
            </w:r>
          </w:p>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inherent safety,</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Cobalt-free</w:t>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energy density</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inherent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energy density</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cobalt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fade at</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elevated temperature</w:t>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cobalt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issues in</w:t>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Ni-rich batteries</w:t>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I am working towards estimating the influence of cathode materials on the power output characteristics of Lithium-ion batteries. The factors influencing the crack formation and growth in Lithium ions, as well as the cathode material. The simulation of crack growth and hence the performance characteristics will be estimated through molecular dynamics simulations using Large-scale Atomic/Molecular Massively Parallel Simulator (LAMMPS). </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Prateek Gandhi</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20SD06011</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MTech</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Mechanical Systems Design</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