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3a5c"/>
          <w:sz w:val="32"/>
          <w:szCs w:val="32"/>
        </w:rPr>
        <w:t xml:space="preserve">Lab 3 – Architectural Justification</w:t>
      </w:r>
    </w:p>
    <w:p>
      <w:pPr>
        <w:pBdr>
          <w:bottom w:val="single" w:color="999999" w:sz="6" w:space="4"/>
        </w:pBdr>
        <w:spacing w:after="240"/>
        <w:jc w:val="center"/>
      </w:pPr>
      <w:r>
        <w:rPr>
          <w:i/>
          <w:iCs/>
          <w:color w:val="555555"/>
          <w:sz w:val="22"/>
          <w:szCs w:val="22"/>
        </w:rPr>
        <w:t xml:space="preserve">Problem Statement #33 – Micro-Lending &amp; Peer Credit Risk Assessor</w:t>
      </w:r>
    </w:p>
    <w:p>
      <w:pPr>
        <w:spacing w:after="100" w:before="160"/>
      </w:pPr>
      <w:r>
        <w:rPr>
          <w:b/>
          <w:bCs/>
          <w:color w:val="1a3a5c"/>
          <w:sz w:val="22"/>
          <w:szCs w:val="22"/>
        </w:rPr>
        <w:t xml:space="preserve">Architecture Selection</w:t>
      </w:r>
    </w:p>
    <w:p>
      <w:pPr>
        <w:spacing w:after="160" w:line="276"/>
      </w:pPr>
      <w:r>
        <w:rPr>
          <w:sz w:val="22"/>
          <w:szCs w:val="22"/>
        </w:rPr>
        <w:t xml:space="preserve">We chose Layered Architecture for the Micro-Lending &amp; Peer Credit Risk Assessor system. The system is organised into three horizontal layers: a Presentation layer that handles borrower and peer-lender interactions, a Business layer that hosts the credit risk-scoring logic, repayment-schedule generation and default-alerting rules, and a Data layer that persists borrower financial profiles and loan transactions.</w:t>
      </w:r>
    </w:p>
    <w:p>
      <w:pPr>
        <w:spacing w:after="100" w:before="160"/>
      </w:pPr>
      <w:r>
        <w:rPr>
          <w:b/>
          <w:bCs/>
          <w:color w:val="1a3a5c"/>
          <w:sz w:val="22"/>
          <w:szCs w:val="22"/>
        </w:rPr>
        <w:t xml:space="preserve">Reason 1 – Isolation of Evolving Business Rules</w:t>
      </w:r>
    </w:p>
    <w:p>
      <w:pPr>
        <w:spacing w:after="160" w:line="276"/>
      </w:pPr>
      <w:r>
        <w:rPr>
          <w:sz w:val="22"/>
          <w:szCs w:val="22"/>
        </w:rPr>
        <w:t xml:space="preserve">The heuristic rules used to compute a borrower's risk tier (debt-to-income ratio, repayment history, employment stability) are the part of the system most likely to change as lending policy matures. Confining this logic to a dedicated Risk Assessment Engine component within the Business layer means these rules can be revised or re-tuned without touching the Presentation layer's borrower/lender UI or the underlying data schema, keeping change confined and low-risk.</w:t>
      </w:r>
    </w:p>
    <w:p>
      <w:pPr>
        <w:spacing w:after="100" w:before="160"/>
      </w:pPr>
      <w:r>
        <w:rPr>
          <w:b/>
          <w:bCs/>
          <w:color w:val="1a3a5c"/>
          <w:sz w:val="22"/>
          <w:szCs w:val="22"/>
        </w:rPr>
        <w:t xml:space="preserve">Reason 2 – Controlled, Auditable Access to Financial Data</w:t>
      </w:r>
    </w:p>
    <w:p>
      <w:pPr>
        <w:spacing w:after="160" w:line="276"/>
      </w:pPr>
      <w:r>
        <w:rPr>
          <w:sz w:val="22"/>
          <w:szCs w:val="22"/>
        </w:rPr>
        <w:t xml:space="preserve">A peer-to-peer lending platform must guarantee that every loan record, repayment schedule and EMI distribution is written consistently. Routing all such writes through a single Data layer, rather than letting the UI or business logic touch the database directly as in a simple client-server split, gives the platform one place to enforce transactional integrity and audit trails across the whole system.</w:t>
      </w:r>
    </w:p>
    <w:p>
      <w:pPr>
        <w:spacing w:after="100" w:before="160"/>
      </w:pPr>
      <w:r>
        <w:rPr>
          <w:b/>
          <w:bCs/>
          <w:color w:val="1a3a5c"/>
          <w:sz w:val="22"/>
          <w:szCs w:val="22"/>
        </w:rPr>
        <w:t xml:space="preserve">Security Advantage</w:t>
      </w:r>
    </w:p>
    <w:p>
      <w:pPr>
        <w:spacing w:after="160" w:line="276"/>
      </w:pPr>
      <w:r>
        <w:rPr>
          <w:sz w:val="22"/>
          <w:szCs w:val="22"/>
        </w:rPr>
        <w:t xml:space="preserve">Because only Business-layer components (Risk Assessment Engine, Loan Management) may call the Database component's interfaces, the borrower/lender-facing User Interface component never has direct database access. Every financial request is validated and authorised by the Business layer first, which shrinks the attack surface for injection or unauthorised data tampering and keeps borrower financial profiles behind a controlled interface boundary.</w:t>
      </w:r>
    </w:p>
    <w:p>
      <w:pPr>
        <w:spacing w:after="100" w:before="160"/>
      </w:pPr>
      <w:r>
        <w:rPr>
          <w:b/>
          <w:bCs/>
          <w:color w:val="1a3a5c"/>
          <w:sz w:val="22"/>
          <w:szCs w:val="22"/>
        </w:rPr>
        <w:t xml:space="preserve">Performance Benefit</w:t>
      </w:r>
    </w:p>
    <w:p>
      <w:pPr>
        <w:spacing w:after="160" w:line="276"/>
      </w:pPr>
      <w:r>
        <w:rPr>
          <w:sz w:val="22"/>
          <w:szCs w:val="22"/>
        </w:rPr>
        <w:t xml:space="preserve">Separating the Loan Management component (which generates repayment schedules and triggers EMI/default processing) from the Risk Assessment Engine (which performs heuristic scoring) lets each be tuned, and if needed cached, independently — a borrower's computed risk tier can be reused across multiple repayment-schedule calculations instead of being recomputed on every request. Combined with a dedicated Data layer optimised for indexing and connection pooling, this separation helps the platform meet the latency targets required for repayment transactions to complete correctly even under peak load, in line with the system's requirement for ACID-compliant transactions that prevent double-spending.</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2026-09-13T05:23:00.122Z</dcterms:created>
  <dcterms:modified xsi:type="dcterms:W3CDTF">2026-09-13T05:23:00.131Z</dcterms:modified>
</cp:coreProperties>
</file>

<file path=docProps/custom.xml><?xml version="1.0" encoding="utf-8"?>
<Properties xmlns="http://schemas.openxmlformats.org/officeDocument/2006/custom-properties" xmlns:vt="http://schemas.openxmlformats.org/officeDocument/2006/docPropsVTypes"/>
</file>