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1F3A5F"/>
          <w:sz w:val="52"/>
          <w:szCs w:val="52"/>
        </w:rPr>
        <w:t xml:space="preserve">QUANTITATIVE FOUNDATIONS</w:t>
      </w:r>
    </w:p>
    <w:p>
      <w:pPr>
        <w:spacing w:after="140"/>
      </w:pPr>
      <w:r>
        <w:rPr>
          <w:rFonts w:ascii="Calibri" w:cs="Calibri" w:eastAsia="Calibri" w:hAnsi="Calibri"/>
          <w:color w:val="0B0B0B"/>
          <w:sz w:val="30"/>
          <w:szCs w:val="30"/>
        </w:rPr>
        <w:t xml:space="preserve">Mathematical specification of the alpha families and the repo-wide machinery</w:t>
      </w:r>
    </w:p>
    <w:p>
      <w:pPr>
        <w:spacing w:after="700"/>
      </w:pPr>
      <w:r>
        <w:rPr>
          <w:rFonts w:ascii="Calibri" w:cs="Calibri" w:eastAsia="Calibri" w:hAnsi="Calibri"/>
          <w:i/>
          <w:iCs/>
          <w:color w:val="52514E"/>
          <w:sz w:val="21"/>
          <w:szCs w:val="21"/>
        </w:rPr>
        <w:t xml:space="preserve">Companion to the Meta-Algorithm Blueprint (v1.0) and IMPLEMENTATION.md — models, estimators, derived trading rules, hypothesis tests and reference code for F1–F10; probability setting, panel inference, factor structure, portfolio choice under costs, turnover calculus, multiplicity statistics, sequential monitoring, execution mathematics. Doctrine: no construct without a stated model, no rule without an objective, no claim without a test.</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2166"/>
        <w:gridCol w:w="6860"/>
      </w:tblGrid>
      <w:tr>
        <w:trPr>
          <w:tblHeader/>
        </w:trPr>
        <w:tc>
          <w:tcPr>
            <w:tcW w:type="dxa" w:w="2166"/>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Field</w:t>
            </w:r>
          </w:p>
        </w:tc>
        <w:tc>
          <w:tcPr>
            <w:tcW w:type="dxa" w:w="6860"/>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8"/>
                <w:szCs w:val="18"/>
              </w:rPr>
              <w:t xml:space="preserve">Value</w:t>
            </w:r>
          </w:p>
        </w:tc>
      </w:tr>
      <w:tr>
        <w:tc>
          <w:tcPr>
            <w:tcW w:type="dxa" w:w="216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Prepared for</w:t>
            </w:r>
          </w:p>
        </w:tc>
        <w:tc>
          <w:tcPr>
            <w:tcW w:type="dxa" w:w="686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Prateek Rastogi — personal quantitative trading program</w:t>
            </w:r>
          </w:p>
        </w:tc>
      </w:tr>
      <w:tr>
        <w:tc>
          <w:tcPr>
            <w:tcW w:type="dxa" w:w="216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Version / date</w:t>
            </w:r>
          </w:p>
        </w:tc>
        <w:tc>
          <w:tcPr>
            <w:tcW w:type="dxa" w:w="686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1.0 · August 27, 2026</w:t>
            </w:r>
          </w:p>
        </w:tc>
      </w:tr>
      <w:tr>
        <w:tc>
          <w:tcPr>
            <w:tcW w:type="dxa" w:w="216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Relation to other docs</w:t>
            </w:r>
          </w:p>
        </w:tc>
        <w:tc>
          <w:tcPr>
            <w:tcW w:type="dxa" w:w="686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Blueprint = what &amp; why · IMPLEMENTATION.md = build plan &amp; contracts · this document = the mathematics both rest on</w:t>
            </w:r>
          </w:p>
        </w:tc>
      </w:tr>
      <w:tr>
        <w:tc>
          <w:tcPr>
            <w:tcW w:type="dxa" w:w="216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Enforcement</w:t>
            </w:r>
          </w:p>
        </w:tc>
        <w:tc>
          <w:tcPr>
            <w:tcW w:type="dxa" w:w="686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§12 maps every result to its module and its CI tests; the no-voodoo charter (§1.2) governs all future additions</w:t>
            </w:r>
          </w:p>
        </w:tc>
      </w:tr>
      <w:tr>
        <w:tc>
          <w:tcPr>
            <w:tcW w:type="dxa" w:w="216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Note</w:t>
            </w:r>
          </w:p>
        </w:tc>
        <w:tc>
          <w:tcPr>
            <w:tcW w:type="dxa" w:w="686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8"/>
                <w:szCs w:val="18"/>
              </w:rPr>
              <w:t xml:space="preserve">Research mathematics; not investment advice. Cited results are public literature; estimated constants carry refit schedules.</w:t>
            </w:r>
          </w:p>
        </w:tc>
      </w:tr>
    </w:tbl>
    <w:p>
      <w:r>
        <w:br w:type="page"/>
      </w:r>
    </w:p>
    <w:p>
      <w:pPr>
        <w:spacing w:after="260"/>
      </w:pPr>
      <w:r>
        <w:rPr>
          <w:rFonts w:ascii="Calibri" w:cs="Calibri" w:eastAsia="Calibri" w:hAnsi="Calibri"/>
          <w:b/>
          <w:bCs/>
          <w:color w:val="1F3A5F"/>
          <w:sz w:val="30"/>
          <w:szCs w:val="30"/>
        </w:rPr>
        <w:t xml:space="preserve">Contents</w:t>
      </w:r>
    </w:p>
    <w:p>
      <w:pPr>
        <w:spacing w:after="60" w:before="160"/>
      </w:pPr>
      <w:r>
        <w:rPr>
          <w:rFonts w:ascii="Calibri" w:cs="Calibri" w:eastAsia="Calibri" w:hAnsi="Calibri"/>
          <w:b/>
          <w:bCs/>
          <w:color w:val="1F3A5F"/>
          <w:sz w:val="22"/>
          <w:szCs w:val="22"/>
        </w:rPr>
        <w:t xml:space="preserve">Part I — </w:t>
      </w:r>
      <w:r>
        <w:rPr>
          <w:rFonts w:ascii="Calibri" w:cs="Calibri" w:eastAsia="Calibri" w:hAnsi="Calibri"/>
          <w:b/>
          <w:bCs/>
          <w:color w:val="0B0B0B"/>
          <w:sz w:val="22"/>
          <w:szCs w:val="22"/>
        </w:rPr>
        <w:t xml:space="preserve">Repo-wide mathematical machinery</w:t>
      </w:r>
    </w:p>
    <w:p>
      <w:pPr>
        <w:spacing w:after="110" w:before="0"/>
      </w:pPr>
      <w:r>
        <w:rPr>
          <w:rFonts w:ascii="Calibri" w:cs="Calibri" w:eastAsia="Calibri" w:hAnsi="Calibri"/>
          <w:b/>
          <w:bCs/>
          <w:color w:val="1F5CA8"/>
          <w:sz w:val="21"/>
          <w:szCs w:val="21"/>
        </w:rPr>
        <w:t xml:space="preserve">1   </w:t>
      </w:r>
      <w:r>
        <w:rPr>
          <w:rFonts w:ascii="Calibri" w:cs="Calibri" w:eastAsia="Calibri" w:hAnsi="Calibri"/>
          <w:b w:val="false"/>
          <w:bCs w:val="false"/>
          <w:color w:val="0B0B0B"/>
          <w:sz w:val="21"/>
          <w:szCs w:val="21"/>
        </w:rPr>
        <w:t xml:space="preserve">Setting, notation, and the no-voodoo charter</w:t>
      </w:r>
    </w:p>
    <w:p>
      <w:pPr>
        <w:spacing w:after="110" w:before="0"/>
      </w:pPr>
      <w:r>
        <w:rPr>
          <w:rFonts w:ascii="Calibri" w:cs="Calibri" w:eastAsia="Calibri" w:hAnsi="Calibri"/>
          <w:b/>
          <w:bCs/>
          <w:color w:val="1F5CA8"/>
          <w:sz w:val="21"/>
          <w:szCs w:val="21"/>
        </w:rPr>
        <w:t xml:space="preserve">2   </w:t>
      </w:r>
      <w:r>
        <w:rPr>
          <w:rFonts w:ascii="Calibri" w:cs="Calibri" w:eastAsia="Calibri" w:hAnsi="Calibri"/>
          <w:b w:val="false"/>
          <w:bCs w:val="false"/>
          <w:color w:val="0B0B0B"/>
          <w:sz w:val="21"/>
          <w:szCs w:val="21"/>
        </w:rPr>
        <w:t xml:space="preserve">Panel inference infrastructure</w:t>
      </w:r>
    </w:p>
    <w:p>
      <w:pPr>
        <w:spacing w:after="110" w:before="0"/>
      </w:pPr>
      <w:r>
        <w:rPr>
          <w:rFonts w:ascii="Calibri" w:cs="Calibri" w:eastAsia="Calibri" w:hAnsi="Calibri"/>
          <w:b/>
          <w:bCs/>
          <w:color w:val="1F5CA8"/>
          <w:sz w:val="21"/>
          <w:szCs w:val="21"/>
        </w:rPr>
        <w:t xml:space="preserve">3   </w:t>
      </w:r>
      <w:r>
        <w:rPr>
          <w:rFonts w:ascii="Calibri" w:cs="Calibri" w:eastAsia="Calibri" w:hAnsi="Calibri"/>
          <w:b w:val="false"/>
          <w:bCs w:val="false"/>
          <w:color w:val="0B0B0B"/>
          <w:sz w:val="21"/>
          <w:szCs w:val="21"/>
        </w:rPr>
        <w:t xml:space="preserve">Factor structure and residualization</w:t>
      </w:r>
    </w:p>
    <w:p>
      <w:pPr>
        <w:spacing w:after="110" w:before="0"/>
      </w:pPr>
      <w:r>
        <w:rPr>
          <w:rFonts w:ascii="Calibri" w:cs="Calibri" w:eastAsia="Calibri" w:hAnsi="Calibri"/>
          <w:b/>
          <w:bCs/>
          <w:color w:val="1F5CA8"/>
          <w:sz w:val="21"/>
          <w:szCs w:val="21"/>
        </w:rPr>
        <w:t xml:space="preserve">4   </w:t>
      </w:r>
      <w:r>
        <w:rPr>
          <w:rFonts w:ascii="Calibri" w:cs="Calibri" w:eastAsia="Calibri" w:hAnsi="Calibri"/>
          <w:b w:val="false"/>
          <w:bCs w:val="false"/>
          <w:color w:val="0B0B0B"/>
          <w:sz w:val="21"/>
          <w:szCs w:val="21"/>
        </w:rPr>
        <w:t xml:space="preserve">From score to expected return: calibration</w:t>
      </w:r>
    </w:p>
    <w:p>
      <w:pPr>
        <w:spacing w:after="110" w:before="0"/>
      </w:pPr>
      <w:r>
        <w:rPr>
          <w:rFonts w:ascii="Calibri" w:cs="Calibri" w:eastAsia="Calibri" w:hAnsi="Calibri"/>
          <w:b/>
          <w:bCs/>
          <w:color w:val="1F5CA8"/>
          <w:sz w:val="21"/>
          <w:szCs w:val="21"/>
        </w:rPr>
        <w:t xml:space="preserve">5   </w:t>
      </w:r>
      <w:r>
        <w:rPr>
          <w:rFonts w:ascii="Calibri" w:cs="Calibri" w:eastAsia="Calibri" w:hAnsi="Calibri"/>
          <w:b w:val="false"/>
          <w:bCs w:val="false"/>
          <w:color w:val="0B0B0B"/>
          <w:sz w:val="21"/>
          <w:szCs w:val="21"/>
        </w:rPr>
        <w:t xml:space="preserve">Portfolio choice under transaction costs</w:t>
      </w:r>
    </w:p>
    <w:p>
      <w:pPr>
        <w:spacing w:after="110" w:before="0"/>
      </w:pPr>
      <w:r>
        <w:rPr>
          <w:rFonts w:ascii="Calibri" w:cs="Calibri" w:eastAsia="Calibri" w:hAnsi="Calibri"/>
          <w:b/>
          <w:bCs/>
          <w:color w:val="1F5CA8"/>
          <w:sz w:val="21"/>
          <w:szCs w:val="21"/>
        </w:rPr>
        <w:t xml:space="preserve">6   </w:t>
      </w:r>
      <w:r>
        <w:rPr>
          <w:rFonts w:ascii="Calibri" w:cs="Calibri" w:eastAsia="Calibri" w:hAnsi="Calibri"/>
          <w:b w:val="false"/>
          <w:bCs w:val="false"/>
          <w:color w:val="0B0B0B"/>
          <w:sz w:val="21"/>
          <w:szCs w:val="21"/>
        </w:rPr>
        <w:t xml:space="preserve">Turnover calculus (full derivations)</w:t>
      </w:r>
    </w:p>
    <w:p>
      <w:pPr>
        <w:spacing w:after="110" w:before="0"/>
      </w:pPr>
      <w:r>
        <w:rPr>
          <w:rFonts w:ascii="Calibri" w:cs="Calibri" w:eastAsia="Calibri" w:hAnsi="Calibri"/>
          <w:b/>
          <w:bCs/>
          <w:color w:val="1F5CA8"/>
          <w:sz w:val="21"/>
          <w:szCs w:val="21"/>
        </w:rPr>
        <w:t xml:space="preserve">7   </w:t>
      </w:r>
      <w:r>
        <w:rPr>
          <w:rFonts w:ascii="Calibri" w:cs="Calibri" w:eastAsia="Calibri" w:hAnsi="Calibri"/>
          <w:b w:val="false"/>
          <w:bCs w:val="false"/>
          <w:color w:val="0B0B0B"/>
          <w:sz w:val="21"/>
          <w:szCs w:val="21"/>
        </w:rPr>
        <w:t xml:space="preserve">Risk estimation</w:t>
      </w:r>
    </w:p>
    <w:p>
      <w:pPr>
        <w:spacing w:after="110" w:before="0"/>
      </w:pPr>
      <w:r>
        <w:rPr>
          <w:rFonts w:ascii="Calibri" w:cs="Calibri" w:eastAsia="Calibri" w:hAnsi="Calibri"/>
          <w:b/>
          <w:bCs/>
          <w:color w:val="1F5CA8"/>
          <w:sz w:val="21"/>
          <w:szCs w:val="21"/>
        </w:rPr>
        <w:t xml:space="preserve">8   </w:t>
      </w:r>
      <w:r>
        <w:rPr>
          <w:rFonts w:ascii="Calibri" w:cs="Calibri" w:eastAsia="Calibri" w:hAnsi="Calibri"/>
          <w:b w:val="false"/>
          <w:bCs w:val="false"/>
          <w:color w:val="0B0B0B"/>
          <w:sz w:val="21"/>
          <w:szCs w:val="21"/>
        </w:rPr>
        <w:t xml:space="preserve">Inference under massive search</w:t>
      </w:r>
    </w:p>
    <w:p>
      <w:pPr>
        <w:spacing w:after="110" w:before="0"/>
      </w:pPr>
      <w:r>
        <w:rPr>
          <w:rFonts w:ascii="Calibri" w:cs="Calibri" w:eastAsia="Calibri" w:hAnsi="Calibri"/>
          <w:b/>
          <w:bCs/>
          <w:color w:val="1F5CA8"/>
          <w:sz w:val="21"/>
          <w:szCs w:val="21"/>
        </w:rPr>
        <w:t xml:space="preserve">9   </w:t>
      </w:r>
      <w:r>
        <w:rPr>
          <w:rFonts w:ascii="Calibri" w:cs="Calibri" w:eastAsia="Calibri" w:hAnsi="Calibri"/>
          <w:b w:val="false"/>
          <w:bCs w:val="false"/>
          <w:color w:val="0B0B0B"/>
          <w:sz w:val="21"/>
          <w:szCs w:val="21"/>
        </w:rPr>
        <w:t xml:space="preserve">Sequential monitoring and alpha decay</w:t>
      </w:r>
    </w:p>
    <w:p>
      <w:pPr>
        <w:spacing w:after="110" w:before="0"/>
      </w:pPr>
      <w:r>
        <w:rPr>
          <w:rFonts w:ascii="Calibri" w:cs="Calibri" w:eastAsia="Calibri" w:hAnsi="Calibri"/>
          <w:b/>
          <w:bCs/>
          <w:color w:val="1F5CA8"/>
          <w:sz w:val="21"/>
          <w:szCs w:val="21"/>
        </w:rPr>
        <w:t xml:space="preserve">10   </w:t>
      </w:r>
      <w:r>
        <w:rPr>
          <w:rFonts w:ascii="Calibri" w:cs="Calibri" w:eastAsia="Calibri" w:hAnsi="Calibri"/>
          <w:b w:val="false"/>
          <w:bCs w:val="false"/>
          <w:color w:val="0B0B0B"/>
          <w:sz w:val="21"/>
          <w:szCs w:val="21"/>
        </w:rPr>
        <w:t xml:space="preserve">Execution mathematics</w:t>
      </w:r>
    </w:p>
    <w:p>
      <w:pPr>
        <w:spacing w:after="60" w:before="160"/>
      </w:pPr>
      <w:r>
        <w:rPr>
          <w:rFonts w:ascii="Calibri" w:cs="Calibri" w:eastAsia="Calibri" w:hAnsi="Calibri"/>
          <w:b/>
          <w:bCs/>
          <w:color w:val="1F3A5F"/>
          <w:sz w:val="22"/>
          <w:szCs w:val="22"/>
        </w:rPr>
        <w:t xml:space="preserve">Part II — </w:t>
      </w:r>
      <w:r>
        <w:rPr>
          <w:rFonts w:ascii="Calibri" w:cs="Calibri" w:eastAsia="Calibri" w:hAnsi="Calibri"/>
          <w:b/>
          <w:bCs/>
          <w:color w:val="0B0B0B"/>
          <w:sz w:val="22"/>
          <w:szCs w:val="22"/>
        </w:rPr>
        <w:t xml:space="preserve">Alpha specifications (per family)</w:t>
      </w:r>
    </w:p>
    <w:p>
      <w:pPr>
        <w:spacing w:after="110" w:before="0"/>
      </w:pPr>
      <w:r>
        <w:rPr>
          <w:rFonts w:ascii="Calibri" w:cs="Calibri" w:eastAsia="Calibri" w:hAnsi="Calibri"/>
          <w:b/>
          <w:bCs/>
          <w:color w:val="1F5CA8"/>
          <w:sz w:val="21"/>
          <w:szCs w:val="21"/>
        </w:rPr>
        <w:t xml:space="preserve">11   </w:t>
      </w:r>
      <w:r>
        <w:rPr>
          <w:rFonts w:ascii="Calibri" w:cs="Calibri" w:eastAsia="Calibri" w:hAnsi="Calibri"/>
          <w:b w:val="false"/>
          <w:bCs w:val="false"/>
          <w:color w:val="0B0B0B"/>
          <w:sz w:val="21"/>
          <w:szCs w:val="21"/>
        </w:rPr>
        <w:t xml:space="preserve">F1 momentum · F2 OU mean reversion · F3 TS momentum · F4 breakout · F5 gaps · F6 seasonality · F7 lead–lag · F8 events · F9 order flow · F10 pairs</w:t>
      </w:r>
    </w:p>
    <w:p>
      <w:pPr>
        <w:spacing w:after="60" w:before="160"/>
      </w:pPr>
      <w:r>
        <w:rPr>
          <w:rFonts w:ascii="Calibri" w:cs="Calibri" w:eastAsia="Calibri" w:hAnsi="Calibri"/>
          <w:b/>
          <w:bCs/>
          <w:color w:val="1F3A5F"/>
          <w:sz w:val="22"/>
          <w:szCs w:val="22"/>
        </w:rPr>
        <w:t xml:space="preserve">Part III — </w:t>
      </w:r>
      <w:r>
        <w:rPr>
          <w:rFonts w:ascii="Calibri" w:cs="Calibri" w:eastAsia="Calibri" w:hAnsi="Calibri"/>
          <w:b/>
          <w:bCs/>
          <w:color w:val="0B0B0B"/>
          <w:sz w:val="22"/>
          <w:szCs w:val="22"/>
        </w:rPr>
        <w:t xml:space="preserve">Governance of the mathematics</w:t>
      </w:r>
    </w:p>
    <w:p>
      <w:pPr>
        <w:spacing w:after="110" w:before="0"/>
      </w:pPr>
      <w:r>
        <w:rPr>
          <w:rFonts w:ascii="Calibri" w:cs="Calibri" w:eastAsia="Calibri" w:hAnsi="Calibri"/>
          <w:b/>
          <w:bCs/>
          <w:color w:val="1F5CA8"/>
          <w:sz w:val="21"/>
          <w:szCs w:val="21"/>
        </w:rPr>
        <w:t xml:space="preserve">12   </w:t>
      </w:r>
      <w:r>
        <w:rPr>
          <w:rFonts w:ascii="Calibri" w:cs="Calibri" w:eastAsia="Calibri" w:hAnsi="Calibri"/>
          <w:b w:val="false"/>
          <w:bCs w:val="false"/>
          <w:color w:val="0B0B0B"/>
          <w:sz w:val="21"/>
          <w:szCs w:val="21"/>
        </w:rPr>
        <w:t xml:space="preserve">Theory → module map (the anti-drift contract)</w:t>
      </w:r>
    </w:p>
    <w:p>
      <w:pPr>
        <w:spacing w:after="110" w:before="0"/>
      </w:pPr>
      <w:r>
        <w:rPr>
          <w:rFonts w:ascii="Calibri" w:cs="Calibri" w:eastAsia="Calibri" w:hAnsi="Calibri"/>
          <w:b/>
          <w:bCs/>
          <w:color w:val="1F5CA8"/>
          <w:sz w:val="21"/>
          <w:szCs w:val="21"/>
        </w:rPr>
        <w:t xml:space="preserve">13   </w:t>
      </w:r>
      <w:r>
        <w:rPr>
          <w:rFonts w:ascii="Calibri" w:cs="Calibri" w:eastAsia="Calibri" w:hAnsi="Calibri"/>
          <w:b w:val="false"/>
          <w:bCs w:val="false"/>
          <w:color w:val="0B0B0B"/>
          <w:sz w:val="21"/>
          <w:szCs w:val="21"/>
        </w:rPr>
        <w:t xml:space="preserve">Notation</w:t>
      </w:r>
    </w:p>
    <w:p>
      <w:pPr>
        <w:spacing w:after="110" w:before="0"/>
      </w:pPr>
      <w:r>
        <w:rPr>
          <w:rFonts w:ascii="Calibri" w:cs="Calibri" w:eastAsia="Calibri" w:hAnsi="Calibri"/>
          <w:b/>
          <w:bCs/>
          <w:color w:val="1F5CA8"/>
          <w:sz w:val="21"/>
          <w:szCs w:val="21"/>
        </w:rPr>
        <w:t xml:space="preserve">14   </w:t>
      </w:r>
      <w:r>
        <w:rPr>
          <w:rFonts w:ascii="Calibri" w:cs="Calibri" w:eastAsia="Calibri" w:hAnsi="Calibri"/>
          <w:b w:val="false"/>
          <w:bCs w:val="false"/>
          <w:color w:val="0B0B0B"/>
          <w:sz w:val="21"/>
          <w:szCs w:val="21"/>
        </w:rPr>
        <w:t xml:space="preserve">References</w:t>
      </w:r>
    </w:p>
    <w:p>
      <w:r>
        <w:br w:type="page"/>
      </w:r>
    </w:p>
    <w:p>
      <w:pPr>
        <w:pStyle w:val="Heading1"/>
        <w:pBdr>
          <w:bottom w:val="single" w:color="D8D7D0" w:sz="6" w:space="4"/>
        </w:pBdr>
        <w:spacing w:after="170" w:before="340"/>
      </w:pPr>
      <w:r>
        <w:rPr>
          <w:rFonts w:ascii="Calibri" w:cs="Calibri" w:eastAsia="Calibri" w:hAnsi="Calibri"/>
          <w:b/>
          <w:bCs/>
          <w:color w:val="1F3A5F"/>
          <w:sz w:val="30"/>
          <w:szCs w:val="30"/>
        </w:rPr>
        <w:t xml:space="preserve">1.  Setting, notation, and the no-voodoo charter</w:t>
      </w:r>
    </w:p>
    <w:p>
      <w:pPr>
        <w:pStyle w:val="Heading2"/>
        <w:spacing w:after="120" w:before="240"/>
      </w:pPr>
      <w:r>
        <w:rPr>
          <w:rFonts w:ascii="Calibri" w:cs="Calibri" w:eastAsia="Calibri" w:hAnsi="Calibri"/>
          <w:b/>
          <w:bCs/>
          <w:color w:val="1F5CA8"/>
          <w:sz w:val="24"/>
          <w:szCs w:val="24"/>
        </w:rPr>
        <w:t xml:space="preserve">1.1  Probability setting</w:t>
      </w:r>
    </w:p>
    <w:p>
      <w:pPr>
        <w:spacing w:after="140" w:line="264"/>
        <w:jc w:val="both"/>
      </w:pPr>
      <w:r>
        <w:rPr>
          <w:rFonts w:ascii="Calibri" w:cs="Calibri" w:eastAsia="Calibri" w:hAnsi="Calibri"/>
          <w:color w:val="0B0B0B"/>
          <w:sz w:val="21"/>
          <w:szCs w:val="21"/>
        </w:rPr>
        <w:t xml:space="preserve">Fix a filtered probability space (Ω, F, {F_t}, P) where the filtration {F_t} is generated by everything observable through exchange time t: prices, volumes, depth, and the point-in-time reference tables. </w:t>
      </w:r>
      <w:r>
        <w:rPr>
          <w:rFonts w:ascii="Calibri" w:cs="Calibri" w:eastAsia="Calibri" w:hAnsi="Calibri"/>
          <w:b/>
          <w:bCs/>
          <w:color w:val="0B0B0B"/>
          <w:sz w:val="21"/>
          <w:szCs w:val="21"/>
        </w:rPr>
        <w:t xml:space="preserve">The no-lookahead rule is a measurability statement</w:t>
      </w:r>
      <w:r>
        <w:rPr>
          <w:rFonts w:ascii="Calibri" w:cs="Calibri" w:eastAsia="Calibri" w:hAnsi="Calibri"/>
          <w:color w:val="0B0B0B"/>
          <w:sz w:val="21"/>
          <w:szCs w:val="21"/>
        </w:rPr>
        <w:t xml:space="preserve">: every signal, feature, weight and order emitted at time t must be F_t-measurable. In code, the </w:t>
      </w:r>
      <w:r>
        <w:rPr>
          <w:rFonts w:ascii="Consolas" w:cs="Consolas" w:eastAsia="Consolas" w:hAnsi="Consolas"/>
          <w:color w:val="1F5CA8"/>
          <w:sz w:val="19"/>
          <w:szCs w:val="19"/>
        </w:rPr>
        <w:t xml:space="preserve">AsOfPanelView</w:t>
      </w:r>
      <w:r>
        <w:rPr>
          <w:rFonts w:ascii="Calibri" w:cs="Calibri" w:eastAsia="Calibri" w:hAnsi="Calibri"/>
          <w:color w:val="0B0B0B"/>
          <w:sz w:val="21"/>
          <w:szCs w:val="21"/>
        </w:rPr>
        <w:t xml:space="preserve"> is the enforcement of this σ-algebra — it is not a convenience wrapper, it is the axiom. A quantity that cannot be computed from the view is, by construction, not a trading signal.</w:t>
      </w:r>
    </w:p>
    <w:p>
      <w:pPr>
        <w:spacing w:after="140" w:line="264"/>
        <w:jc w:val="both"/>
      </w:pPr>
      <w:r>
        <w:rPr>
          <w:rFonts w:ascii="Calibri" w:cs="Calibri" w:eastAsia="Calibri" w:hAnsi="Calibri"/>
          <w:color w:val="0B0B0B"/>
          <w:sz w:val="21"/>
          <w:szCs w:val="21"/>
        </w:rPr>
        <w:t xml:space="preserve">Prices are strictly positive semimartingales observed at bar closes plus microstructure noise. Bar returns are log returns r_t = ln(P_t/P_{t−1}) for signal construction (additivity over horizons), while PnL accounting uses simple returns and integer-paise cash flows; at intraday magnitudes (|r| ≲ 100 bps) the difference is second-order but the convention is fixed so the two ledgers never silently mix. Observed returns decompose as</w:t>
      </w:r>
    </w:p>
    <w:p>
      <w:pPr>
        <w:spacing w:after="140" w:before="60"/>
        <w:jc w:val="center"/>
      </w:pPr>
      <w:r>
        <w:rPr>
          <w:rFonts w:ascii="Cambria" w:cs="Cambria" w:eastAsia="Cambria" w:hAnsi="Cambria"/>
          <w:i/>
          <w:iCs/>
          <w:color w:val="0B0B0B"/>
          <w:sz w:val="22"/>
          <w:szCs w:val="22"/>
        </w:rPr>
        <w:t xml:space="preserve">r_obs = r_efficient + Δu,   u = microstructure noise (bid–ask bounce, discreteness)</w:t>
      </w:r>
    </w:p>
    <w:p>
      <w:pPr>
        <w:spacing w:after="140" w:line="264"/>
        <w:jc w:val="both"/>
      </w:pPr>
      <w:r>
        <w:rPr>
          <w:rFonts w:ascii="Calibri" w:cs="Calibri" w:eastAsia="Calibri" w:hAnsi="Calibri"/>
          <w:color w:val="0B0B0B"/>
          <w:sz w:val="21"/>
          <w:szCs w:val="21"/>
        </w:rPr>
        <w:t xml:space="preserve">Noise is O(half-spread) and serially anti-correlated; it inflates short-horizon variance and biases short-window regressions. Consequences are handled where they arise: realized-variance estimators use 5-minute-plus sampling or noise-robust corrections, betas at fine scales use lead–lag-corrected estimators (§3.2), and any signal whose predicted move is inside the noise band is untradeable by the cost gate regardless of its t-statistic.</w:t>
      </w:r>
    </w:p>
    <w:p>
      <w:pPr>
        <w:pStyle w:val="Heading2"/>
        <w:spacing w:after="120" w:before="240"/>
      </w:pPr>
      <w:r>
        <w:rPr>
          <w:rFonts w:ascii="Calibri" w:cs="Calibri" w:eastAsia="Calibri" w:hAnsi="Calibri"/>
          <w:b/>
          <w:bCs/>
          <w:color w:val="1F5CA8"/>
          <w:sz w:val="24"/>
          <w:szCs w:val="24"/>
        </w:rPr>
        <w:t xml:space="preserve">1.2  The no-voodoo charter</w:t>
      </w:r>
    </w:p>
    <w:p>
      <w:pPr>
        <w:spacing w:after="140" w:line="264"/>
        <w:jc w:val="both"/>
      </w:pPr>
      <w:r>
        <w:rPr>
          <w:rFonts w:ascii="Calibri" w:cs="Calibri" w:eastAsia="Calibri" w:hAnsi="Calibri"/>
          <w:color w:val="0B0B0B"/>
          <w:sz w:val="21"/>
          <w:szCs w:val="21"/>
        </w:rPr>
        <w:t xml:space="preserve">Five rules, enforced structurally, that keep every construct in this repository inside defensible mathematics:</w:t>
      </w:r>
    </w:p>
    <w:p>
      <w:pPr>
        <w:pStyle w:val="ListParagraph"/>
        <w:numPr>
          <w:ilvl w:val="0"/>
          <w:numId w:val="2"/>
        </w:numPr>
        <w:spacing w:after="90" w:line="258"/>
      </w:pPr>
      <w:r>
        <w:rPr>
          <w:rFonts w:ascii="Calibri" w:cs="Calibri" w:eastAsia="Calibri" w:hAnsi="Calibri"/>
          <w:b/>
          <w:bCs/>
          <w:color w:val="0B0B0B"/>
          <w:sz w:val="21"/>
          <w:szCs w:val="21"/>
        </w:rPr>
        <w:t xml:space="preserve">C1 — Every signal is an estimator.</w:t>
      </w:r>
      <w:r>
        <w:rPr>
          <w:rFonts w:ascii="Calibri" w:cs="Calibri" w:eastAsia="Calibri" w:hAnsi="Calibri"/>
          <w:color w:val="0B0B0B"/>
          <w:sz w:val="21"/>
          <w:szCs w:val="21"/>
        </w:rPr>
        <w:t xml:space="preserve"> A family must state the conditional expectation it estimates, E[r_{t→t+h} | F_t] under an explicit model, list the model's assumptions, and pair each assumption with a diagnostic that runs in CI or in the S1 report.</w:t>
      </w:r>
    </w:p>
    <w:p>
      <w:pPr>
        <w:pStyle w:val="ListParagraph"/>
        <w:numPr>
          <w:ilvl w:val="0"/>
          <w:numId w:val="2"/>
        </w:numPr>
        <w:spacing w:after="90" w:line="258"/>
      </w:pPr>
      <w:r>
        <w:rPr>
          <w:rFonts w:ascii="Calibri" w:cs="Calibri" w:eastAsia="Calibri" w:hAnsi="Calibri"/>
          <w:b/>
          <w:bCs/>
          <w:color w:val="0B0B0B"/>
          <w:sz w:val="21"/>
          <w:szCs w:val="21"/>
        </w:rPr>
        <w:t xml:space="preserve">C2 — Every rule is an optimum.</w:t>
      </w:r>
      <w:r>
        <w:rPr>
          <w:rFonts w:ascii="Calibri" w:cs="Calibri" w:eastAsia="Calibri" w:hAnsi="Calibri"/>
          <w:color w:val="0B0B0B"/>
          <w:sz w:val="21"/>
          <w:szCs w:val="21"/>
        </w:rPr>
        <w:t xml:space="preserve"> Entry thresholds, holding periods, position sizes and rebalance bands are the argmax of a stated objective under the cost model (derivations in §5–§6) — never "round numbers that felt right". Where a closed form doesn't exist, the numerical optimization and its objective are in the config, hashed.</w:t>
      </w:r>
    </w:p>
    <w:p>
      <w:pPr>
        <w:pStyle w:val="ListParagraph"/>
        <w:numPr>
          <w:ilvl w:val="0"/>
          <w:numId w:val="2"/>
        </w:numPr>
        <w:spacing w:after="90" w:line="258"/>
      </w:pPr>
      <w:r>
        <w:rPr>
          <w:rFonts w:ascii="Calibri" w:cs="Calibri" w:eastAsia="Calibri" w:hAnsi="Calibri"/>
          <w:b/>
          <w:bCs/>
          <w:color w:val="0B0B0B"/>
          <w:sz w:val="21"/>
          <w:szCs w:val="21"/>
        </w:rPr>
        <w:t xml:space="preserve">C3 — Every claim of edge is a hypothesis test.</w:t>
      </w:r>
      <w:r>
        <w:rPr>
          <w:rFonts w:ascii="Calibri" w:cs="Calibri" w:eastAsia="Calibri" w:hAnsi="Calibri"/>
          <w:color w:val="0B0B0B"/>
          <w:sz w:val="21"/>
          <w:szCs w:val="21"/>
        </w:rPr>
        <w:t xml:space="preserve"> Stated null, stated size, multiplicity-corrected (§8). The funnel gates are these tests; nothing is 'promising', it is either significant after deflation or it is dead.</w:t>
      </w:r>
    </w:p>
    <w:p>
      <w:pPr>
        <w:pStyle w:val="ListParagraph"/>
        <w:numPr>
          <w:ilvl w:val="0"/>
          <w:numId w:val="2"/>
        </w:numPr>
        <w:spacing w:after="90" w:line="258"/>
      </w:pPr>
      <w:r>
        <w:rPr>
          <w:rFonts w:ascii="Calibri" w:cs="Calibri" w:eastAsia="Calibri" w:hAnsi="Calibri"/>
          <w:b/>
          <w:bCs/>
          <w:color w:val="0B0B0B"/>
          <w:sz w:val="21"/>
          <w:szCs w:val="21"/>
        </w:rPr>
        <w:t xml:space="preserve">C4 — Every constant is estimated or cited.</w:t>
      </w:r>
      <w:r>
        <w:rPr>
          <w:rFonts w:ascii="Calibri" w:cs="Calibri" w:eastAsia="Calibri" w:hAnsi="Calibri"/>
          <w:color w:val="0B0B0B"/>
          <w:sz w:val="21"/>
          <w:szCs w:val="21"/>
        </w:rPr>
        <w:t xml:space="preserve"> Estimated constants carry standard errors and a refit schedule; cited constants (fees, tick sizes) carry </w:t>
      </w:r>
      <w:r>
        <w:rPr>
          <w:rFonts w:ascii="Consolas" w:cs="Consolas" w:eastAsia="Consolas" w:hAnsi="Consolas"/>
          <w:color w:val="1F5CA8"/>
          <w:sz w:val="19"/>
          <w:szCs w:val="19"/>
        </w:rPr>
        <w:t xml:space="preserve">source:</w:t>
      </w:r>
      <w:r>
        <w:rPr>
          <w:rFonts w:ascii="Calibri" w:cs="Calibri" w:eastAsia="Calibri" w:hAnsi="Calibri"/>
          <w:color w:val="0B0B0B"/>
          <w:sz w:val="21"/>
          <w:szCs w:val="21"/>
        </w:rPr>
        <w:t xml:space="preserve"> and </w:t>
      </w:r>
      <w:r>
        <w:rPr>
          <w:rFonts w:ascii="Consolas" w:cs="Consolas" w:eastAsia="Consolas" w:hAnsi="Consolas"/>
          <w:color w:val="1F5CA8"/>
          <w:sz w:val="19"/>
          <w:szCs w:val="19"/>
        </w:rPr>
        <w:t xml:space="preserve">verified_on:</w:t>
      </w:r>
      <w:r>
        <w:rPr>
          <w:rFonts w:ascii="Calibri" w:cs="Calibri" w:eastAsia="Calibri" w:hAnsi="Calibri"/>
          <w:color w:val="0B0B0B"/>
          <w:sz w:val="21"/>
          <w:szCs w:val="21"/>
        </w:rPr>
        <w:t xml:space="preserve">. Magic numbers in code fail review.</w:t>
      </w:r>
    </w:p>
    <w:p>
      <w:pPr>
        <w:pStyle w:val="ListParagraph"/>
        <w:numPr>
          <w:ilvl w:val="0"/>
          <w:numId w:val="2"/>
        </w:numPr>
        <w:spacing w:after="90" w:line="258"/>
      </w:pPr>
      <w:r>
        <w:rPr>
          <w:rFonts w:ascii="Calibri" w:cs="Calibri" w:eastAsia="Calibri" w:hAnsi="Calibri"/>
          <w:b/>
          <w:bCs/>
          <w:color w:val="0B0B0B"/>
          <w:sz w:val="21"/>
          <w:szCs w:val="21"/>
        </w:rPr>
        <w:t xml:space="preserve">C5 — Heuristics are quarantined, not banned.</w:t>
      </w:r>
      <w:r>
        <w:rPr>
          <w:rFonts w:ascii="Calibri" w:cs="Calibri" w:eastAsia="Calibri" w:hAnsi="Calibri"/>
          <w:color w:val="0B0B0B"/>
          <w:sz w:val="21"/>
          <w:szCs w:val="21"/>
        </w:rPr>
        <w:t xml:space="preserve"> A construct that cannot yet meet C1–C2 (e.g., a breakout trigger shape) may enter the search </w:t>
      </w:r>
      <w:r>
        <w:rPr>
          <w:rFonts w:ascii="Calibri" w:cs="Calibri" w:eastAsia="Calibri" w:hAnsi="Calibri"/>
          <w:b/>
          <w:bCs/>
          <w:color w:val="0B0B0B"/>
          <w:sz w:val="21"/>
          <w:szCs w:val="21"/>
        </w:rPr>
        <w:t xml:space="preserve">labeled `heuristic: true`</w:t>
      </w:r>
      <w:r>
        <w:rPr>
          <w:rFonts w:ascii="Calibri" w:cs="Calibri" w:eastAsia="Calibri" w:hAnsi="Calibri"/>
          <w:color w:val="0B0B0B"/>
          <w:sz w:val="21"/>
          <w:szCs w:val="21"/>
        </w:rPr>
        <w:t xml:space="preserve"> in its plugin manifest; it faces the same statistical gates, and the ensemble caps the aggregate weight of heuristic-labeled pipelines at 20%. Honesty about which parts are theory and which are practice is itself an anti-voodoo device.</w:t>
      </w:r>
    </w:p>
    <w:p>
      <w:pPr>
        <w:pStyle w:val="Heading2"/>
        <w:spacing w:after="120" w:before="240"/>
      </w:pPr>
      <w:r>
        <w:rPr>
          <w:rFonts w:ascii="Calibri" w:cs="Calibri" w:eastAsia="Calibri" w:hAnsi="Calibri"/>
          <w:b/>
          <w:bCs/>
          <w:color w:val="1F5CA8"/>
          <w:sz w:val="24"/>
          <w:szCs w:val="24"/>
        </w:rPr>
        <w:t xml:space="preserve">1.3  Panel notation</w:t>
      </w:r>
    </w:p>
    <w:p>
      <w:pPr>
        <w:spacing w:after="140" w:line="264"/>
        <w:jc w:val="both"/>
      </w:pPr>
      <w:r>
        <w:rPr>
          <w:rFonts w:ascii="Calibri" w:cs="Calibri" w:eastAsia="Calibri" w:hAnsi="Calibri"/>
          <w:color w:val="0B0B0B"/>
          <w:sz w:val="21"/>
          <w:szCs w:val="21"/>
        </w:rPr>
        <w:t xml:space="preserve">Universe indexed i = 1…N (point-in-time), bars indexed t on grid Δ ∈ {1s, 1m, 5m}, sessions d = 1…D. Forward return operator over horizon h bars: f_{i,t}^{(h)} = Σ_{k=1..h} r_{i,t+k}. A signal is a panel s_{i,t}; its cross-sectional z-score is z_{i,t} = (s_{i,t} − μ_t)/σ_t with μ_t, σ_t computed across i at fixed t (median/MAD variants where stated). All expectations below are conditional on survival in the PIT universe — selection is by construction not by hindsight.</w:t>
      </w:r>
    </w:p>
    <w:p>
      <w:pPr>
        <w:pStyle w:val="Heading1"/>
        <w:pBdr>
          <w:bottom w:val="single" w:color="D8D7D0" w:sz="6" w:space="4"/>
        </w:pBdr>
        <w:spacing w:after="170" w:before="340"/>
      </w:pPr>
      <w:r>
        <w:rPr>
          <w:rFonts w:ascii="Calibri" w:cs="Calibri" w:eastAsia="Calibri" w:hAnsi="Calibri"/>
          <w:b/>
          <w:bCs/>
          <w:color w:val="1F3A5F"/>
          <w:sz w:val="30"/>
          <w:szCs w:val="30"/>
        </w:rPr>
        <w:t xml:space="preserve">2.  Panel inference infrastructure</w:t>
      </w:r>
    </w:p>
    <w:p>
      <w:pPr>
        <w:pStyle w:val="Heading2"/>
        <w:spacing w:after="120" w:before="240"/>
      </w:pPr>
      <w:r>
        <w:rPr>
          <w:rFonts w:ascii="Calibri" w:cs="Calibri" w:eastAsia="Calibri" w:hAnsi="Calibri"/>
          <w:b/>
          <w:bCs/>
          <w:color w:val="1F5CA8"/>
          <w:sz w:val="24"/>
          <w:szCs w:val="24"/>
        </w:rPr>
        <w:t xml:space="preserve">2.1  Overlap and HAC errors</w:t>
      </w:r>
    </w:p>
    <w:p>
      <w:pPr>
        <w:spacing w:after="140" w:line="264"/>
        <w:jc w:val="both"/>
      </w:pPr>
      <w:r>
        <w:rPr>
          <w:rFonts w:ascii="Calibri" w:cs="Calibri" w:eastAsia="Calibri" w:hAnsi="Calibri"/>
          <w:color w:val="0B0B0B"/>
          <w:sz w:val="21"/>
          <w:szCs w:val="21"/>
        </w:rPr>
        <w:t xml:space="preserve">Forward returns over h bars sampled every bar overlap by construction: f_{i,t}^{(h)} and f_{i,t+1}^{(h)} share h−1 addends, inducing an MA(h−1) error structure in any per-bar predictive regression. Naive t-statistics are inflated by roughly √h. Every predictive regression and every IC time series therefore uses Newey–West (Bartlett-kernel HAC) variance</w:t>
      </w:r>
    </w:p>
    <w:p>
      <w:pPr>
        <w:spacing w:after="140" w:before="60"/>
        <w:jc w:val="center"/>
      </w:pPr>
      <w:r>
        <w:rPr>
          <w:rFonts w:ascii="Cambria" w:cs="Cambria" w:eastAsia="Cambria" w:hAnsi="Cambria"/>
          <w:i/>
          <w:iCs/>
          <w:color w:val="0B0B0B"/>
          <w:sz w:val="22"/>
          <w:szCs w:val="22"/>
        </w:rPr>
        <w:t xml:space="preserve">S_L = Γ₀ + Σ_{l=1..L} (1 − l/(L+1)) (Γ_l + Γ_lᵀ),   L = ⌈1.5·h⌉</w:t>
      </w:r>
    </w:p>
    <w:p>
      <w:pPr>
        <w:spacing w:after="140" w:line="264"/>
        <w:jc w:val="both"/>
      </w:pPr>
      <w:r>
        <w:rPr>
          <w:rFonts w:ascii="Calibri" w:cs="Calibri" w:eastAsia="Calibri" w:hAnsi="Calibri"/>
          <w:color w:val="0B0B0B"/>
          <w:sz w:val="21"/>
          <w:szCs w:val="21"/>
        </w:rPr>
        <w:t xml:space="preserve">with Γ_l the lag-l autocovariance of the moment series. The alternative used in reports as a cross-check: non-overlapping subsampling (keep every h-th observation), which sacrifices efficiency for exactness — the two must agree in sign and order of magnitude or the result is flagged.</w:t>
      </w:r>
    </w:p>
    <w:p>
      <w:pPr>
        <w:pStyle w:val="Heading2"/>
        <w:spacing w:after="120" w:before="240"/>
      </w:pPr>
      <w:r>
        <w:rPr>
          <w:rFonts w:ascii="Calibri" w:cs="Calibri" w:eastAsia="Calibri" w:hAnsi="Calibri"/>
          <w:b/>
          <w:bCs/>
          <w:color w:val="1F5CA8"/>
          <w:sz w:val="24"/>
          <w:szCs w:val="24"/>
        </w:rPr>
        <w:t xml:space="preserve">2.2  Clustering</w:t>
      </w:r>
    </w:p>
    <w:p>
      <w:pPr>
        <w:spacing w:after="140" w:line="264"/>
        <w:jc w:val="both"/>
      </w:pPr>
      <w:r>
        <w:rPr>
          <w:rFonts w:ascii="Calibri" w:cs="Calibri" w:eastAsia="Calibri" w:hAnsi="Calibri"/>
          <w:color w:val="0B0B0B"/>
          <w:sz w:val="21"/>
          <w:szCs w:val="21"/>
        </w:rPr>
        <w:t xml:space="preserve">Panel residuals correlate both within a bar across names (market factor leakage) and within a name across bars. Pooled panel regressions (F3, F6, F8) report two-way cluster-robust standard errors (Cameron–Gelbach–Miller: V = V_time + V_name − V_intersection). Where residualization (§3) is applied first, the within-bar cluster shrinks — the report shows both, and a large gap is itself a diagnostic that the factor model is leaking.</w:t>
      </w:r>
    </w:p>
    <w:p>
      <w:pPr>
        <w:pStyle w:val="Heading2"/>
        <w:spacing w:after="120" w:before="240"/>
      </w:pPr>
      <w:r>
        <w:rPr>
          <w:rFonts w:ascii="Calibri" w:cs="Calibri" w:eastAsia="Calibri" w:hAnsi="Calibri"/>
          <w:b/>
          <w:bCs/>
          <w:color w:val="1F5CA8"/>
          <w:sz w:val="24"/>
          <w:szCs w:val="24"/>
        </w:rPr>
        <w:t xml:space="preserve">2.3  Rank statistics as the default</w:t>
      </w:r>
    </w:p>
    <w:p>
      <w:pPr>
        <w:spacing w:after="140" w:line="264"/>
        <w:jc w:val="both"/>
      </w:pPr>
      <w:r>
        <w:rPr>
          <w:rFonts w:ascii="Calibri" w:cs="Calibri" w:eastAsia="Calibri" w:hAnsi="Calibri"/>
          <w:color w:val="0B0B0B"/>
          <w:sz w:val="21"/>
          <w:szCs w:val="21"/>
        </w:rPr>
        <w:t xml:space="preserve">The primary screening statistic is the rank (Spearman) information coefficient IC_t = corr_rank(s_{·,t}, f_{·,t}^{(h)}), averaged over t, with NW t-statistic. Ranks are invariant to monotone transforms of the signal and bounded-influence against the heavy tails intraday returns actually have (Pearson ICs are driven by single circuit-limit moves). The link from IC to portfolio value is the fundamental law with a correlation-honest breadth (proof sketch in §8.5):</w:t>
      </w:r>
    </w:p>
    <w:p>
      <w:pPr>
        <w:spacing w:after="140" w:before="60"/>
        <w:jc w:val="center"/>
      </w:pPr>
      <w:r>
        <w:rPr>
          <w:rFonts w:ascii="Cambria" w:cs="Cambria" w:eastAsia="Cambria" w:hAnsi="Cambria"/>
          <w:i/>
          <w:iCs/>
          <w:color w:val="0B0B0B"/>
          <w:sz w:val="22"/>
          <w:szCs w:val="22"/>
        </w:rPr>
        <w:t xml:space="preserve">IR ≈ IC · √N_eff,   N_eff = N_bets / (1 + (N_bets − 1)·ρ̄)</w:t>
      </w:r>
    </w:p>
    <w:p>
      <w:pPr>
        <w:spacing w:after="140" w:line="264"/>
        <w:jc w:val="both"/>
      </w:pPr>
      <w:r>
        <w:rPr>
          <w:rFonts w:ascii="Calibri" w:cs="Calibri" w:eastAsia="Calibri" w:hAnsi="Calibri"/>
          <w:color w:val="0B0B0B"/>
          <w:sz w:val="21"/>
          <w:szCs w:val="21"/>
        </w:rPr>
        <w:t xml:space="preserve">where ρ̄ is the average pairwise correlation of bet outcomes. With N = 100 names, 4 rebalances/day, 250 days and ρ̄ ≈ 0.05 at the residual level: nominal bets 100,000 → N_eff ≈ 20 per cross-section × 1,000 cross-sections — the ÷4–8 haircut quoted in the blueprint is this formula, not a fudge.</w:t>
      </w:r>
    </w:p>
    <w:p>
      <w:pPr>
        <w:pStyle w:val="Heading1"/>
        <w:pBdr>
          <w:bottom w:val="single" w:color="D8D7D0" w:sz="6" w:space="4"/>
        </w:pBdr>
        <w:spacing w:after="170" w:before="340"/>
      </w:pPr>
      <w:r>
        <w:rPr>
          <w:rFonts w:ascii="Calibri" w:cs="Calibri" w:eastAsia="Calibri" w:hAnsi="Calibri"/>
          <w:b/>
          <w:bCs/>
          <w:color w:val="1F3A5F"/>
          <w:sz w:val="30"/>
          <w:szCs w:val="30"/>
        </w:rPr>
        <w:t xml:space="preserve">3.  Factor structure and residualization</w:t>
      </w:r>
    </w:p>
    <w:p>
      <w:pPr>
        <w:pStyle w:val="Heading2"/>
        <w:spacing w:after="120" w:before="240"/>
      </w:pPr>
      <w:r>
        <w:rPr>
          <w:rFonts w:ascii="Calibri" w:cs="Calibri" w:eastAsia="Calibri" w:hAnsi="Calibri"/>
          <w:b/>
          <w:bCs/>
          <w:color w:val="1F5CA8"/>
          <w:sz w:val="24"/>
          <w:szCs w:val="24"/>
        </w:rPr>
        <w:t xml:space="preserve">3.1  Model</w:t>
      </w:r>
    </w:p>
    <w:p>
      <w:pPr>
        <w:spacing w:after="140" w:line="264"/>
        <w:jc w:val="both"/>
      </w:pPr>
      <w:r>
        <w:rPr>
          <w:rFonts w:ascii="Calibri" w:cs="Calibri" w:eastAsia="Calibri" w:hAnsi="Calibri"/>
          <w:color w:val="0B0B0B"/>
          <w:sz w:val="21"/>
          <w:szCs w:val="21"/>
        </w:rPr>
        <w:t xml:space="preserve">Bar returns follow an approximate linear factor structure</w:t>
      </w:r>
    </w:p>
    <w:p>
      <w:pPr>
        <w:spacing w:after="140" w:before="60"/>
        <w:jc w:val="center"/>
      </w:pPr>
      <w:r>
        <w:rPr>
          <w:rFonts w:ascii="Cambria" w:cs="Cambria" w:eastAsia="Cambria" w:hAnsi="Cambria"/>
          <w:i/>
          <w:iCs/>
          <w:color w:val="0B0B0B"/>
          <w:sz w:val="22"/>
          <w:szCs w:val="22"/>
        </w:rPr>
        <w:t xml:space="preserve">r_{i,t} = β_{i,M} r_{M,t} + β_{i,S(i)} r_{S(i),t} + ε_{i,t},   E[ε_{i,t} | F_{t−1}, r_M, r_S] = 0</w:t>
      </w:r>
    </w:p>
    <w:p>
      <w:pPr>
        <w:spacing w:after="140" w:line="264"/>
        <w:jc w:val="both"/>
      </w:pPr>
      <w:r>
        <w:rPr>
          <w:rFonts w:ascii="Calibri" w:cs="Calibri" w:eastAsia="Calibri" w:hAnsi="Calibri"/>
          <w:color w:val="0B0B0B"/>
          <w:sz w:val="21"/>
          <w:szCs w:val="21"/>
        </w:rPr>
        <w:t xml:space="preserve">with r_M the cap-weighted universe return, r_S(i) the sector return (ex-name, to avoid mechanical self-correlation in small sectors), and ε the idiosyncratic component that F1/F2/F7/F10 trade. The claim being exploited is not that this model is true — it is that deviations of ε from its own conditional mean revert (F2) or persist (F1) in ways the tests of Part II can detect.</w:t>
      </w:r>
    </w:p>
    <w:p>
      <w:pPr>
        <w:pStyle w:val="Heading2"/>
        <w:spacing w:after="120" w:before="240"/>
      </w:pPr>
      <w:r>
        <w:rPr>
          <w:rFonts w:ascii="Calibri" w:cs="Calibri" w:eastAsia="Calibri" w:hAnsi="Calibri"/>
          <w:b/>
          <w:bCs/>
          <w:color w:val="1F5CA8"/>
          <w:sz w:val="24"/>
          <w:szCs w:val="24"/>
        </w:rPr>
        <w:t xml:space="preserve">3.2  Estimating betas at intraday frequency</w:t>
      </w:r>
    </w:p>
    <w:p>
      <w:pPr>
        <w:spacing w:after="140" w:line="264"/>
        <w:jc w:val="both"/>
      </w:pPr>
      <w:r>
        <w:rPr>
          <w:rFonts w:ascii="Calibri" w:cs="Calibri" w:eastAsia="Calibri" w:hAnsi="Calibri"/>
          <w:color w:val="0B0B0B"/>
          <w:sz w:val="21"/>
          <w:szCs w:val="21"/>
        </w:rPr>
        <w:t xml:space="preserve">Two microstructure facts bias naive OLS at fine scales: the </w:t>
      </w:r>
      <w:r>
        <w:rPr>
          <w:rFonts w:ascii="Calibri" w:cs="Calibri" w:eastAsia="Calibri" w:hAnsi="Calibri"/>
          <w:b/>
          <w:bCs/>
          <w:color w:val="0B0B0B"/>
          <w:sz w:val="21"/>
          <w:szCs w:val="21"/>
        </w:rPr>
        <w:t xml:space="preserve">Epps effect</w:t>
      </w:r>
      <w:r>
        <w:rPr>
          <w:rFonts w:ascii="Calibri" w:cs="Calibri" w:eastAsia="Calibri" w:hAnsi="Calibri"/>
          <w:color w:val="0B0B0B"/>
          <w:sz w:val="21"/>
          <w:szCs w:val="21"/>
        </w:rPr>
        <w:t xml:space="preserve"> (measured correlations shrink as sampling frequency rises, because trading is non-synchronous) and stale quotes in the less liquid tail. Estimators:</w:t>
      </w:r>
    </w:p>
    <w:p>
      <w:pPr>
        <w:pStyle w:val="ListParagraph"/>
        <w:numPr>
          <w:ilvl w:val="0"/>
          <w:numId w:val="2"/>
        </w:numPr>
        <w:spacing w:after="90" w:line="258"/>
      </w:pPr>
      <w:r>
        <w:rPr>
          <w:rFonts w:ascii="Calibri" w:cs="Calibri" w:eastAsia="Calibri" w:hAnsi="Calibri"/>
          <w:b/>
          <w:bCs/>
          <w:color w:val="0B0B0B"/>
          <w:sz w:val="21"/>
          <w:szCs w:val="21"/>
        </w:rPr>
        <w:t xml:space="preserve">Workhorse:</w:t>
      </w:r>
      <w:r>
        <w:rPr>
          <w:rFonts w:ascii="Calibri" w:cs="Calibri" w:eastAsia="Calibri" w:hAnsi="Calibri"/>
          <w:color w:val="0B0B0B"/>
          <w:sz w:val="21"/>
          <w:szCs w:val="21"/>
        </w:rPr>
        <w:t xml:space="preserve"> rolling OLS on 60 sessions of daily-plus-intraday returns with </w:t>
      </w:r>
      <w:r>
        <w:rPr>
          <w:rFonts w:ascii="Calibri" w:cs="Calibri" w:eastAsia="Calibri" w:hAnsi="Calibri"/>
          <w:b/>
          <w:bCs/>
          <w:color w:val="0B0B0B"/>
          <w:sz w:val="21"/>
          <w:szCs w:val="21"/>
        </w:rPr>
        <w:t xml:space="preserve">Dimson lead/lag correction</w:t>
      </w:r>
      <w:r>
        <w:rPr>
          <w:rFonts w:ascii="Calibri" w:cs="Calibri" w:eastAsia="Calibri" w:hAnsi="Calibri"/>
          <w:color w:val="0B0B0B"/>
          <w:sz w:val="21"/>
          <w:szCs w:val="21"/>
        </w:rPr>
        <w:t xml:space="preserve"> β_i = Σ_{l=−1..+1} β_i^{(l)} (one lead, one lag of the factor absorbs asynchronous adjustment).</w:t>
      </w:r>
    </w:p>
    <w:p>
      <w:pPr>
        <w:pStyle w:val="ListParagraph"/>
        <w:numPr>
          <w:ilvl w:val="0"/>
          <w:numId w:val="2"/>
        </w:numPr>
        <w:spacing w:after="90" w:line="258"/>
      </w:pPr>
      <w:r>
        <w:rPr>
          <w:rFonts w:ascii="Calibri" w:cs="Calibri" w:eastAsia="Calibri" w:hAnsi="Calibri"/>
          <w:b/>
          <w:bCs/>
          <w:color w:val="0B0B0B"/>
          <w:sz w:val="21"/>
          <w:szCs w:val="21"/>
        </w:rPr>
        <w:t xml:space="preserve">Fine-scale cross-check:</w:t>
      </w:r>
      <w:r>
        <w:rPr>
          <w:rFonts w:ascii="Calibri" w:cs="Calibri" w:eastAsia="Calibri" w:hAnsi="Calibri"/>
          <w:color w:val="0B0B0B"/>
          <w:sz w:val="21"/>
          <w:szCs w:val="21"/>
        </w:rPr>
        <w:t xml:space="preserve"> the </w:t>
      </w:r>
      <w:r>
        <w:rPr>
          <w:rFonts w:ascii="Calibri" w:cs="Calibri" w:eastAsia="Calibri" w:hAnsi="Calibri"/>
          <w:b/>
          <w:bCs/>
          <w:color w:val="0B0B0B"/>
          <w:sz w:val="21"/>
          <w:szCs w:val="21"/>
        </w:rPr>
        <w:t xml:space="preserve">Hayashi–Yoshida</w:t>
      </w:r>
      <w:r>
        <w:rPr>
          <w:rFonts w:ascii="Calibri" w:cs="Calibri" w:eastAsia="Calibri" w:hAnsi="Calibri"/>
          <w:color w:val="0B0B0B"/>
          <w:sz w:val="21"/>
          <w:szCs w:val="21"/>
        </w:rPr>
        <w:t xml:space="preserve"> covariance estimator — the sum of products of returns over </w:t>
      </w:r>
      <w:r>
        <w:rPr>
          <w:rFonts w:ascii="Calibri" w:cs="Calibri" w:eastAsia="Calibri" w:hAnsi="Calibri"/>
          <w:i/>
          <w:iCs/>
          <w:color w:val="0B0B0B"/>
          <w:sz w:val="21"/>
          <w:szCs w:val="21"/>
        </w:rPr>
        <w:t xml:space="preserve">overlapping</w:t>
      </w:r>
      <w:r>
        <w:rPr>
          <w:rFonts w:ascii="Calibri" w:cs="Calibri" w:eastAsia="Calibri" w:hAnsi="Calibri"/>
          <w:color w:val="0B0B0B"/>
          <w:sz w:val="21"/>
          <w:szCs w:val="21"/>
        </w:rPr>
        <w:t xml:space="preserve"> tick intervals, Σ_{(j,k): overlap} r_{i,j} r_{M,k} — which is unbiased under non-synchronous observation and requires no alignment grid. Used to validate the workhorse on the 1-second tier, not in the hot path.</w:t>
      </w:r>
    </w:p>
    <w:p>
      <w:pPr>
        <w:pStyle w:val="ListParagraph"/>
        <w:numPr>
          <w:ilvl w:val="0"/>
          <w:numId w:val="2"/>
        </w:numPr>
        <w:spacing w:after="90" w:line="258"/>
      </w:pPr>
      <w:r>
        <w:rPr>
          <w:rFonts w:ascii="Calibri" w:cs="Calibri" w:eastAsia="Calibri" w:hAnsi="Calibri"/>
          <w:b/>
          <w:bCs/>
          <w:color w:val="0B0B0B"/>
          <w:sz w:val="21"/>
          <w:szCs w:val="21"/>
        </w:rPr>
        <w:t xml:space="preserve">Shrinkage:</w:t>
      </w:r>
      <w:r>
        <w:rPr>
          <w:rFonts w:ascii="Calibri" w:cs="Calibri" w:eastAsia="Calibri" w:hAnsi="Calibri"/>
          <w:color w:val="0B0B0B"/>
          <w:sz w:val="21"/>
          <w:szCs w:val="21"/>
        </w:rPr>
        <w:t xml:space="preserve"> β̂_i ← 0.7·β̂_i + 0.3·1 (Vasicek-style toward the cross-sectional prior); the weight is estimated from the cross-sectional dispersion of β̂ standard errors, not hardcoded (C4).</w:t>
      </w:r>
    </w:p>
    <w:p>
      <w:pPr>
        <w:pStyle w:val="Heading2"/>
        <w:spacing w:after="120" w:before="240"/>
      </w:pPr>
      <w:r>
        <w:rPr>
          <w:rFonts w:ascii="Calibri" w:cs="Calibri" w:eastAsia="Calibri" w:hAnsi="Calibri"/>
          <w:b/>
          <w:bCs/>
          <w:color w:val="1F5CA8"/>
          <w:sz w:val="24"/>
          <w:szCs w:val="24"/>
        </w:rPr>
        <w:t xml:space="preserve">3.3  Statistical factors: PCA with a random-matrix cutoff</w:t>
      </w:r>
    </w:p>
    <w:p>
      <w:pPr>
        <w:spacing w:after="140" w:line="264"/>
        <w:jc w:val="both"/>
      </w:pPr>
      <w:r>
        <w:rPr>
          <w:rFonts w:ascii="Calibri" w:cs="Calibri" w:eastAsia="Calibri" w:hAnsi="Calibri"/>
          <w:color w:val="0B0B0B"/>
          <w:sz w:val="21"/>
          <w:szCs w:val="21"/>
        </w:rPr>
        <w:t xml:space="preserve">The PCA residualizer eigen-decomposes the correlation matrix of universe bar returns on a rolling window (N names, T bars). Sample eigenvalues from pure noise occupy the Marchenko–Pastur bulk; with q = N/T the bulk's upper edge is</w:t>
      </w:r>
    </w:p>
    <w:p>
      <w:pPr>
        <w:spacing w:after="140" w:before="60"/>
        <w:jc w:val="center"/>
      </w:pPr>
      <w:r>
        <w:rPr>
          <w:rFonts w:ascii="Cambria" w:cs="Cambria" w:eastAsia="Cambria" w:hAnsi="Cambria"/>
          <w:i/>
          <w:iCs/>
          <w:color w:val="0B0B0B"/>
          <w:sz w:val="22"/>
          <w:szCs w:val="22"/>
        </w:rPr>
        <w:t xml:space="preserve">λ₊ = (1 + √q)²</w:t>
      </w:r>
    </w:p>
    <w:p>
      <w:pPr>
        <w:spacing w:after="140" w:line="264"/>
        <w:jc w:val="both"/>
      </w:pPr>
      <w:r>
        <w:rPr>
          <w:rFonts w:ascii="Calibri" w:cs="Calibri" w:eastAsia="Calibri" w:hAnsi="Calibri"/>
          <w:color w:val="0B0B0B"/>
          <w:sz w:val="21"/>
          <w:szCs w:val="21"/>
        </w:rPr>
        <w:t xml:space="preserve">Only components with λ̂_k &gt; λ₊ (in correlation units) are retained as factors — the number of statistical factors is thus </w:t>
      </w:r>
      <w:r>
        <w:rPr>
          <w:rFonts w:ascii="Calibri" w:cs="Calibri" w:eastAsia="Calibri" w:hAnsi="Calibri"/>
          <w:i/>
          <w:iCs/>
          <w:color w:val="0B0B0B"/>
          <w:sz w:val="21"/>
          <w:szCs w:val="21"/>
        </w:rPr>
        <w:t xml:space="preserve">derived from RMT, not chosen by eye</w:t>
      </w:r>
      <w:r>
        <w:rPr>
          <w:rFonts w:ascii="Calibri" w:cs="Calibri" w:eastAsia="Calibri" w:hAnsi="Calibri"/>
          <w:color w:val="0B0B0B"/>
          <w:sz w:val="21"/>
          <w:szCs w:val="21"/>
        </w:rPr>
        <w:t xml:space="preserve"> (typically 3–6 on U200 at 1m over 20 sessions). Residuals are recomputed out-of-sample: loadings estimated on window [t−T, t) apply to bar t. A voodoo trap this kills: 'k=10 components because the scree plot looked nice'.</w:t>
      </w:r>
    </w:p>
    <w:p>
      <w:pPr>
        <w:pStyle w:val="Heading2"/>
        <w:spacing w:after="120" w:before="240"/>
      </w:pPr>
      <w:r>
        <w:rPr>
          <w:rFonts w:ascii="Calibri" w:cs="Calibri" w:eastAsia="Calibri" w:hAnsi="Calibri"/>
          <w:b/>
          <w:bCs/>
          <w:color w:val="1F5CA8"/>
          <w:sz w:val="24"/>
          <w:szCs w:val="24"/>
        </w:rPr>
        <w:t xml:space="preserve">3.4  Covariance for portfolio construction</w:t>
      </w:r>
    </w:p>
    <w:p>
      <w:pPr>
        <w:spacing w:after="140" w:line="264"/>
        <w:jc w:val="both"/>
      </w:pPr>
      <w:r>
        <w:rPr>
          <w:rFonts w:ascii="Calibri" w:cs="Calibri" w:eastAsia="Calibri" w:hAnsi="Calibri"/>
          <w:color w:val="0B0B0B"/>
          <w:sz w:val="21"/>
          <w:szCs w:val="21"/>
        </w:rPr>
        <w:t xml:space="preserve">Sample covariance is singular or noise-dominated when N ≈ T. The portfolio layer uses factor covariance (Σ = BΩBᵀ + D) with </w:t>
      </w:r>
      <w:r>
        <w:rPr>
          <w:rFonts w:ascii="Calibri" w:cs="Calibri" w:eastAsia="Calibri" w:hAnsi="Calibri"/>
          <w:b/>
          <w:bCs/>
          <w:color w:val="0B0B0B"/>
          <w:sz w:val="21"/>
          <w:szCs w:val="21"/>
        </w:rPr>
        <w:t xml:space="preserve">Ledoit–Wolf linear shrinkage</w:t>
      </w:r>
      <w:r>
        <w:rPr>
          <w:rFonts w:ascii="Calibri" w:cs="Calibri" w:eastAsia="Calibri" w:hAnsi="Calibri"/>
          <w:color w:val="0B0B0B"/>
          <w:sz w:val="21"/>
          <w:szCs w:val="21"/>
        </w:rPr>
        <w:t xml:space="preserve"> on the residual block, Σ̂ = δ̂F + (1−δ̂)S, where the optimal δ̂ is the analytic minimizer of expected Frobenius loss (their 2004 estimator, implemented verbatim with its plug-in variance terms). Eigenvalue floors keep Σ̂ ≻ 0. The QP consumes only Σ̂ from this module — no ad-hoc 'risk multipliers' anywhere else (C4).</w:t>
      </w:r>
    </w:p>
    <w:p>
      <w:pPr>
        <w:pStyle w:val="Heading1"/>
        <w:pBdr>
          <w:bottom w:val="single" w:color="D8D7D0" w:sz="6" w:space="4"/>
        </w:pBdr>
        <w:spacing w:after="170" w:before="340"/>
      </w:pPr>
      <w:r>
        <w:rPr>
          <w:rFonts w:ascii="Calibri" w:cs="Calibri" w:eastAsia="Calibri" w:hAnsi="Calibri"/>
          <w:b/>
          <w:bCs/>
          <w:color w:val="1F3A5F"/>
          <w:sz w:val="30"/>
          <w:szCs w:val="30"/>
        </w:rPr>
        <w:t xml:space="preserve">4.  From score to expected return: calibration</w:t>
      </w:r>
    </w:p>
    <w:p>
      <w:pPr>
        <w:pStyle w:val="Heading2"/>
        <w:spacing w:after="120" w:before="240"/>
      </w:pPr>
      <w:r>
        <w:rPr>
          <w:rFonts w:ascii="Calibri" w:cs="Calibri" w:eastAsia="Calibri" w:hAnsi="Calibri"/>
          <w:b/>
          <w:bCs/>
          <w:color w:val="1F5CA8"/>
          <w:sz w:val="24"/>
          <w:szCs w:val="24"/>
        </w:rPr>
        <w:t xml:space="preserve">4.1  The calibration curve</w:t>
      </w:r>
    </w:p>
    <w:p>
      <w:pPr>
        <w:spacing w:after="140" w:line="264"/>
        <w:jc w:val="both"/>
      </w:pPr>
      <w:r>
        <w:rPr>
          <w:rFonts w:ascii="Calibri" w:cs="Calibri" w:eastAsia="Calibri" w:hAnsi="Calibri"/>
          <w:color w:val="0B0B0B"/>
          <w:sz w:val="21"/>
          <w:szCs w:val="21"/>
        </w:rPr>
        <w:t xml:space="preserve">Every family's raw score s is mapped to money through ĝ(s) = Ê[f^{(h)} | s = ·], estimated on the training span by </w:t>
      </w:r>
      <w:r>
        <w:rPr>
          <w:rFonts w:ascii="Calibri" w:cs="Calibri" w:eastAsia="Calibri" w:hAnsi="Calibri"/>
          <w:b/>
          <w:bCs/>
          <w:color w:val="0B0B0B"/>
          <w:sz w:val="21"/>
          <w:szCs w:val="21"/>
        </w:rPr>
        <w:t xml:space="preserve">isotonic regression</w:t>
      </w:r>
      <w:r>
        <w:rPr>
          <w:rFonts w:ascii="Calibri" w:cs="Calibri" w:eastAsia="Calibri" w:hAnsi="Calibri"/>
          <w:color w:val="0B0B0B"/>
          <w:sz w:val="21"/>
          <w:szCs w:val="21"/>
        </w:rPr>
        <w:t xml:space="preserve"> (pool-adjacent-violators) within score deciles bootstrapped for confidence bands. Isotonic is the minimal-assumption choice: it imposes only monotonicity — exactly the shape claim the family's hypothesis makes — and nothing about functional form. If the family's economics do not even imply monotonicity, the family specification is wrong, not the calibrator (C1).</w:t>
      </w:r>
    </w:p>
    <w:p>
      <w:pPr>
        <w:pStyle w:val="Heading2"/>
        <w:spacing w:after="120" w:before="240"/>
      </w:pPr>
      <w:r>
        <w:rPr>
          <w:rFonts w:ascii="Calibri" w:cs="Calibri" w:eastAsia="Calibri" w:hAnsi="Calibri"/>
          <w:b/>
          <w:bCs/>
          <w:color w:val="1F5CA8"/>
          <w:sz w:val="24"/>
          <w:szCs w:val="24"/>
        </w:rPr>
        <w:t xml:space="preserve">4.2  Shrinkage of edge estimates</w:t>
      </w:r>
    </w:p>
    <w:p>
      <w:pPr>
        <w:spacing w:after="140" w:line="264"/>
        <w:jc w:val="both"/>
      </w:pPr>
      <w:r>
        <w:rPr>
          <w:rFonts w:ascii="Calibri" w:cs="Calibri" w:eastAsia="Calibri" w:hAnsi="Calibri"/>
          <w:color w:val="0B0B0B"/>
          <w:sz w:val="21"/>
          <w:szCs w:val="21"/>
        </w:rPr>
        <w:t xml:space="preserve">Point estimates of per-bucket edge are noisy; trading raw ĝ overtrades noise. Bucket means are shrunk by empirical Bayes toward zero:</w:t>
      </w:r>
    </w:p>
    <w:p>
      <w:pPr>
        <w:spacing w:after="140" w:before="60"/>
        <w:jc w:val="center"/>
      </w:pPr>
      <w:r>
        <w:rPr>
          <w:rFonts w:ascii="Cambria" w:cs="Cambria" w:eastAsia="Cambria" w:hAnsi="Cambria"/>
          <w:i/>
          <w:iCs/>
          <w:color w:val="0B0B0B"/>
          <w:sz w:val="22"/>
          <w:szCs w:val="22"/>
        </w:rPr>
        <w:t xml:space="preserve">g̃_b = ( τ̂² / (τ̂² + σ̂_b²) ) · ĝ_b</w:t>
      </w:r>
    </w:p>
    <w:p>
      <w:pPr>
        <w:spacing w:after="140" w:line="264"/>
        <w:jc w:val="both"/>
      </w:pPr>
      <w:r>
        <w:rPr>
          <w:rFonts w:ascii="Calibri" w:cs="Calibri" w:eastAsia="Calibri" w:hAnsi="Calibri"/>
          <w:color w:val="0B0B0B"/>
          <w:sz w:val="21"/>
          <w:szCs w:val="21"/>
        </w:rPr>
        <w:t xml:space="preserve">with between-bucket variance τ̂² by method of moments (James–Stein logic). Zero is the correct prior center for a cost-facing trading decision: an unshrunk 3 bps edge estimate with a 5 bps standard error must not clear a 8 bps cost line by luck. The threshold rule of §6.2 consumes g̃, never ĝ.</w:t>
      </w:r>
    </w:p>
    <w:p>
      <w:pPr>
        <w:pStyle w:val="Heading2"/>
        <w:spacing w:after="120" w:before="240"/>
      </w:pPr>
      <w:r>
        <w:rPr>
          <w:rFonts w:ascii="Calibri" w:cs="Calibri" w:eastAsia="Calibri" w:hAnsi="Calibri"/>
          <w:b/>
          <w:bCs/>
          <w:color w:val="1F5CA8"/>
          <w:sz w:val="24"/>
          <w:szCs w:val="24"/>
        </w:rPr>
        <w:t xml:space="preserve">4.3  What 'the signal works' means, formally</w:t>
      </w:r>
    </w:p>
    <w:p>
      <w:pPr>
        <w:spacing w:after="140" w:line="264"/>
        <w:jc w:val="both"/>
      </w:pPr>
      <w:r>
        <w:rPr>
          <w:rFonts w:ascii="Calibri" w:cs="Calibri" w:eastAsia="Calibri" w:hAnsi="Calibri"/>
          <w:color w:val="0B0B0B"/>
          <w:sz w:val="21"/>
          <w:szCs w:val="21"/>
        </w:rPr>
        <w:t xml:space="preserve">S1's gate |t_NW(IC)| ≥ 3 is a test of H₀: E[IC] = 0 at a size that, pre-deflation, corresponds to p ≈ 0.0027 two-sided; §8 then repays the multiplicity debt explicitly. The monotonicity gate is a test that ĝ's isotonic fit does not degenerate (fraction of pooled violations bounded); the coverage gate bounds the missing-data selection channel. Every gate in </w:t>
      </w:r>
      <w:r>
        <w:rPr>
          <w:rFonts w:ascii="Consolas" w:cs="Consolas" w:eastAsia="Consolas" w:hAnsi="Consolas"/>
          <w:color w:val="1F5CA8"/>
          <w:sz w:val="19"/>
          <w:szCs w:val="19"/>
        </w:rPr>
        <w:t xml:space="preserve">config/gates.yaml</w:t>
      </w:r>
      <w:r>
        <w:rPr>
          <w:rFonts w:ascii="Calibri" w:cs="Calibri" w:eastAsia="Calibri" w:hAnsi="Calibri"/>
          <w:color w:val="0B0B0B"/>
          <w:sz w:val="21"/>
          <w:szCs w:val="21"/>
        </w:rPr>
        <w:t xml:space="preserve"> maps to a named test in </w:t>
      </w:r>
      <w:r>
        <w:rPr>
          <w:rFonts w:ascii="Consolas" w:cs="Consolas" w:eastAsia="Consolas" w:hAnsi="Consolas"/>
          <w:color w:val="1F5CA8"/>
          <w:sz w:val="19"/>
          <w:szCs w:val="19"/>
        </w:rPr>
        <w:t xml:space="preserve">stats/</w:t>
      </w:r>
      <w:r>
        <w:rPr>
          <w:rFonts w:ascii="Calibri" w:cs="Calibri" w:eastAsia="Calibri" w:hAnsi="Calibri"/>
          <w:color w:val="0B0B0B"/>
          <w:sz w:val="21"/>
          <w:szCs w:val="21"/>
        </w:rPr>
        <w:t xml:space="preserve"> with a docstring deriving its distribution — the mapping table ships in §12.</w:t>
      </w:r>
    </w:p>
    <w:p>
      <w:pPr>
        <w:pStyle w:val="Heading1"/>
        <w:pBdr>
          <w:bottom w:val="single" w:color="D8D7D0" w:sz="6" w:space="4"/>
        </w:pBdr>
        <w:spacing w:after="170" w:before="340"/>
      </w:pPr>
      <w:r>
        <w:rPr>
          <w:rFonts w:ascii="Calibri" w:cs="Calibri" w:eastAsia="Calibri" w:hAnsi="Calibri"/>
          <w:b/>
          <w:bCs/>
          <w:color w:val="1F3A5F"/>
          <w:sz w:val="30"/>
          <w:szCs w:val="30"/>
        </w:rPr>
        <w:t xml:space="preserve">5.  Portfolio choice under transaction costs</w:t>
      </w:r>
    </w:p>
    <w:p>
      <w:pPr>
        <w:pStyle w:val="Heading2"/>
        <w:spacing w:after="120" w:before="240"/>
      </w:pPr>
      <w:r>
        <w:rPr>
          <w:rFonts w:ascii="Calibri" w:cs="Calibri" w:eastAsia="Calibri" w:hAnsi="Calibri"/>
          <w:b/>
          <w:bCs/>
          <w:color w:val="1F5CA8"/>
          <w:sz w:val="24"/>
          <w:szCs w:val="24"/>
        </w:rPr>
        <w:t xml:space="preserve">5.1  The one-period problem</w:t>
      </w:r>
    </w:p>
    <w:p>
      <w:pPr>
        <w:spacing w:after="140" w:line="264"/>
        <w:jc w:val="both"/>
      </w:pPr>
      <w:r>
        <w:rPr>
          <w:rFonts w:ascii="Calibri" w:cs="Calibri" w:eastAsia="Calibri" w:hAnsi="Calibri"/>
          <w:color w:val="0B0B0B"/>
          <w:sz w:val="21"/>
          <w:szCs w:val="21"/>
        </w:rPr>
        <w:t xml:space="preserve">Per rebalance the constructor solves</w:t>
      </w:r>
    </w:p>
    <w:p>
      <w:pPr>
        <w:spacing w:after="140" w:before="60"/>
        <w:jc w:val="center"/>
      </w:pPr>
      <w:r>
        <w:rPr>
          <w:rFonts w:ascii="Cambria" w:cs="Cambria" w:eastAsia="Cambria" w:hAnsi="Cambria"/>
          <w:i/>
          <w:iCs/>
          <w:color w:val="0B0B0B"/>
          <w:sz w:val="22"/>
          <w:szCs w:val="22"/>
        </w:rPr>
        <w:t xml:space="preserve">max_w  wᵀμ − (γ/2)·wᵀΣ̂w − κ·‖w − w₋‖₁   s.t.  |w_i| ≤ w_max,  ‖w‖₁ ≤ L,  β-neutrality where declared</w:t>
      </w:r>
    </w:p>
    <w:p>
      <w:pPr>
        <w:spacing w:after="140" w:line="264"/>
        <w:jc w:val="both"/>
      </w:pPr>
      <w:r>
        <w:rPr>
          <w:rFonts w:ascii="Calibri" w:cs="Calibri" w:eastAsia="Calibri" w:hAnsi="Calibri"/>
          <w:color w:val="0B0B0B"/>
          <w:sz w:val="21"/>
          <w:szCs w:val="21"/>
        </w:rPr>
        <w:t xml:space="preserve">with μ = g̃(s) per name and κ the </w:t>
      </w:r>
      <w:r>
        <w:rPr>
          <w:rFonts w:ascii="Calibri" w:cs="Calibri" w:eastAsia="Calibri" w:hAnsi="Calibri"/>
          <w:i/>
          <w:iCs/>
          <w:color w:val="0B0B0B"/>
          <w:sz w:val="21"/>
          <w:szCs w:val="21"/>
        </w:rPr>
        <w:t xml:space="preserve">measured</w:t>
      </w:r>
      <w:r>
        <w:rPr>
          <w:rFonts w:ascii="Calibri" w:cs="Calibri" w:eastAsia="Calibri" w:hAnsi="Calibri"/>
          <w:color w:val="0B0B0B"/>
          <w:sz w:val="21"/>
          <w:szCs w:val="21"/>
        </w:rPr>
        <w:t xml:space="preserve"> linear cost (bps) from the cost model. The L1 term is not a regularizer aesthetic — it is the literal rupee cost of trading, so the optimizer's KKT conditions already implement 'don't trade unless the marginal alpha beats the cost'. Solved by cvxpy in research; production uses the band policy below, which is its asymptotic solution.</w:t>
      </w:r>
    </w:p>
    <w:p>
      <w:pPr>
        <w:pStyle w:val="Heading2"/>
        <w:spacing w:after="120" w:before="240"/>
      </w:pPr>
      <w:r>
        <w:rPr>
          <w:rFonts w:ascii="Calibri" w:cs="Calibri" w:eastAsia="Calibri" w:hAnsi="Calibri"/>
          <w:b/>
          <w:bCs/>
          <w:color w:val="1F5CA8"/>
          <w:sz w:val="24"/>
          <w:szCs w:val="24"/>
        </w:rPr>
        <w:t xml:space="preserve">5.2  No-trade bands: the c^{1/3} law (proportional costs)</w:t>
      </w:r>
    </w:p>
    <w:p>
      <w:pPr>
        <w:spacing w:after="140" w:line="264"/>
        <w:jc w:val="both"/>
      </w:pPr>
      <w:r>
        <w:rPr>
          <w:rFonts w:ascii="Calibri" w:cs="Calibri" w:eastAsia="Calibri" w:hAnsi="Calibri"/>
          <w:color w:val="0B0B0B"/>
          <w:sz w:val="21"/>
          <w:szCs w:val="21"/>
        </w:rPr>
        <w:t xml:space="preserve">For a single position with proportional cost c, target w* and local objective curvature a = γσ² (the quadratic penalty for being off-target), the optimal policy is a </w:t>
      </w:r>
      <w:r>
        <w:rPr>
          <w:rFonts w:ascii="Calibri" w:cs="Calibri" w:eastAsia="Calibri" w:hAnsi="Calibri"/>
          <w:b/>
          <w:bCs/>
          <w:color w:val="0B0B0B"/>
          <w:sz w:val="21"/>
          <w:szCs w:val="21"/>
        </w:rPr>
        <w:t xml:space="preserve">no-trade interval</w:t>
      </w:r>
      <w:r>
        <w:rPr>
          <w:rFonts w:ascii="Calibri" w:cs="Calibri" w:eastAsia="Calibri" w:hAnsi="Calibri"/>
          <w:color w:val="0B0B0B"/>
          <w:sz w:val="21"/>
          <w:szCs w:val="21"/>
        </w:rPr>
        <w:t xml:space="preserve"> [w* − Δ, w* + Δ]: outside it, trade </w:t>
      </w:r>
      <w:r>
        <w:rPr>
          <w:rFonts w:ascii="Calibri" w:cs="Calibri" w:eastAsia="Calibri" w:hAnsi="Calibri"/>
          <w:i/>
          <w:iCs/>
          <w:color w:val="0B0B0B"/>
          <w:sz w:val="21"/>
          <w:szCs w:val="21"/>
        </w:rPr>
        <w:t xml:space="preserve">to the nearest edge</w:t>
      </w:r>
      <w:r>
        <w:rPr>
          <w:rFonts w:ascii="Calibri" w:cs="Calibri" w:eastAsia="Calibri" w:hAnsi="Calibri"/>
          <w:color w:val="0B0B0B"/>
          <w:sz w:val="21"/>
          <w:szCs w:val="21"/>
        </w:rPr>
        <w:t xml:space="preserve">, never to the center. Balancing the marginal holding penalty against the cost of the correcting trade gives the classic asymptotic</w:t>
      </w:r>
    </w:p>
    <w:p>
      <w:pPr>
        <w:spacing w:after="140" w:before="60"/>
        <w:jc w:val="center"/>
      </w:pPr>
      <w:r>
        <w:rPr>
          <w:rFonts w:ascii="Cambria" w:cs="Cambria" w:eastAsia="Cambria" w:hAnsi="Cambria"/>
          <w:i/>
          <w:iCs/>
          <w:color w:val="0B0B0B"/>
          <w:sz w:val="22"/>
          <w:szCs w:val="22"/>
        </w:rPr>
        <w:t xml:space="preserve">Δ ∝ ( 3c·σ_w² / (2·γσ²) )^{1/3}   ⇒   Δ = O(c^{1/3})</w:t>
      </w:r>
    </w:p>
    <w:p>
      <w:pPr>
        <w:spacing w:after="140" w:line="264"/>
        <w:jc w:val="both"/>
      </w:pPr>
      <w:r>
        <w:rPr>
          <w:rFonts w:ascii="Calibri" w:cs="Calibri" w:eastAsia="Calibri" w:hAnsi="Calibri"/>
          <w:color w:val="0B0B0B"/>
          <w:sz w:val="21"/>
          <w:szCs w:val="21"/>
        </w:rPr>
        <w:t xml:space="preserve">(Constantinides 1986; Davis–Norman 1990; Rogers 2004 asymptotics — the constant depends on the drift specification; the repo </w:t>
      </w:r>
      <w:r>
        <w:rPr>
          <w:rFonts w:ascii="Calibri" w:cs="Calibri" w:eastAsia="Calibri" w:hAnsi="Calibri"/>
          <w:i/>
          <w:iCs/>
          <w:color w:val="0B0B0B"/>
          <w:sz w:val="21"/>
          <w:szCs w:val="21"/>
        </w:rPr>
        <w:t xml:space="preserve">estimates</w:t>
      </w:r>
      <w:r>
        <w:rPr>
          <w:rFonts w:ascii="Calibri" w:cs="Calibri" w:eastAsia="Calibri" w:hAnsi="Calibri"/>
          <w:color w:val="0B0B0B"/>
          <w:sz w:val="21"/>
          <w:szCs w:val="21"/>
        </w:rPr>
        <w:t xml:space="preserve"> the band by direct numerical optimization of realized objective on training data and checks it respects the cube-root scaling as a sanity diagnostic). The cube root is the deep fact: halving costs widens trading much less than linearly — which is why the Flattrade-vs-Zerodha gap changes </w:t>
      </w:r>
      <w:r>
        <w:rPr>
          <w:rFonts w:ascii="Calibri" w:cs="Calibri" w:eastAsia="Calibri" w:hAnsi="Calibri"/>
          <w:i/>
          <w:iCs/>
          <w:color w:val="0B0B0B"/>
          <w:sz w:val="21"/>
          <w:szCs w:val="21"/>
        </w:rPr>
        <w:t xml:space="preserve">turnover</w:t>
      </w:r>
      <w:r>
        <w:rPr>
          <w:rFonts w:ascii="Calibri" w:cs="Calibri" w:eastAsia="Calibri" w:hAnsi="Calibri"/>
          <w:color w:val="0B0B0B"/>
          <w:sz w:val="21"/>
          <w:szCs w:val="21"/>
        </w:rPr>
        <w:t xml:space="preserve"> more than it changes </w:t>
      </w:r>
      <w:r>
        <w:rPr>
          <w:rFonts w:ascii="Calibri" w:cs="Calibri" w:eastAsia="Calibri" w:hAnsi="Calibri"/>
          <w:i/>
          <w:iCs/>
          <w:color w:val="0B0B0B"/>
          <w:sz w:val="21"/>
          <w:szCs w:val="21"/>
        </w:rPr>
        <w:t xml:space="preserve">bands</w:t>
      </w:r>
      <w:r>
        <w:rPr>
          <w:rFonts w:ascii="Calibri" w:cs="Calibri" w:eastAsia="Calibri" w:hAnsi="Calibri"/>
          <w:color w:val="0B0B0B"/>
          <w:sz w:val="21"/>
          <w:szCs w:val="21"/>
        </w:rPr>
        <w:t xml:space="preserve">.</w:t>
      </w:r>
    </w:p>
    <w:p>
      <w:pPr>
        <w:pStyle w:val="Heading2"/>
        <w:spacing w:after="120" w:before="240"/>
      </w:pPr>
      <w:r>
        <w:rPr>
          <w:rFonts w:ascii="Calibri" w:cs="Calibri" w:eastAsia="Calibri" w:hAnsi="Calibri"/>
          <w:b/>
          <w:bCs/>
          <w:color w:val="1F5CA8"/>
          <w:sz w:val="24"/>
          <w:szCs w:val="24"/>
        </w:rPr>
        <w:t xml:space="preserve">5.3  Quadratic costs and signal-speed discounting (Gârleanu–Pedersen)</w:t>
      </w:r>
    </w:p>
    <w:p>
      <w:pPr>
        <w:spacing w:after="140" w:line="264"/>
        <w:jc w:val="both"/>
      </w:pPr>
      <w:r>
        <w:rPr>
          <w:rFonts w:ascii="Calibri" w:cs="Calibri" w:eastAsia="Calibri" w:hAnsi="Calibri"/>
          <w:color w:val="0B0B0B"/>
          <w:sz w:val="21"/>
          <w:szCs w:val="21"/>
        </w:rPr>
        <w:t xml:space="preserve">With quadratic (impact-like) costs λ‖Δw‖², the closed-form optimum is </w:t>
      </w:r>
      <w:r>
        <w:rPr>
          <w:rFonts w:ascii="Calibri" w:cs="Calibri" w:eastAsia="Calibri" w:hAnsi="Calibri"/>
          <w:b/>
          <w:bCs/>
          <w:color w:val="0B0B0B"/>
          <w:sz w:val="21"/>
          <w:szCs w:val="21"/>
        </w:rPr>
        <w:t xml:space="preserve">partial adjustment toward an aim portfolio</w:t>
      </w:r>
      <w:r>
        <w:rPr>
          <w:rFonts w:ascii="Calibri" w:cs="Calibri" w:eastAsia="Calibri" w:hAnsi="Calibri"/>
          <w:color w:val="0B0B0B"/>
          <w:sz w:val="21"/>
          <w:szCs w:val="21"/>
        </w:rPr>
        <w:t xml:space="preserve">:</w:t>
      </w:r>
    </w:p>
    <w:p>
      <w:pPr>
        <w:spacing w:after="140" w:before="60"/>
        <w:jc w:val="center"/>
      </w:pPr>
      <w:r>
        <w:rPr>
          <w:rFonts w:ascii="Cambria" w:cs="Cambria" w:eastAsia="Cambria" w:hAnsi="Cambria"/>
          <w:i/>
          <w:iCs/>
          <w:color w:val="0B0B0B"/>
          <w:sz w:val="22"/>
          <w:szCs w:val="22"/>
        </w:rPr>
        <w:t xml:space="preserve">w_t = w_{t−1} + κ_GP·(aim_t − w_{t−1}),   aim_t = (γΣ)⁻¹ Σ_s [ φ_s / (φ_s + ρ) ]·μ_s,t</w:t>
      </w:r>
    </w:p>
    <w:p>
      <w:pPr>
        <w:spacing w:after="140" w:line="264"/>
        <w:jc w:val="both"/>
      </w:pPr>
      <w:r>
        <w:rPr>
          <w:rFonts w:ascii="Calibri" w:cs="Calibri" w:eastAsia="Calibri" w:hAnsi="Calibri"/>
          <w:color w:val="0B0B0B"/>
          <w:sz w:val="21"/>
          <w:szCs w:val="21"/>
        </w:rPr>
        <w:t xml:space="preserve">where each signal s decays at rate φ_s (its IC half-life, §Part II) and ρ is the trader's discount. Two implementable lessons, both used in S5: fast-decaying alphas are </w:t>
      </w:r>
      <w:r>
        <w:rPr>
          <w:rFonts w:ascii="Calibri" w:cs="Calibri" w:eastAsia="Calibri" w:hAnsi="Calibri"/>
          <w:i/>
          <w:iCs/>
          <w:color w:val="0B0B0B"/>
          <w:sz w:val="21"/>
          <w:szCs w:val="21"/>
        </w:rPr>
        <w:t xml:space="preserve">pre-discounted</w:t>
      </w:r>
      <w:r>
        <w:rPr>
          <w:rFonts w:ascii="Calibri" w:cs="Calibri" w:eastAsia="Calibri" w:hAnsi="Calibri"/>
          <w:color w:val="0B0B0B"/>
          <w:sz w:val="21"/>
          <w:szCs w:val="21"/>
        </w:rPr>
        <w:t xml:space="preserve"> in the aim (a scalper's signal counts less per unit of stated edge, because you pay to chase it), and the trading rate κ_GP rises with cost efficiency — the ₹0 broker doesn't just permit more trading, it makes more trading </w:t>
      </w:r>
      <w:r>
        <w:rPr>
          <w:rFonts w:ascii="Calibri" w:cs="Calibri" w:eastAsia="Calibri" w:hAnsi="Calibri"/>
          <w:i/>
          <w:iCs/>
          <w:color w:val="0B0B0B"/>
          <w:sz w:val="21"/>
          <w:szCs w:val="21"/>
        </w:rPr>
        <w:t xml:space="preserve">optimal</w:t>
      </w:r>
      <w:r>
        <w:rPr>
          <w:rFonts w:ascii="Calibri" w:cs="Calibri" w:eastAsia="Calibri" w:hAnsi="Calibri"/>
          <w:color w:val="0B0B0B"/>
          <w:sz w:val="21"/>
          <w:szCs w:val="21"/>
        </w:rPr>
        <w:t xml:space="preserve"> for the same signals. The production engine approximates GP with the band policy plus aim-weighting; the approximation error is measured in S5's combined-blotter simulation, not assumed away.</w:t>
      </w:r>
    </w:p>
    <w:p>
      <w:pPr>
        <w:pStyle w:val="Heading2"/>
        <w:spacing w:after="120" w:before="240"/>
      </w:pPr>
      <w:r>
        <w:rPr>
          <w:rFonts w:ascii="Calibri" w:cs="Calibri" w:eastAsia="Calibri" w:hAnsi="Calibri"/>
          <w:b/>
          <w:bCs/>
          <w:color w:val="1F5CA8"/>
          <w:sz w:val="24"/>
          <w:szCs w:val="24"/>
        </w:rPr>
        <w:t xml:space="preserve">5.4  Sizing and leverage</w:t>
      </w:r>
    </w:p>
    <w:p>
      <w:pPr>
        <w:spacing w:after="140" w:line="264"/>
        <w:jc w:val="both"/>
      </w:pPr>
      <w:r>
        <w:rPr>
          <w:rFonts w:ascii="Calibri" w:cs="Calibri" w:eastAsia="Calibri" w:hAnsi="Calibri"/>
          <w:color w:val="0B0B0B"/>
          <w:sz w:val="21"/>
          <w:szCs w:val="21"/>
        </w:rPr>
        <w:t xml:space="preserve">Gross exposure is set by inverting the portfolio variance forecast to the vol target: G_t = σ*/√(w̃ᵀΣ̂w̃) clipped to [0, L_max]. Kelly is deliberately not used raw: with estimation error in μ the Kelly weight is famously fragile (the estimator's sampling error enters squared); the vol-target rule is the mean-variance solution under a fixed risk budget and degrades gracefully. A fractional-Kelly diagnostic is </w:t>
      </w:r>
      <w:r>
        <w:rPr>
          <w:rFonts w:ascii="Calibri" w:cs="Calibri" w:eastAsia="Calibri" w:hAnsi="Calibri"/>
          <w:i/>
          <w:iCs/>
          <w:color w:val="0B0B0B"/>
          <w:sz w:val="21"/>
          <w:szCs w:val="21"/>
        </w:rPr>
        <w:t xml:space="preserve">reported</w:t>
      </w:r>
      <w:r>
        <w:rPr>
          <w:rFonts w:ascii="Calibri" w:cs="Calibri" w:eastAsia="Calibri" w:hAnsi="Calibri"/>
          <w:color w:val="0B0B0B"/>
          <w:sz w:val="21"/>
          <w:szCs w:val="21"/>
        </w:rPr>
        <w:t xml:space="preserve"> (f = μ̂/σ̂² per pipeline) so the human can see how far below full Kelly the risk budget sits — typically 5–10×, which is the correct side to err on.</w:t>
      </w:r>
    </w:p>
    <w:p>
      <w:pPr>
        <w:pStyle w:val="Heading1"/>
        <w:pBdr>
          <w:bottom w:val="single" w:color="D8D7D0" w:sz="6" w:space="4"/>
        </w:pBdr>
        <w:spacing w:after="170" w:before="340"/>
      </w:pPr>
      <w:r>
        <w:rPr>
          <w:rFonts w:ascii="Calibri" w:cs="Calibri" w:eastAsia="Calibri" w:hAnsi="Calibri"/>
          <w:b/>
          <w:bCs/>
          <w:color w:val="1F3A5F"/>
          <w:sz w:val="30"/>
          <w:szCs w:val="30"/>
        </w:rPr>
        <w:t xml:space="preserve">6.  Turnover calculus (full derivations)</w:t>
      </w:r>
    </w:p>
    <w:p>
      <w:pPr>
        <w:pStyle w:val="Heading2"/>
        <w:spacing w:after="120" w:before="240"/>
      </w:pPr>
      <w:r>
        <w:rPr>
          <w:rFonts w:ascii="Calibri" w:cs="Calibri" w:eastAsia="Calibri" w:hAnsi="Calibri"/>
          <w:b/>
          <w:bCs/>
          <w:color w:val="1F5CA8"/>
          <w:sz w:val="24"/>
          <w:szCs w:val="24"/>
        </w:rPr>
        <w:t xml:space="preserve">6.1  Optimal holding period</w:t>
      </w:r>
    </w:p>
    <w:p>
      <w:pPr>
        <w:spacing w:after="140" w:line="264"/>
        <w:jc w:val="both"/>
      </w:pPr>
      <w:r>
        <w:rPr>
          <w:rFonts w:ascii="Calibri" w:cs="Calibri" w:eastAsia="Calibri" w:hAnsi="Calibri"/>
          <w:color w:val="0B0B0B"/>
          <w:sz w:val="21"/>
          <w:szCs w:val="21"/>
        </w:rPr>
        <w:t xml:space="preserve">Let α(h) be gross edge per round trip as a function of holding period h — estimated, not assumed: α(h) is read off the family's IC-decay curve times realized dispersion (Part II per family). Rotating one unit of capital repeatedly, value accrues at rate ρ(h) = (α(h) − c)/h. Differentiating and setting ρ′(h) = 0:</w:t>
      </w:r>
    </w:p>
    <w:p>
      <w:pPr>
        <w:spacing w:after="140" w:before="60"/>
        <w:jc w:val="center"/>
      </w:pPr>
      <w:r>
        <w:rPr>
          <w:rFonts w:ascii="Cambria" w:cs="Cambria" w:eastAsia="Cambria" w:hAnsi="Cambria"/>
          <w:i/>
          <w:iCs/>
          <w:color w:val="0B0B0B"/>
          <w:sz w:val="22"/>
          <w:szCs w:val="22"/>
        </w:rPr>
        <w:t xml:space="preserve">ρ′(h) = [ α′(h)·h − (α(h) − c) ] / h²  =  0   ⇒   α′(h*) = ( α(h*) − c ) / h*  =  ρ(h*)</w:t>
      </w:r>
    </w:p>
    <w:p>
      <w:pPr>
        <w:spacing w:after="140" w:line="264"/>
        <w:jc w:val="both"/>
      </w:pPr>
      <w:r>
        <w:rPr>
          <w:rFonts w:ascii="Calibri" w:cs="Calibri" w:eastAsia="Calibri" w:hAnsi="Calibri"/>
          <w:i/>
          <w:iCs/>
          <w:color w:val="0B0B0B"/>
          <w:sz w:val="21"/>
          <w:szCs w:val="21"/>
        </w:rPr>
        <w:t xml:space="preserve">Interpretation:</w:t>
      </w:r>
      <w:r>
        <w:rPr>
          <w:rFonts w:ascii="Calibri" w:cs="Calibri" w:eastAsia="Calibri" w:hAnsi="Calibri"/>
          <w:color w:val="0B0B0B"/>
          <w:sz w:val="21"/>
          <w:szCs w:val="21"/>
        </w:rPr>
        <w:t xml:space="preserve"> extend the hold until the marginal rate of edge accrual falls to the average net rate — the Faustmann rotation condition from renewable-resource economics, transplanted intact. For the empirically typical concave family α(h) = a·h^γ, 0 &lt; γ &lt; 1:</w:t>
      </w:r>
    </w:p>
    <w:p>
      <w:pPr>
        <w:spacing w:after="140" w:before="60"/>
        <w:jc w:val="center"/>
      </w:pPr>
      <w:r>
        <w:rPr>
          <w:rFonts w:ascii="Cambria" w:cs="Cambria" w:eastAsia="Cambria" w:hAnsi="Cambria"/>
          <w:i/>
          <w:iCs/>
          <w:color w:val="0B0B0B"/>
          <w:sz w:val="22"/>
          <w:szCs w:val="22"/>
        </w:rPr>
        <w:t xml:space="preserve">h* = [ c / (a(1−γ)) ]^{1/γ},    α(h*) = c/(1−γ),    net edge per trade = c·γ/(1−γ)</w:t>
      </w:r>
    </w:p>
    <w:p>
      <w:pPr>
        <w:spacing w:after="140" w:line="264"/>
        <w:jc w:val="both"/>
      </w:pPr>
      <w:r>
        <w:rPr>
          <w:rFonts w:ascii="Calibri" w:cs="Calibri" w:eastAsia="Calibri" w:hAnsi="Calibri"/>
          <w:color w:val="0B0B0B"/>
          <w:sz w:val="21"/>
          <w:szCs w:val="21"/>
        </w:rPr>
        <w:t xml:space="preserve">Second-order check: ρ″(h*) &lt; 0 holds for all γ ∈ (0,1) (the objective is strictly quasiconcave on h &gt; 0), so the stationary point is the maximum. Corollaries used throughout: at γ = ½, gross edge at the optimum equals </w:t>
      </w:r>
      <w:r>
        <w:rPr>
          <w:rFonts w:ascii="Calibri" w:cs="Calibri" w:eastAsia="Calibri" w:hAnsi="Calibri"/>
          <w:b/>
          <w:bCs/>
          <w:color w:val="0B0B0B"/>
          <w:sz w:val="21"/>
          <w:szCs w:val="21"/>
        </w:rPr>
        <w:t xml:space="preserve">2c</w:t>
      </w:r>
      <w:r>
        <w:rPr>
          <w:rFonts w:ascii="Calibri" w:cs="Calibri" w:eastAsia="Calibri" w:hAnsi="Calibri"/>
          <w:color w:val="0B0B0B"/>
          <w:sz w:val="21"/>
          <w:szCs w:val="21"/>
        </w:rPr>
        <w:t xml:space="preserve"> (the screening heuristic); h* scales as (c/a)^{1/γ} — cost reductions shorten optimal holds superlinearly when decay is fast.</w:t>
      </w:r>
    </w:p>
    <w:p>
      <w:pPr>
        <w:pStyle w:val="Heading2"/>
        <w:spacing w:after="120" w:before="240"/>
      </w:pPr>
      <w:r>
        <w:rPr>
          <w:rFonts w:ascii="Calibri" w:cs="Calibri" w:eastAsia="Calibri" w:hAnsi="Calibri"/>
          <w:b/>
          <w:bCs/>
          <w:color w:val="1F5CA8"/>
          <w:sz w:val="24"/>
          <w:szCs w:val="24"/>
        </w:rPr>
        <w:t xml:space="preserve">6.2  Optimal selectivity</w:t>
      </w:r>
    </w:p>
    <w:p>
      <w:pPr>
        <w:spacing w:after="140" w:line="264"/>
        <w:jc w:val="both"/>
      </w:pPr>
      <w:r>
        <w:rPr>
          <w:rFonts w:ascii="Calibri" w:cs="Calibri" w:eastAsia="Calibri" w:hAnsi="Calibri"/>
          <w:color w:val="0B0B0B"/>
          <w:sz w:val="21"/>
          <w:szCs w:val="21"/>
        </w:rPr>
        <w:t xml:space="preserve">Let opportunities arrive with conditional edge g (from the calibrated, shrunk curve g̃) and density n(g) per day. Trading all opportunities with g ≥ τ yields daily net Π(τ) = ∫_τ^∞ (g − c)·n(g) dg, so</w:t>
      </w:r>
    </w:p>
    <w:p>
      <w:pPr>
        <w:spacing w:after="140" w:before="60"/>
        <w:jc w:val="center"/>
      </w:pPr>
      <w:r>
        <w:rPr>
          <w:rFonts w:ascii="Cambria" w:cs="Cambria" w:eastAsia="Cambria" w:hAnsi="Cambria"/>
          <w:i/>
          <w:iCs/>
          <w:color w:val="0B0B0B"/>
          <w:sz w:val="22"/>
          <w:szCs w:val="22"/>
        </w:rPr>
        <w:t xml:space="preserve">dΠ/dτ = −( τ − c )·n(τ)   ⇒   τ* = c    (risk-neutral);   τ* = c + λ·σ_trade  (risk-adjusted)</w:t>
      </w:r>
    </w:p>
    <w:p>
      <w:pPr>
        <w:spacing w:after="140" w:line="264"/>
        <w:jc w:val="both"/>
      </w:pPr>
      <w:r>
        <w:rPr>
          <w:rFonts w:ascii="Calibri" w:cs="Calibri" w:eastAsia="Calibri" w:hAnsi="Calibri"/>
          <w:color w:val="0B0B0B"/>
          <w:sz w:val="21"/>
          <w:szCs w:val="21"/>
        </w:rPr>
        <w:t xml:space="preserve">The marginal admitted trade breaks even against the all-in cost line; λ prices the variance the marginal trade adds against the portfolio's risk budget (λ is the Lagrange multiplier on the σ* constraint from §5.1, not a free mood parameter). Optimal turnover is then </w:t>
      </w:r>
      <w:r>
        <w:rPr>
          <w:rFonts w:ascii="Calibri" w:cs="Calibri" w:eastAsia="Calibri" w:hAnsi="Calibri"/>
          <w:i/>
          <w:iCs/>
          <w:color w:val="0B0B0B"/>
          <w:sz w:val="21"/>
          <w:szCs w:val="21"/>
        </w:rPr>
        <w:t xml:space="preserve">emergent</w:t>
      </w:r>
      <w:r>
        <w:rPr>
          <w:rFonts w:ascii="Calibri" w:cs="Calibri" w:eastAsia="Calibri" w:hAnsi="Calibri"/>
          <w:color w:val="0B0B0B"/>
          <w:sz w:val="21"/>
          <w:szCs w:val="21"/>
        </w:rPr>
        <w:t xml:space="preserve">: T* = ∫_{τ*}^∞ n(g) dg × average ticket ÷ capital. This is the formal content of 'turnover is an output'.</w:t>
      </w:r>
    </w:p>
    <w:p>
      <w:pPr>
        <w:pStyle w:val="Heading2"/>
        <w:spacing w:after="120" w:before="240"/>
      </w:pPr>
      <w:r>
        <w:rPr>
          <w:rFonts w:ascii="Calibri" w:cs="Calibri" w:eastAsia="Calibri" w:hAnsi="Calibri"/>
          <w:b/>
          <w:bCs/>
          <w:color w:val="1F5CA8"/>
          <w:sz w:val="24"/>
          <w:szCs w:val="24"/>
        </w:rPr>
        <w:t xml:space="preserve">6.3  Consistency check between the two conditions</w:t>
      </w:r>
    </w:p>
    <w:p>
      <w:pPr>
        <w:spacing w:after="140" w:line="264"/>
        <w:jc w:val="both"/>
      </w:pPr>
      <w:r>
        <w:rPr>
          <w:rFonts w:ascii="Calibri" w:cs="Calibri" w:eastAsia="Calibri" w:hAnsi="Calibri"/>
          <w:color w:val="0B0B0B"/>
          <w:sz w:val="21"/>
          <w:szCs w:val="21"/>
        </w:rPr>
        <w:t xml:space="preserve">§6.1 optimizes when to exit; §6.2 optimizes what to enter; they interact through α(h) (which depends on the admitted population) and are solved jointly in S5 by coordinate descent — alternate (τ | h) and (h | τ) until fixed point; each subproblem is single-dimensional and unimodal on the estimated curves, so convergence is monotone in the objective. Both curves are re-estimated per walk-forward fold; the </w:t>
      </w:r>
      <w:r>
        <w:rPr>
          <w:rFonts w:ascii="Calibri" w:cs="Calibri" w:eastAsia="Calibri" w:hAnsi="Calibri"/>
          <w:i/>
          <w:iCs/>
          <w:color w:val="0B0B0B"/>
          <w:sz w:val="21"/>
          <w:szCs w:val="21"/>
        </w:rPr>
        <w:t xml:space="preserve">fold-to-fold dispersion of (τ</w:t>
      </w:r>
      <w:r>
        <w:rPr>
          <w:rFonts w:ascii="Calibri" w:cs="Calibri" w:eastAsia="Calibri" w:hAnsi="Calibri"/>
          <w:color w:val="0B0B0B"/>
          <w:sz w:val="21"/>
          <w:szCs w:val="21"/>
        </w:rPr>
        <w:t xml:space="preserve">, h*)* is itself a robustness statistic (an optimum that teleports between folds fails S3).</w:t>
      </w:r>
    </w:p>
    <w:p>
      <w:pPr>
        <w:pStyle w:val="Heading1"/>
        <w:pBdr>
          <w:bottom w:val="single" w:color="D8D7D0" w:sz="6" w:space="4"/>
        </w:pBdr>
        <w:spacing w:after="170" w:before="340"/>
      </w:pPr>
      <w:r>
        <w:rPr>
          <w:rFonts w:ascii="Calibri" w:cs="Calibri" w:eastAsia="Calibri" w:hAnsi="Calibri"/>
          <w:b/>
          <w:bCs/>
          <w:color w:val="1F3A5F"/>
          <w:sz w:val="30"/>
          <w:szCs w:val="30"/>
        </w:rPr>
        <w:t xml:space="preserve">7.  Risk estimation</w:t>
      </w:r>
    </w:p>
    <w:p>
      <w:pPr>
        <w:pStyle w:val="Heading2"/>
        <w:spacing w:after="120" w:before="240"/>
      </w:pPr>
      <w:r>
        <w:rPr>
          <w:rFonts w:ascii="Calibri" w:cs="Calibri" w:eastAsia="Calibri" w:hAnsi="Calibri"/>
          <w:b/>
          <w:bCs/>
          <w:color w:val="1F5CA8"/>
          <w:sz w:val="24"/>
          <w:szCs w:val="24"/>
        </w:rPr>
        <w:t xml:space="preserve">7.1  Volatility</w:t>
      </w:r>
    </w:p>
    <w:p>
      <w:pPr>
        <w:spacing w:after="140" w:line="264"/>
        <w:jc w:val="both"/>
      </w:pPr>
      <w:r>
        <w:rPr>
          <w:rFonts w:ascii="Calibri" w:cs="Calibri" w:eastAsia="Calibri" w:hAnsi="Calibri"/>
          <w:color w:val="0B0B0B"/>
          <w:sz w:val="21"/>
          <w:szCs w:val="21"/>
        </w:rPr>
        <w:t xml:space="preserve">Per-name conditional variance uses EWMA on bar returns, σ²_t = λσ²_{t−1} + (1−λ)r²_t, with λ set by half-life (HL = ln2 / ln(1/λ)) chosen per use: fast (HL ≈ 1 session) for position sizing, slow (HL ≈ 20 sessions) for universe stats. EWMA is the honest default: GARCH adds parameters whose intraday estimation is fragile, and the use here (scaling, not derivative pricing) is first-order insensitive to that refinement — documented as a C5-style deliberate simplicity, revisitable with evidence. Realized variance at horizons ≤ 5m uses 5-minute subsampled RV or a noise-robust estimator; naive 1s RV is biased upward by 2·E[u²]/Δ per unit time (noise term), which is material at the fine tier.</w:t>
      </w:r>
    </w:p>
    <w:p>
      <w:pPr>
        <w:pStyle w:val="Heading2"/>
        <w:spacing w:after="120" w:before="240"/>
      </w:pPr>
      <w:r>
        <w:rPr>
          <w:rFonts w:ascii="Calibri" w:cs="Calibri" w:eastAsia="Calibri" w:hAnsi="Calibri"/>
          <w:b/>
          <w:bCs/>
          <w:color w:val="1F5CA8"/>
          <w:sz w:val="24"/>
          <w:szCs w:val="24"/>
        </w:rPr>
        <w:t xml:space="preserve">7.2  Diurnal normalization</w:t>
      </w:r>
    </w:p>
    <w:p>
      <w:pPr>
        <w:spacing w:after="140" w:line="264"/>
        <w:jc w:val="both"/>
      </w:pPr>
      <w:r>
        <w:rPr>
          <w:rFonts w:ascii="Calibri" w:cs="Calibri" w:eastAsia="Calibri" w:hAnsi="Calibri"/>
          <w:color w:val="0B0B0B"/>
          <w:sz w:val="21"/>
          <w:szCs w:val="21"/>
        </w:rPr>
        <w:t xml:space="preserve">Intraday volatility has a hard U-shape; every z-score and vol-scaled signal divides by the </w:t>
      </w:r>
      <w:r>
        <w:rPr>
          <w:rFonts w:ascii="Calibri" w:cs="Calibri" w:eastAsia="Calibri" w:hAnsi="Calibri"/>
          <w:i/>
          <w:iCs/>
          <w:color w:val="0B0B0B"/>
          <w:sz w:val="21"/>
          <w:szCs w:val="21"/>
        </w:rPr>
        <w:t xml:space="preserve">time-of-day-adjusted</w:t>
      </w:r>
      <w:r>
        <w:rPr>
          <w:rFonts w:ascii="Calibri" w:cs="Calibri" w:eastAsia="Calibri" w:hAnsi="Calibri"/>
          <w:color w:val="0B0B0B"/>
          <w:sz w:val="21"/>
          <w:szCs w:val="21"/>
        </w:rPr>
        <w:t xml:space="preserve"> σ: σ_{i,t} = σ_i · φ_τ(t), where φ_τ is the multiplicative diurnal profile estimated per liquidity bucket by robust averaging of |r| over the same clock-time across sessions (shrunk across names). Skipping this step manufactures fake 'signals' at the open — one of the most common voodoo sources in intraday work, eliminated structurally here.</w:t>
      </w:r>
    </w:p>
    <w:p>
      <w:pPr>
        <w:pStyle w:val="Heading1"/>
        <w:pBdr>
          <w:bottom w:val="single" w:color="D8D7D0" w:sz="6" w:space="4"/>
        </w:pBdr>
        <w:spacing w:after="170" w:before="340"/>
      </w:pPr>
      <w:r>
        <w:rPr>
          <w:rFonts w:ascii="Calibri" w:cs="Calibri" w:eastAsia="Calibri" w:hAnsi="Calibri"/>
          <w:b/>
          <w:bCs/>
          <w:color w:val="1F3A5F"/>
          <w:sz w:val="30"/>
          <w:szCs w:val="30"/>
        </w:rPr>
        <w:t xml:space="preserve">8.  Inference under massive search (the multiplicity ledger, formally)</w:t>
      </w:r>
    </w:p>
    <w:p>
      <w:pPr>
        <w:pStyle w:val="Heading2"/>
        <w:spacing w:after="120" w:before="240"/>
      </w:pPr>
      <w:r>
        <w:rPr>
          <w:rFonts w:ascii="Calibri" w:cs="Calibri" w:eastAsia="Calibri" w:hAnsi="Calibri"/>
          <w:b/>
          <w:bCs/>
          <w:color w:val="1F5CA8"/>
          <w:sz w:val="24"/>
          <w:szCs w:val="24"/>
        </w:rPr>
        <w:t xml:space="preserve">8.1  The problem stated</w:t>
      </w:r>
    </w:p>
    <w:p>
      <w:pPr>
        <w:spacing w:after="140" w:line="264"/>
        <w:jc w:val="both"/>
      </w:pPr>
      <w:r>
        <w:rPr>
          <w:rFonts w:ascii="Calibri" w:cs="Calibri" w:eastAsia="Calibri" w:hAnsi="Calibri"/>
          <w:color w:val="0B0B0B"/>
          <w:sz w:val="21"/>
          <w:szCs w:val="21"/>
        </w:rPr>
        <w:t xml:space="preserve">If N configurations are tried and the best selected, the expected maximum of their (approximately normal, correlated) Sharpe estimates grows like √(2 ln N) even under the global null of zero edge. Selection without correction manufactures alpha from noise with probability → 1. Everything below exists to price this.</w:t>
      </w:r>
    </w:p>
    <w:p>
      <w:pPr>
        <w:pStyle w:val="Heading2"/>
        <w:spacing w:after="120" w:before="240"/>
      </w:pPr>
      <w:r>
        <w:rPr>
          <w:rFonts w:ascii="Calibri" w:cs="Calibri" w:eastAsia="Calibri" w:hAnsi="Calibri"/>
          <w:b/>
          <w:bCs/>
          <w:color w:val="1F5CA8"/>
          <w:sz w:val="24"/>
          <w:szCs w:val="24"/>
        </w:rPr>
        <w:t xml:space="preserve">8.2  Expected maximum under the null</w:t>
      </w:r>
    </w:p>
    <w:p>
      <w:pPr>
        <w:spacing w:after="140" w:before="60"/>
        <w:jc w:val="center"/>
      </w:pPr>
      <w:r>
        <w:rPr>
          <w:rFonts w:ascii="Cambria" w:cs="Cambria" w:eastAsia="Cambria" w:hAnsi="Cambria"/>
          <w:i/>
          <w:iCs/>
          <w:color w:val="0B0B0B"/>
          <w:sz w:val="22"/>
          <w:szCs w:val="22"/>
        </w:rPr>
        <w:t xml:space="preserve">E[max SR̂] ≈ √V[SR̂] · [ (1−γ)·Φ⁻¹(1 − 1/N) + γ·Φ⁻¹(1 − 1/(N·e)) ],   γ ≈ 0.5772 (Euler–Mascheroni)</w:t>
      </w:r>
    </w:p>
    <w:p>
      <w:pPr>
        <w:spacing w:after="140" w:line="264"/>
        <w:jc w:val="both"/>
      </w:pPr>
      <w:r>
        <w:rPr>
          <w:rFonts w:ascii="Calibri" w:cs="Calibri" w:eastAsia="Calibri" w:hAnsi="Calibri"/>
          <w:color w:val="0B0B0B"/>
          <w:sz w:val="21"/>
          <w:szCs w:val="21"/>
        </w:rPr>
        <w:t xml:space="preserve">with N the </w:t>
      </w:r>
      <w:r>
        <w:rPr>
          <w:rFonts w:ascii="Calibri" w:cs="Calibri" w:eastAsia="Calibri" w:hAnsi="Calibri"/>
          <w:i/>
          <w:iCs/>
          <w:color w:val="0B0B0B"/>
          <w:sz w:val="21"/>
          <w:szCs w:val="21"/>
        </w:rPr>
        <w:t xml:space="preserve">effective</w:t>
      </w:r>
      <w:r>
        <w:rPr>
          <w:rFonts w:ascii="Calibri" w:cs="Calibri" w:eastAsia="Calibri" w:hAnsi="Calibri"/>
          <w:color w:val="0B0B0B"/>
          <w:sz w:val="21"/>
          <w:szCs w:val="21"/>
        </w:rPr>
        <w:t xml:space="preserve"> trial count from the registry (distinct config hashes at stage rank ≥ 2, plus the S1 discount convention; correlated trials reduce effective N — the registry stores the trial correlation proxy so the report can show both raw and clustered N).</w:t>
      </w:r>
    </w:p>
    <w:p>
      <w:pPr>
        <w:pStyle w:val="Heading2"/>
        <w:spacing w:after="120" w:before="240"/>
      </w:pPr>
      <w:r>
        <w:rPr>
          <w:rFonts w:ascii="Calibri" w:cs="Calibri" w:eastAsia="Calibri" w:hAnsi="Calibri"/>
          <w:b/>
          <w:bCs/>
          <w:color w:val="1F5CA8"/>
          <w:sz w:val="24"/>
          <w:szCs w:val="24"/>
        </w:rPr>
        <w:t xml:space="preserve">8.3  Deflated Sharpe ratio</w:t>
      </w:r>
    </w:p>
    <w:p>
      <w:pPr>
        <w:spacing w:after="140" w:line="264"/>
        <w:jc w:val="both"/>
      </w:pPr>
      <w:r>
        <w:rPr>
          <w:rFonts w:ascii="Calibri" w:cs="Calibri" w:eastAsia="Calibri" w:hAnsi="Calibri"/>
          <w:color w:val="0B0B0B"/>
          <w:sz w:val="21"/>
          <w:szCs w:val="21"/>
        </w:rPr>
        <w:t xml:space="preserve">The variance of the Sharpe estimator under non-normal returns (Lo 2002; Mertens 2002):</w:t>
      </w:r>
    </w:p>
    <w:p>
      <w:pPr>
        <w:spacing w:after="140" w:before="60"/>
        <w:jc w:val="center"/>
      </w:pPr>
      <w:r>
        <w:rPr>
          <w:rFonts w:ascii="Cambria" w:cs="Cambria" w:eastAsia="Cambria" w:hAnsi="Cambria"/>
          <w:i/>
          <w:iCs/>
          <w:color w:val="0B0B0B"/>
          <w:sz w:val="22"/>
          <w:szCs w:val="22"/>
        </w:rPr>
        <w:t xml:space="preserve">V[SR̂] = ( 1 − γ₃·SR + ((γ₄ − 1)/4)·SR² ) / (T − 1)</w:t>
      </w:r>
    </w:p>
    <w:p>
      <w:pPr>
        <w:spacing w:after="140" w:line="264"/>
        <w:jc w:val="both"/>
      </w:pPr>
      <w:r>
        <w:rPr>
          <w:rFonts w:ascii="Calibri" w:cs="Calibri" w:eastAsia="Calibri" w:hAnsi="Calibri"/>
          <w:color w:val="0B0B0B"/>
          <w:sz w:val="21"/>
          <w:szCs w:val="21"/>
        </w:rPr>
        <w:t xml:space="preserve">with γ₃ skewness, γ₄ kurtosis of daily net PnL. The deflated Sharpe ratio is then</w:t>
      </w:r>
    </w:p>
    <w:p>
      <w:pPr>
        <w:spacing w:after="140" w:before="60"/>
        <w:jc w:val="center"/>
      </w:pPr>
      <w:r>
        <w:rPr>
          <w:rFonts w:ascii="Cambria" w:cs="Cambria" w:eastAsia="Cambria" w:hAnsi="Cambria"/>
          <w:i/>
          <w:iCs/>
          <w:color w:val="0B0B0B"/>
          <w:sz w:val="22"/>
          <w:szCs w:val="22"/>
        </w:rPr>
        <w:t xml:space="preserve">DSR = Φ( (SR̂ − SR₀)·√(T−1) / √(1 − γ₃SR̂ + ((γ₄−1)/4)SR̂²) ),   SR₀ = E[max SR̂ | null, N]</w:t>
      </w:r>
    </w:p>
    <w:p>
      <w:pPr>
        <w:spacing w:after="140" w:line="264"/>
        <w:jc w:val="both"/>
      </w:pPr>
      <w:r>
        <w:rPr>
          <w:rFonts w:ascii="Calibri" w:cs="Calibri" w:eastAsia="Calibri" w:hAnsi="Calibri"/>
          <w:color w:val="0B0B0B"/>
          <w:sz w:val="21"/>
          <w:szCs w:val="21"/>
        </w:rPr>
        <w:t xml:space="preserve">Gate: DSR ≥ 0.95 — the probability the true Sharpe is positive, </w:t>
      </w:r>
      <w:r>
        <w:rPr>
          <w:rFonts w:ascii="Calibri" w:cs="Calibri" w:eastAsia="Calibri" w:hAnsi="Calibri"/>
          <w:i/>
          <w:iCs/>
          <w:color w:val="0B0B0B"/>
          <w:sz w:val="21"/>
          <w:szCs w:val="21"/>
        </w:rPr>
        <w:t xml:space="preserve">after</w:t>
      </w:r>
      <w:r>
        <w:rPr>
          <w:rFonts w:ascii="Calibri" w:cs="Calibri" w:eastAsia="Calibri" w:hAnsi="Calibri"/>
          <w:color w:val="0B0B0B"/>
          <w:sz w:val="21"/>
          <w:szCs w:val="21"/>
        </w:rPr>
        <w:t xml:space="preserve"> paying for every look at the data, exceeds 95%. Intraday PnL is typically left-skewed with fat tails (stops truncate wins less than gaps truncate stops), which the γ₃, γ₄ terms penalize automatically — a normal-theory Sharpe would flatter exactly the strategies that deserve it least.</w:t>
      </w:r>
    </w:p>
    <w:p>
      <w:pPr>
        <w:pStyle w:val="Heading2"/>
        <w:spacing w:after="120" w:before="240"/>
      </w:pPr>
      <w:r>
        <w:rPr>
          <w:rFonts w:ascii="Calibri" w:cs="Calibri" w:eastAsia="Calibri" w:hAnsi="Calibri"/>
          <w:b/>
          <w:bCs/>
          <w:color w:val="1F5CA8"/>
          <w:sz w:val="24"/>
          <w:szCs w:val="24"/>
        </w:rPr>
        <w:t xml:space="preserve">8.4  PBO, SPA, and FDR — the rest of the battery</w:t>
      </w:r>
    </w:p>
    <w:p>
      <w:pPr>
        <w:pStyle w:val="ListParagraph"/>
        <w:numPr>
          <w:ilvl w:val="0"/>
          <w:numId w:val="2"/>
        </w:numPr>
        <w:spacing w:after="90" w:line="258"/>
      </w:pPr>
      <w:r>
        <w:rPr>
          <w:rFonts w:ascii="Calibri" w:cs="Calibri" w:eastAsia="Calibri" w:hAnsi="Calibri"/>
          <w:b/>
          <w:bCs/>
          <w:color w:val="0B0B0B"/>
          <w:sz w:val="21"/>
          <w:szCs w:val="21"/>
        </w:rPr>
        <w:t xml:space="preserve">PBO (probability of backtest overfitting)</w:t>
      </w:r>
      <w:r>
        <w:rPr>
          <w:rFonts w:ascii="Calibri" w:cs="Calibri" w:eastAsia="Calibri" w:hAnsi="Calibri"/>
          <w:color w:val="0B0B0B"/>
          <w:sz w:val="21"/>
          <w:szCs w:val="21"/>
        </w:rPr>
        <w:t xml:space="preserve"> via CPCV: split the span into 16 blocks; over C(16,8) = 12,870 train/test recombinations (500 sampled uniformly), find the in-sample-best config and record its out-of-sample relative rank ω; PBO = P(ω &lt; median). Purge and embargo are applied </w:t>
      </w:r>
      <w:r>
        <w:rPr>
          <w:rFonts w:ascii="Calibri" w:cs="Calibri" w:eastAsia="Calibri" w:hAnsi="Calibri"/>
          <w:i/>
          <w:iCs/>
          <w:color w:val="0B0B0B"/>
          <w:sz w:val="21"/>
          <w:szCs w:val="21"/>
        </w:rPr>
        <w:t xml:space="preserve">inside every split</w:t>
      </w:r>
      <w:r>
        <w:rPr>
          <w:rFonts w:ascii="Calibri" w:cs="Calibri" w:eastAsia="Calibri" w:hAnsi="Calibri"/>
          <w:color w:val="0B0B0B"/>
          <w:sz w:val="21"/>
          <w:szCs w:val="21"/>
        </w:rPr>
        <w:t xml:space="preserve">. Gate ≤ 0.25.</w:t>
      </w:r>
    </w:p>
    <w:p>
      <w:pPr>
        <w:pStyle w:val="ListParagraph"/>
        <w:numPr>
          <w:ilvl w:val="0"/>
          <w:numId w:val="2"/>
        </w:numPr>
        <w:spacing w:after="90" w:line="258"/>
      </w:pPr>
      <w:r>
        <w:rPr>
          <w:rFonts w:ascii="Calibri" w:cs="Calibri" w:eastAsia="Calibri" w:hAnsi="Calibri"/>
          <w:b/>
          <w:bCs/>
          <w:color w:val="0B0B0B"/>
          <w:sz w:val="21"/>
          <w:szCs w:val="21"/>
        </w:rPr>
        <w:t xml:space="preserve">SPA (Hansen 2005)</w:t>
      </w:r>
      <w:r>
        <w:rPr>
          <w:rFonts w:ascii="Calibri" w:cs="Calibri" w:eastAsia="Calibri" w:hAnsi="Calibri"/>
          <w:color w:val="0B0B0B"/>
          <w:sz w:val="21"/>
          <w:szCs w:val="21"/>
        </w:rPr>
        <w:t xml:space="preserve"> against the whole tried family: stationary bootstrap (Politis–Romano, mean block ≈ 20 days) of daily net PnL differentials versus each rival; the studentized max statistic tests H₀: no tried config beats the candidate's benchmark set. Gate p ≤ 0.10. This is White's reality check with Hansen's studentization, which removes the irrelevant-alternatives bias.</w:t>
      </w:r>
    </w:p>
    <w:p>
      <w:pPr>
        <w:pStyle w:val="ListParagraph"/>
        <w:numPr>
          <w:ilvl w:val="0"/>
          <w:numId w:val="2"/>
        </w:numPr>
        <w:spacing w:after="90" w:line="258"/>
      </w:pPr>
      <w:r>
        <w:rPr>
          <w:rFonts w:ascii="Calibri" w:cs="Calibri" w:eastAsia="Calibri" w:hAnsi="Calibri"/>
          <w:b/>
          <w:bCs/>
          <w:color w:val="0B0B0B"/>
          <w:sz w:val="21"/>
          <w:szCs w:val="21"/>
        </w:rPr>
        <w:t xml:space="preserve">FDR at S1:</w:t>
      </w:r>
      <w:r>
        <w:rPr>
          <w:rFonts w:ascii="Calibri" w:cs="Calibri" w:eastAsia="Calibri" w:hAnsi="Calibri"/>
          <w:color w:val="0B0B0B"/>
          <w:sz w:val="21"/>
          <w:szCs w:val="21"/>
        </w:rPr>
        <w:t xml:space="preserve"> the signal screen tests thousands of hypotheses; promotion uses Benjamini–Hochberg at q = 0.10 </w:t>
      </w:r>
      <w:r>
        <w:rPr>
          <w:rFonts w:ascii="Calibri" w:cs="Calibri" w:eastAsia="Calibri" w:hAnsi="Calibri"/>
          <w:i/>
          <w:iCs/>
          <w:color w:val="0B0B0B"/>
          <w:sz w:val="21"/>
          <w:szCs w:val="21"/>
        </w:rPr>
        <w:t xml:space="preserve">within family × universe</w:t>
      </w:r>
      <w:r>
        <w:rPr>
          <w:rFonts w:ascii="Calibri" w:cs="Calibri" w:eastAsia="Calibri" w:hAnsi="Calibri"/>
          <w:color w:val="0B0B0B"/>
          <w:sz w:val="21"/>
          <w:szCs w:val="21"/>
        </w:rPr>
        <w:t xml:space="preserve">, then the global DSR still counts every trial. BH controls the expected fraction of false survivors feeding S2 — it does not substitute for deflation, it just keeps S2's compute pointed at plausible candidates.</w:t>
      </w:r>
    </w:p>
    <w:p>
      <w:pPr>
        <w:pStyle w:val="Heading2"/>
        <w:spacing w:after="120" w:before="240"/>
      </w:pPr>
      <w:r>
        <w:rPr>
          <w:rFonts w:ascii="Calibri" w:cs="Calibri" w:eastAsia="Calibri" w:hAnsi="Calibri"/>
          <w:b/>
          <w:bCs/>
          <w:color w:val="1F5CA8"/>
          <w:sz w:val="24"/>
          <w:szCs w:val="24"/>
        </w:rPr>
        <w:t xml:space="preserve">8.5  The fundamental law, honestly</w:t>
      </w:r>
    </w:p>
    <w:p>
      <w:pPr>
        <w:spacing w:after="140" w:line="264"/>
        <w:jc w:val="both"/>
      </w:pPr>
      <w:r>
        <w:rPr>
          <w:rFonts w:ascii="Calibri" w:cs="Calibri" w:eastAsia="Calibri" w:hAnsi="Calibri"/>
          <w:color w:val="0B0B0B"/>
          <w:sz w:val="21"/>
          <w:szCs w:val="21"/>
        </w:rPr>
        <w:t xml:space="preserve">For completeness, the law used in capacity reasoning: with forecasts of standardized returns having correlation IC to outcomes, mean-variance-optimal deployment across BR independent bets per year yields IR ≈ IC·√BR (Grinold 1989). Correlated bets: replacing independence by equicorrelation ρ̄ gives variance of the average bet outcome (1 + (N−1)ρ̄)/N, hence the effective breadth N_eff = N/(1+(N−1)ρ̄) of §2.3 — the derivation is three lines from the variance of a correlated mean and is the entire justification for the ÷4–8 haircut.</w:t>
      </w:r>
    </w:p>
    <w:p>
      <w:pPr>
        <w:pStyle w:val="Heading1"/>
        <w:pBdr>
          <w:bottom w:val="single" w:color="D8D7D0" w:sz="6" w:space="4"/>
        </w:pBdr>
        <w:spacing w:after="170" w:before="340"/>
      </w:pPr>
      <w:r>
        <w:rPr>
          <w:rFonts w:ascii="Calibri" w:cs="Calibri" w:eastAsia="Calibri" w:hAnsi="Calibri"/>
          <w:b/>
          <w:bCs/>
          <w:color w:val="1F3A5F"/>
          <w:sz w:val="30"/>
          <w:szCs w:val="30"/>
        </w:rPr>
        <w:t xml:space="preserve">9.  Sequential monitoring and alpha decay</w:t>
      </w:r>
    </w:p>
    <w:p>
      <w:pPr>
        <w:spacing w:after="140" w:line="264"/>
        <w:jc w:val="both"/>
      </w:pPr>
      <w:r>
        <w:rPr>
          <w:rFonts w:ascii="Calibri" w:cs="Calibri" w:eastAsia="Calibri" w:hAnsi="Calibri"/>
          <w:color w:val="0B0B0B"/>
          <w:sz w:val="21"/>
          <w:szCs w:val="21"/>
        </w:rPr>
        <w:t xml:space="preserve">Live performance is a sequential testing problem: waiting for 'enough data' to re-run S4 means bleeding for months; reacting to every red week is noise-chasing. The instrument is the one designed for exactly this trade-off — </w:t>
      </w:r>
      <w:r>
        <w:rPr>
          <w:rFonts w:ascii="Calibri" w:cs="Calibri" w:eastAsia="Calibri" w:hAnsi="Calibri"/>
          <w:b/>
          <w:bCs/>
          <w:color w:val="0B0B0B"/>
          <w:sz w:val="21"/>
          <w:szCs w:val="21"/>
        </w:rPr>
        <w:t xml:space="preserve">CUSUM</w:t>
      </w:r>
      <w:r>
        <w:rPr>
          <w:rFonts w:ascii="Calibri" w:cs="Calibri" w:eastAsia="Calibri" w:hAnsi="Calibri"/>
          <w:color w:val="0B0B0B"/>
          <w:sz w:val="21"/>
          <w:szCs w:val="21"/>
        </w:rPr>
        <w:t xml:space="preserve">:</w:t>
      </w:r>
    </w:p>
    <w:p>
      <w:pPr>
        <w:spacing w:after="140" w:before="60"/>
        <w:jc w:val="center"/>
      </w:pPr>
      <w:r>
        <w:rPr>
          <w:rFonts w:ascii="Cambria" w:cs="Cambria" w:eastAsia="Cambria" w:hAnsi="Cambria"/>
          <w:i/>
          <w:iCs/>
          <w:color w:val="0B0B0B"/>
          <w:sz w:val="22"/>
          <w:szCs w:val="22"/>
        </w:rPr>
        <w:t xml:space="preserve">S_t = max( 0, S_{t−1} + (x_t − μ₀ + k) ),   alarm when S_t &gt; h_c</w:t>
      </w:r>
    </w:p>
    <w:p>
      <w:pPr>
        <w:spacing w:after="140" w:line="264"/>
        <w:jc w:val="both"/>
      </w:pPr>
      <w:r>
        <w:rPr>
          <w:rFonts w:ascii="Calibri" w:cs="Calibri" w:eastAsia="Calibri" w:hAnsi="Calibri"/>
          <w:color w:val="0B0B0B"/>
          <w:sz w:val="21"/>
          <w:szCs w:val="21"/>
        </w:rPr>
        <w:t xml:space="preserve">where x_t is the daily standardized net PnL (or daily realized IC) of a pipeline, μ₀ its certification-period mean, k = δ/2 the allowance for the drift size δ deemed material (half the certified edge), and h_c set from the average-run-length calibration: ARL₀ (mean days to false alarm under no decay) ≈ 250 — one false de-risk per pipeline-year by design, computed by the standard Markov-chain approximation and verified by simulation in </w:t>
      </w:r>
      <w:r>
        <w:rPr>
          <w:rFonts w:ascii="Consolas" w:cs="Consolas" w:eastAsia="Consolas" w:hAnsi="Consolas"/>
          <w:color w:val="1F5CA8"/>
          <w:sz w:val="19"/>
          <w:szCs w:val="19"/>
        </w:rPr>
        <w:t xml:space="preserve">stats/cusum.py</w:t>
      </w:r>
      <w:r>
        <w:rPr>
          <w:rFonts w:ascii="Calibri" w:cs="Calibri" w:eastAsia="Calibri" w:hAnsi="Calibri"/>
          <w:color w:val="0B0B0B"/>
          <w:sz w:val="21"/>
          <w:szCs w:val="21"/>
        </w:rPr>
        <w:t xml:space="preserve"> tests. First alarm → weight ×0.5; second → suspend. The thresholds are derived from (δ, ARL₀) choices that are themselves recorded — the monitoring policy passes C2.</w:t>
      </w:r>
    </w:p>
    <w:p>
      <w:pPr>
        <w:pStyle w:val="Heading1"/>
        <w:pBdr>
          <w:bottom w:val="single" w:color="D8D7D0" w:sz="6" w:space="4"/>
        </w:pBdr>
        <w:spacing w:after="170" w:before="340"/>
      </w:pPr>
      <w:r>
        <w:rPr>
          <w:rFonts w:ascii="Calibri" w:cs="Calibri" w:eastAsia="Calibri" w:hAnsi="Calibri"/>
          <w:b/>
          <w:bCs/>
          <w:color w:val="1F3A5F"/>
          <w:sz w:val="30"/>
          <w:szCs w:val="30"/>
        </w:rPr>
        <w:t xml:space="preserve">10.  Execution mathematics</w:t>
      </w:r>
    </w:p>
    <w:p>
      <w:pPr>
        <w:pStyle w:val="Heading2"/>
        <w:spacing w:after="120" w:before="240"/>
      </w:pPr>
      <w:r>
        <w:rPr>
          <w:rFonts w:ascii="Calibri" w:cs="Calibri" w:eastAsia="Calibri" w:hAnsi="Calibri"/>
          <w:b/>
          <w:bCs/>
          <w:color w:val="1F5CA8"/>
          <w:sz w:val="24"/>
          <w:szCs w:val="24"/>
        </w:rPr>
        <w:t xml:space="preserve">10.1  Maker economics: where to post</w:t>
      </w:r>
    </w:p>
    <w:p>
      <w:pPr>
        <w:spacing w:after="140" w:line="264"/>
        <w:jc w:val="both"/>
      </w:pPr>
      <w:r>
        <w:rPr>
          <w:rFonts w:ascii="Calibri" w:cs="Calibri" w:eastAsia="Calibri" w:hAnsi="Calibri"/>
          <w:color w:val="0B0B0B"/>
          <w:sz w:val="21"/>
          <w:szCs w:val="21"/>
        </w:rPr>
        <w:t xml:space="preserve">Model limit-order fills as a controlled Poisson process: posting at distance δ from mid fills with intensity λ(δ) = A·e^{−kδ} (Avellaneda–Stoikov; A, k estimated per name × session bucket from the 1-second tier by MLE on fill/no-fill outcomes of virtual quotes). Expected value per unit time of a quote earning δ when filled, facing adverse selection q (post-fill drift against the fill, measured):</w:t>
      </w:r>
    </w:p>
    <w:p>
      <w:pPr>
        <w:spacing w:after="140" w:before="60"/>
        <w:jc w:val="center"/>
      </w:pPr>
      <w:r>
        <w:rPr>
          <w:rFonts w:ascii="Cambria" w:cs="Cambria" w:eastAsia="Cambria" w:hAnsi="Cambria"/>
          <w:i/>
          <w:iCs/>
          <w:color w:val="0B0B0B"/>
          <w:sz w:val="22"/>
          <w:szCs w:val="22"/>
        </w:rPr>
        <w:t xml:space="preserve">V(δ) = (δ − q)·A·e^{−kδ}   ⇒   dV/dδ = 0  at  δ* = 1/k + q</w:t>
      </w:r>
    </w:p>
    <w:p>
      <w:pPr>
        <w:spacing w:after="140" w:line="264"/>
        <w:jc w:val="both"/>
      </w:pPr>
      <w:r>
        <w:rPr>
          <w:rFonts w:ascii="Calibri" w:cs="Calibri" w:eastAsia="Calibri" w:hAnsi="Calibri"/>
          <w:color w:val="0B0B0B"/>
          <w:sz w:val="21"/>
          <w:szCs w:val="21"/>
        </w:rPr>
        <w:t xml:space="preserve">A one-line closed form with real content: the optimal posting distance is the inverse fill-decay rate plus the measured adverse-selection toll. If δ* exceeds the taker cost saving, the name/session is taker-only — a decision the TCA data makes, not a preference (C2, C4). Tier-B backtests use exactly this λ(δ) model with conservative (5th percentile) Â.</w:t>
      </w:r>
    </w:p>
    <w:p>
      <w:pPr>
        <w:pStyle w:val="Heading2"/>
        <w:spacing w:after="120" w:before="240"/>
      </w:pPr>
      <w:r>
        <w:rPr>
          <w:rFonts w:ascii="Calibri" w:cs="Calibri" w:eastAsia="Calibri" w:hAnsi="Calibri"/>
          <w:b/>
          <w:bCs/>
          <w:color w:val="1F5CA8"/>
          <w:sz w:val="24"/>
          <w:szCs w:val="24"/>
        </w:rPr>
        <w:t xml:space="preserve">10.2  Taker economics: impact</w:t>
      </w:r>
    </w:p>
    <w:p>
      <w:pPr>
        <w:spacing w:after="140" w:line="264"/>
        <w:jc w:val="both"/>
      </w:pPr>
      <w:r>
        <w:rPr>
          <w:rFonts w:ascii="Calibri" w:cs="Calibri" w:eastAsia="Calibri" w:hAnsi="Calibri"/>
          <w:color w:val="0B0B0B"/>
          <w:sz w:val="21"/>
          <w:szCs w:val="21"/>
        </w:rPr>
        <w:t xml:space="preserve">Temporary impact follows the square-root family: slippage_bps = κ·(q/ADV_interval)^ψ with ψ ≈ 0.5 as the prior and (κ, ψ) refit quarterly by log–log regression on own child orders (all orders, filled and crossed — conditioning only on fills selects against impact and biases κ down). At blueprint ticket sizes participation is &lt;0.1% of interval volume, so this term is small — it is carried anyway because S5's turnover optimizer must see costs </w:t>
      </w:r>
      <w:r>
        <w:rPr>
          <w:rFonts w:ascii="Calibri" w:cs="Calibri" w:eastAsia="Calibri" w:hAnsi="Calibri"/>
          <w:i/>
          <w:iCs/>
          <w:color w:val="0B0B0B"/>
          <w:sz w:val="21"/>
          <w:szCs w:val="21"/>
        </w:rPr>
        <w:t xml:space="preserve">rise</w:t>
      </w:r>
      <w:r>
        <w:rPr>
          <w:rFonts w:ascii="Calibri" w:cs="Calibri" w:eastAsia="Calibri" w:hAnsi="Calibri"/>
          <w:color w:val="0B0B0B"/>
          <w:sz w:val="21"/>
          <w:szCs w:val="21"/>
        </w:rPr>
        <w:t xml:space="preserve"> with aggression to have a well-posed interior optimum.</w:t>
      </w:r>
    </w:p>
    <w:p>
      <w:pPr>
        <w:pStyle w:val="Heading2"/>
        <w:spacing w:after="120" w:before="240"/>
      </w:pPr>
      <w:r>
        <w:rPr>
          <w:rFonts w:ascii="Calibri" w:cs="Calibri" w:eastAsia="Calibri" w:hAnsi="Calibri"/>
          <w:b/>
          <w:bCs/>
          <w:color w:val="1F5CA8"/>
          <w:sz w:val="24"/>
          <w:szCs w:val="24"/>
        </w:rPr>
        <w:t xml:space="preserve">10.3  Implementation shortfall identity</w:t>
      </w:r>
    </w:p>
    <w:p>
      <w:pPr>
        <w:spacing w:after="140" w:line="264"/>
        <w:jc w:val="both"/>
      </w:pPr>
      <w:r>
        <w:rPr>
          <w:rFonts w:ascii="Calibri" w:cs="Calibri" w:eastAsia="Calibri" w:hAnsi="Calibri"/>
          <w:color w:val="0B0B0B"/>
          <w:sz w:val="21"/>
          <w:szCs w:val="21"/>
        </w:rPr>
        <w:t xml:space="preserve">Per parent order, with decision mid m₀, final execution price p̄, side ς ∈ {+1,−1}:</w:t>
      </w:r>
    </w:p>
    <w:p>
      <w:pPr>
        <w:spacing w:after="140" w:before="60"/>
        <w:jc w:val="center"/>
      </w:pPr>
      <w:r>
        <w:rPr>
          <w:rFonts w:ascii="Cambria" w:cs="Cambria" w:eastAsia="Cambria" w:hAnsi="Cambria"/>
          <w:i/>
          <w:iCs/>
          <w:color w:val="0B0B0B"/>
          <w:sz w:val="22"/>
          <w:szCs w:val="22"/>
        </w:rPr>
        <w:t xml:space="preserve">IS = ς·(p̄ − m₀) = half-spread paid + temporary impact + timing/latency drift + fees   (additive by construction)</w:t>
      </w:r>
    </w:p>
    <w:p>
      <w:pPr>
        <w:spacing w:after="140" w:line="264"/>
        <w:jc w:val="both"/>
      </w:pPr>
      <w:r>
        <w:rPr>
          <w:rFonts w:ascii="Calibri" w:cs="Calibri" w:eastAsia="Calibri" w:hAnsi="Calibri"/>
          <w:color w:val="0B0B0B"/>
          <w:sz w:val="21"/>
          <w:szCs w:val="21"/>
        </w:rPr>
        <w:t xml:space="preserve">The decomposition is exact given timestamps (decision, arrival, fills): each term is a difference of observed prices at observed times. S6's gate — IS ≤ 30% of gross edge — is thus an accounting statement, not an estimate. Shortfall attribution per term tells you </w:t>
      </w:r>
      <w:r>
        <w:rPr>
          <w:rFonts w:ascii="Calibri" w:cs="Calibri" w:eastAsia="Calibri" w:hAnsi="Calibri"/>
          <w:i/>
          <w:iCs/>
          <w:color w:val="0B0B0B"/>
          <w:sz w:val="21"/>
          <w:szCs w:val="21"/>
        </w:rPr>
        <w:t xml:space="preserve">which</w:t>
      </w:r>
      <w:r>
        <w:rPr>
          <w:rFonts w:ascii="Calibri" w:cs="Calibri" w:eastAsia="Calibri" w:hAnsi="Calibri"/>
          <w:color w:val="0B0B0B"/>
          <w:sz w:val="21"/>
          <w:szCs w:val="21"/>
        </w:rPr>
        <w:t xml:space="preserve"> investment fixes execution: wider bands (spread term), slower slicing (impact), or infrastructure (latency).</w:t>
      </w:r>
    </w:p>
    <w:p>
      <w:pPr>
        <w:pStyle w:val="Heading2"/>
        <w:spacing w:after="120" w:before="240"/>
      </w:pPr>
      <w:r>
        <w:rPr>
          <w:rFonts w:ascii="Calibri" w:cs="Calibri" w:eastAsia="Calibri" w:hAnsi="Calibri"/>
          <w:b/>
          <w:bCs/>
          <w:color w:val="1F5CA8"/>
          <w:sz w:val="24"/>
          <w:szCs w:val="24"/>
        </w:rPr>
        <w:t xml:space="preserve">10.4  Trade classification</w:t>
      </w:r>
    </w:p>
    <w:p>
      <w:pPr>
        <w:spacing w:after="140" w:line="264"/>
        <w:jc w:val="both"/>
      </w:pPr>
      <w:r>
        <w:rPr>
          <w:rFonts w:ascii="Calibri" w:cs="Calibri" w:eastAsia="Calibri" w:hAnsi="Calibri"/>
          <w:color w:val="0B0B0B"/>
          <w:sz w:val="21"/>
          <w:szCs w:val="21"/>
        </w:rPr>
        <w:t xml:space="preserve">Forward-captured ticks are signed by the Lee–Ready rule (trade at/above ask → buy; at/below bid → sell; else tick test). Literature accuracy ≈ 85–93% on visible-book markets; the misclassification rate attenuates OFI-based signal estimates toward zero (errors-in-variables), so F9's measured ICs are </w:t>
      </w:r>
      <w:r>
        <w:rPr>
          <w:rFonts w:ascii="Calibri" w:cs="Calibri" w:eastAsia="Calibri" w:hAnsi="Calibri"/>
          <w:i/>
          <w:iCs/>
          <w:color w:val="0B0B0B"/>
          <w:sz w:val="21"/>
          <w:szCs w:val="21"/>
        </w:rPr>
        <w:t xml:space="preserve">conservative</w:t>
      </w:r>
      <w:r>
        <w:rPr>
          <w:rFonts w:ascii="Calibri" w:cs="Calibri" w:eastAsia="Calibri" w:hAnsi="Calibri"/>
          <w:color w:val="0B0B0B"/>
          <w:sz w:val="21"/>
          <w:szCs w:val="21"/>
        </w:rPr>
        <w:t xml:space="preserve"> — stated so the attenuation is never 'corrected' by an unjustified multiplier (C4).</w:t>
      </w:r>
    </w:p>
    <w:p>
      <w:pPr>
        <w:pStyle w:val="Heading1"/>
        <w:pBdr>
          <w:bottom w:val="single" w:color="D8D7D0" w:sz="6" w:space="4"/>
        </w:pBdr>
        <w:spacing w:after="170" w:before="340"/>
      </w:pPr>
      <w:r>
        <w:rPr>
          <w:rFonts w:ascii="Calibri" w:cs="Calibri" w:eastAsia="Calibri" w:hAnsi="Calibri"/>
          <w:b/>
          <w:bCs/>
          <w:color w:val="1F3A5F"/>
          <w:sz w:val="30"/>
          <w:szCs w:val="30"/>
        </w:rPr>
        <w:t xml:space="preserve">11.  Alpha specifications — formal treatment per family</w:t>
      </w:r>
    </w:p>
    <w:p>
      <w:pPr>
        <w:spacing w:after="160" w:line="264"/>
      </w:pPr>
      <w:r>
        <w:rPr>
          <w:rFonts w:ascii="Calibri" w:cs="Calibri" w:eastAsia="Calibri" w:hAnsi="Calibri"/>
          <w:i/>
          <w:iCs/>
          <w:color w:val="52514E"/>
          <w:sz w:val="21"/>
          <w:szCs w:val="21"/>
        </w:rPr>
        <w:t xml:space="preserve">Uniform template: Model (the conditional expectation claimed, C1) → Estimation (estimators with properties) → Rule (derived from §5–§6 objectives, C2) → Tests (nulls and gates, C3) → Reference code → Identification pitfalls. Parameter grids remain in Blueprint Appendix B; everything here is what makes those grids meaningful.</w:t>
      </w:r>
    </w:p>
    <w:p>
      <w:pPr>
        <w:pStyle w:val="Heading2"/>
        <w:spacing w:after="120" w:before="240"/>
      </w:pPr>
      <w:r>
        <w:rPr>
          <w:rFonts w:ascii="Calibri" w:cs="Calibri" w:eastAsia="Calibri" w:hAnsi="Calibri"/>
          <w:b/>
          <w:bCs/>
          <w:color w:val="1F5CA8"/>
          <w:sz w:val="24"/>
          <w:szCs w:val="24"/>
        </w:rPr>
        <w:t xml:space="preserve">F1 — Cross-sectional momentum (residual relative strength)</w:t>
      </w:r>
    </w:p>
    <w:p>
      <w:pPr>
        <w:spacing w:after="140" w:line="264"/>
        <w:jc w:val="both"/>
      </w:pPr>
      <w:r>
        <w:rPr>
          <w:rFonts w:ascii="Calibri" w:cs="Calibri" w:eastAsia="Calibri" w:hAnsi="Calibri"/>
          <w:b/>
          <w:bCs/>
          <w:color w:val="0B0B0B"/>
          <w:sz w:val="21"/>
          <w:szCs w:val="21"/>
        </w:rPr>
        <w:t xml:space="preserve">Model.</w:t>
      </w:r>
      <w:r>
        <w:rPr>
          <w:rFonts w:ascii="Calibri" w:cs="Calibri" w:eastAsia="Calibri" w:hAnsi="Calibri"/>
          <w:color w:val="0B0B0B"/>
          <w:sz w:val="21"/>
          <w:szCs w:val="21"/>
        </w:rPr>
        <w:t xml:space="preserve"> Information diffuses gradually across names; after removing factor moves, idiosyncratic returns exhibit positive short-horizon autocorrelation in the cross-section. Claim: E[ε_{i,t→t+h} | F_t] = δ_h·m_{i,t} with m_{i,t} = Σ_k w_k·z(ε-cumret over window W_k) and δ_h &gt; 0 over h ∈ [30m, EOD]. This is the intraday analogue of Jegadeesh–Titman restated on residuals; the </w:t>
      </w:r>
      <w:r>
        <w:rPr>
          <w:rFonts w:ascii="Calibri" w:cs="Calibri" w:eastAsia="Calibri" w:hAnsi="Calibri"/>
          <w:i/>
          <w:iCs/>
          <w:color w:val="0B0B0B"/>
          <w:sz w:val="21"/>
          <w:szCs w:val="21"/>
        </w:rPr>
        <w:t xml:space="preserve">sign structure over h</w:t>
      </w:r>
      <w:r>
        <w:rPr>
          <w:rFonts w:ascii="Calibri" w:cs="Calibri" w:eastAsia="Calibri" w:hAnsi="Calibri"/>
          <w:color w:val="0B0B0B"/>
          <w:sz w:val="21"/>
          <w:szCs w:val="21"/>
        </w:rPr>
        <w:t xml:space="preserve"> is an empirical object — at short h the same statistic often has δ_h &lt; 0 (reversal), and the IC-decay curve from S1 is precisely the estimate of δ_h's term structure. F1 and F2 are the two lobes of one curve; the funnel keeps them separate because their optimal (τ, h, sessions) differ.</w:t>
      </w:r>
    </w:p>
    <w:p>
      <w:pPr>
        <w:spacing w:after="140" w:line="264"/>
        <w:jc w:val="both"/>
      </w:pPr>
      <w:r>
        <w:rPr>
          <w:rFonts w:ascii="Calibri" w:cs="Calibri" w:eastAsia="Calibri" w:hAnsi="Calibri"/>
          <w:b/>
          <w:bCs/>
          <w:color w:val="0B0B0B"/>
          <w:sz w:val="21"/>
          <w:szCs w:val="21"/>
        </w:rPr>
        <w:t xml:space="preserve">Estimation.</w:t>
      </w:r>
      <w:r>
        <w:rPr>
          <w:rFonts w:ascii="Calibri" w:cs="Calibri" w:eastAsia="Calibri" w:hAnsi="Calibri"/>
          <w:color w:val="0B0B0B"/>
          <w:sz w:val="21"/>
          <w:szCs w:val="21"/>
        </w:rPr>
        <w:t xml:space="preserve"> Residual cumulative returns per §3; per-window z-scores with diurnal σ (§7.2); combination weights w_k either fixed coarse-grid points or fit by non-negative least squares of f^{(h)} on the window z's (NNLS keeps the combination interpretable and sign-safe). δ̂_h = slope of pooled regression f^{(h)} on m with two-way clustered SEs; rank-IC as the primary screen.</w:t>
      </w:r>
    </w:p>
    <w:p>
      <w:pPr>
        <w:spacing w:after="140" w:line="264"/>
        <w:jc w:val="both"/>
      </w:pPr>
      <w:r>
        <w:rPr>
          <w:rFonts w:ascii="Calibri" w:cs="Calibri" w:eastAsia="Calibri" w:hAnsi="Calibri"/>
          <w:b/>
          <w:bCs/>
          <w:color w:val="0B0B0B"/>
          <w:sz w:val="21"/>
          <w:szCs w:val="21"/>
        </w:rPr>
        <w:t xml:space="preserve">Rule.</w:t>
      </w:r>
      <w:r>
        <w:rPr>
          <w:rFonts w:ascii="Calibri" w:cs="Calibri" w:eastAsia="Calibri" w:hAnsi="Calibri"/>
          <w:color w:val="0B0B0B"/>
          <w:sz w:val="21"/>
          <w:szCs w:val="21"/>
        </w:rPr>
        <w:t xml:space="preserve"> Long/short the extreme deciles of m subject to the calibrated threshold: trade name i iff |g̃(m_i)| &gt; c + λσ (§6.2); holding h* from §6.1 on this family's α(h) = δ_h·σ_ε(h) curve; weights rank-centered, β- and sector-neutralized, sized per §5.4.</w:t>
      </w:r>
    </w:p>
    <w:p>
      <w:pPr>
        <w:spacing w:after="140" w:line="264"/>
        <w:jc w:val="both"/>
      </w:pPr>
      <w:r>
        <w:rPr>
          <w:rFonts w:ascii="Calibri" w:cs="Calibri" w:eastAsia="Calibri" w:hAnsi="Calibri"/>
          <w:b/>
          <w:bCs/>
          <w:color w:val="0B0B0B"/>
          <w:sz w:val="21"/>
          <w:szCs w:val="21"/>
        </w:rPr>
        <w:t xml:space="preserve">Tests.</w:t>
      </w:r>
      <w:r>
        <w:rPr>
          <w:rFonts w:ascii="Calibri" w:cs="Calibri" w:eastAsia="Calibri" w:hAnsi="Calibri"/>
          <w:color w:val="0B0B0B"/>
          <w:sz w:val="21"/>
          <w:szCs w:val="21"/>
        </w:rPr>
        <w:t xml:space="preserve"> H₀: δ_h = 0 vs δ_h &gt; 0 — NW/clustered t ≥ 3 (S1 gate); monotone deciles of ĝ; placebo: on factor-shuffled panels (permute residuals across names within bar) the IC must die — this kills leakage through the residualizer; decay-shape stability across the two half-samples.</w:t>
      </w:r>
    </w:p>
    <w:p>
      <w:pPr>
        <w:shd w:fill="F5F5F2" w:val="clear"/>
        <w:spacing w:after="0" w:line="230"/>
        <w:ind w:left="220" w:right="220"/>
      </w:pPr>
      <w:r>
        <w:rPr>
          <w:rFonts w:ascii="Consolas" w:cs="Consolas" w:eastAsia="Consolas" w:hAnsi="Consolas"/>
          <w:color w:val="0B0B0B"/>
          <w:sz w:val="17"/>
          <w:szCs w:val="17"/>
        </w:rPr>
        <w:t xml:space="preserve"># F1 reference (research; polars-flavored pseudocode)</w:t>
      </w:r>
    </w:p>
    <w:p>
      <w:pPr>
        <w:shd w:fill="F5F5F2" w:val="clear"/>
        <w:spacing w:after="0" w:line="230"/>
        <w:ind w:left="220" w:right="220"/>
      </w:pPr>
      <w:r>
        <w:rPr>
          <w:rFonts w:ascii="Consolas" w:cs="Consolas" w:eastAsia="Consolas" w:hAnsi="Consolas"/>
          <w:color w:val="0B0B0B"/>
          <w:sz w:val="17"/>
          <w:szCs w:val="17"/>
        </w:rPr>
        <w:t xml:space="preserve">eps   = residualize(panel.r, betas)                 # §3.2</w:t>
      </w:r>
    </w:p>
    <w:p>
      <w:pPr>
        <w:shd w:fill="F5F5F2" w:val="clear"/>
        <w:spacing w:after="0" w:line="230"/>
        <w:ind w:left="220" w:right="220"/>
      </w:pPr>
      <w:r>
        <w:rPr>
          <w:rFonts w:ascii="Consolas" w:cs="Consolas" w:eastAsia="Consolas" w:hAnsi="Consolas"/>
          <w:color w:val="0B0B0B"/>
          <w:sz w:val="17"/>
          <w:szCs w:val="17"/>
        </w:rPr>
        <w:t xml:space="preserve">for W in windows: z[W] = xsz(cumret(eps, W) / sigma_tod(W))   # §7.2 diurnal</w:t>
      </w:r>
    </w:p>
    <w:p>
      <w:pPr>
        <w:shd w:fill="F5F5F2" w:val="clear"/>
        <w:spacing w:after="0" w:line="230"/>
        <w:ind w:left="220" w:right="220"/>
      </w:pPr>
      <w:r>
        <w:rPr>
          <w:rFonts w:ascii="Consolas" w:cs="Consolas" w:eastAsia="Consolas" w:hAnsi="Consolas"/>
          <w:color w:val="0B0B0B"/>
          <w:sz w:val="17"/>
          <w:szCs w:val="17"/>
        </w:rPr>
        <w:t xml:space="preserve">m     = nnls_combine(z, target=f_h)                 # or fixed coarse weights</w:t>
      </w:r>
    </w:p>
    <w:p>
      <w:pPr>
        <w:shd w:fill="F5F5F2" w:val="clear"/>
        <w:spacing w:after="0" w:line="230"/>
        <w:ind w:left="220" w:right="220"/>
      </w:pPr>
      <w:r>
        <w:rPr>
          <w:rFonts w:ascii="Consolas" w:cs="Consolas" w:eastAsia="Consolas" w:hAnsi="Consolas"/>
          <w:color w:val="0B0B0B"/>
          <w:sz w:val="17"/>
          <w:szCs w:val="17"/>
        </w:rPr>
        <w:t xml:space="preserve">ic    = rank_ic(m, f_h, by_bar=True)                # + NW t, decay curve</w:t>
      </w:r>
    </w:p>
    <w:p>
      <w:pPr>
        <w:shd w:fill="F5F5F2" w:val="clear"/>
        <w:spacing w:after="0" w:line="230"/>
        <w:ind w:left="220" w:right="220"/>
      </w:pPr>
      <w:r>
        <w:rPr>
          <w:rFonts w:ascii="Consolas" w:cs="Consolas" w:eastAsia="Consolas" w:hAnsi="Consolas"/>
          <w:color w:val="0B0B0B"/>
          <w:sz w:val="17"/>
          <w:szCs w:val="17"/>
        </w:rPr>
        <w:t xml:space="preserve">score = ebayes_shrink(isotonic(m, f_h))             # §4 -&gt; g_tilde</w:t>
      </w:r>
    </w:p>
    <w:p>
      <w:pPr>
        <w:shd w:fill="F5F5F2" w:val="clear"/>
        <w:spacing w:after="0" w:line="230"/>
        <w:ind w:left="220" w:right="220"/>
      </w:pPr>
      <w:r>
        <w:rPr>
          <w:rFonts w:ascii="Consolas" w:cs="Consolas" w:eastAsia="Consolas" w:hAnsi="Consolas"/>
          <w:color w:val="0B0B0B"/>
          <w:sz w:val="17"/>
          <w:szCs w:val="17"/>
        </w:rPr>
        <w:t xml:space="preserve">trade = abs(score) &gt; c_line + lam*sigma_trade       # §6.2 threshold</w:t>
      </w:r>
    </w:p>
    <w:p>
      <w:pPr>
        <w:spacing w:after="140" w:line="264"/>
        <w:jc w:val="both"/>
      </w:pPr>
      <w:r>
        <w:rPr>
          <w:rFonts w:ascii="Calibri" w:cs="Calibri" w:eastAsia="Calibri" w:hAnsi="Calibri"/>
          <w:b/>
          <w:bCs/>
          <w:color w:val="0B0B0B"/>
          <w:sz w:val="21"/>
          <w:szCs w:val="21"/>
        </w:rPr>
        <w:t xml:space="preserve">Pitfalls.</w:t>
      </w:r>
      <w:r>
        <w:rPr>
          <w:rFonts w:ascii="Calibri" w:cs="Calibri" w:eastAsia="Calibri" w:hAnsi="Calibri"/>
          <w:color w:val="0B0B0B"/>
          <w:sz w:val="21"/>
          <w:szCs w:val="21"/>
        </w:rPr>
        <w:t xml:space="preserve"> Reversal contamination at short W (respect the measured sign flip, don't average across it); a single sector rally leaking through stale betas (Dimson correction + placebo test); momentum crowding on expiry days (session/event flags are regressors in the diagnostic, and the regime gate can zero the family).</w:t>
      </w:r>
    </w:p>
    <w:p>
      <w:pPr>
        <w:pStyle w:val="Heading2"/>
        <w:spacing w:after="120" w:before="240"/>
      </w:pPr>
      <w:r>
        <w:rPr>
          <w:rFonts w:ascii="Calibri" w:cs="Calibri" w:eastAsia="Calibri" w:hAnsi="Calibri"/>
          <w:b/>
          <w:bCs/>
          <w:color w:val="1F5CA8"/>
          <w:sz w:val="24"/>
          <w:szCs w:val="24"/>
        </w:rPr>
        <w:t xml:space="preserve">F2 — Cross-sectional mean reversion (OU residual displacement)</w:t>
      </w:r>
    </w:p>
    <w:p>
      <w:pPr>
        <w:spacing w:after="140" w:line="264"/>
        <w:jc w:val="both"/>
      </w:pPr>
      <w:r>
        <w:rPr>
          <w:rFonts w:ascii="Calibri" w:cs="Calibri" w:eastAsia="Calibri" w:hAnsi="Calibri"/>
          <w:b/>
          <w:bCs/>
          <w:color w:val="0B0B0B"/>
          <w:sz w:val="21"/>
          <w:szCs w:val="21"/>
        </w:rPr>
        <w:t xml:space="preserve">Model.</w:t>
      </w:r>
      <w:r>
        <w:rPr>
          <w:rFonts w:ascii="Calibri" w:cs="Calibri" w:eastAsia="Calibri" w:hAnsi="Calibri"/>
          <w:color w:val="0B0B0B"/>
          <w:sz w:val="21"/>
          <w:szCs w:val="21"/>
        </w:rPr>
        <w:t xml:space="preserve"> The residual displacement of name i, accumulated over window W, follows an Ornstein–Uhlenbeck process absent news:</w:t>
      </w:r>
    </w:p>
    <w:p>
      <w:pPr>
        <w:spacing w:after="140" w:before="60"/>
        <w:jc w:val="center"/>
      </w:pPr>
      <w:r>
        <w:rPr>
          <w:rFonts w:ascii="Cambria" w:cs="Cambria" w:eastAsia="Cambria" w:hAnsi="Cambria"/>
          <w:i/>
          <w:iCs/>
          <w:color w:val="0B0B0B"/>
          <w:sz w:val="22"/>
          <w:szCs w:val="22"/>
        </w:rPr>
        <w:t xml:space="preserve">dX_t = −θ·X_t·dt + σ·dW_t,   θ &gt; 0</w:t>
      </w:r>
    </w:p>
    <w:p>
      <w:pPr>
        <w:spacing w:after="140" w:line="264"/>
        <w:jc w:val="both"/>
      </w:pPr>
      <w:r>
        <w:rPr>
          <w:rFonts w:ascii="Calibri" w:cs="Calibri" w:eastAsia="Calibri" w:hAnsi="Calibri"/>
          <w:color w:val="0B0B0B"/>
          <w:sz w:val="21"/>
          <w:szCs w:val="21"/>
        </w:rPr>
        <w:t xml:space="preserve">Exact discretization at bar length Δ: X_{t+Δ} = φX_t + η_t with φ = e^{−θΔ}, Var(η) = σ²(1−φ²)/(2θ). Half-life HL = ln2/θ. Claim: E[X_{t+h} − X_t | X_t] = −(1−e^{−θh})·X_t &lt; 0 for X_t ≠ 0 — displacement decays, with a rate the data must supply.</w:t>
      </w:r>
    </w:p>
    <w:p>
      <w:pPr>
        <w:spacing w:after="140" w:line="264"/>
        <w:jc w:val="both"/>
      </w:pPr>
      <w:r>
        <w:rPr>
          <w:rFonts w:ascii="Calibri" w:cs="Calibri" w:eastAsia="Calibri" w:hAnsi="Calibri"/>
          <w:b/>
          <w:bCs/>
          <w:color w:val="0B0B0B"/>
          <w:sz w:val="21"/>
          <w:szCs w:val="21"/>
        </w:rPr>
        <w:t xml:space="preserve">Estimation.</w:t>
      </w:r>
      <w:r>
        <w:rPr>
          <w:rFonts w:ascii="Calibri" w:cs="Calibri" w:eastAsia="Calibri" w:hAnsi="Calibri"/>
          <w:color w:val="0B0B0B"/>
          <w:sz w:val="21"/>
          <w:szCs w:val="21"/>
        </w:rPr>
        <w:t xml:space="preserve"> φ̂ by OLS of X_{t} on X_{t−1} per name (equivalently MLE under Gaussian η); small-sample Kendall bias E[φ̂ − φ] ≈ −(1+3φ)/T is corrected explicitly. Stationarity sanity: require φ̂ ∈ (0,1) with SE excluding 1 (an ADF-flavored check); names whose residuals are not mean-reverting on the training span simply get no F2 signal (score = NaN), which the coverage gate then prices.</w:t>
      </w:r>
    </w:p>
    <w:p>
      <w:pPr>
        <w:spacing w:after="140" w:line="264"/>
        <w:jc w:val="both"/>
      </w:pPr>
      <w:r>
        <w:rPr>
          <w:rFonts w:ascii="Calibri" w:cs="Calibri" w:eastAsia="Calibri" w:hAnsi="Calibri"/>
          <w:b/>
          <w:bCs/>
          <w:color w:val="0B0B0B"/>
          <w:sz w:val="21"/>
          <w:szCs w:val="21"/>
        </w:rPr>
        <w:t xml:space="preserve">Rule.</w:t>
      </w:r>
      <w:r>
        <w:rPr>
          <w:rFonts w:ascii="Calibri" w:cs="Calibri" w:eastAsia="Calibri" w:hAnsi="Calibri"/>
          <w:color w:val="0B0B0B"/>
          <w:sz w:val="21"/>
          <w:szCs w:val="21"/>
        </w:rPr>
        <w:t xml:space="preserve"> Score = −z where z = X/σ_X. Entry/exit thresholds are </w:t>
      </w:r>
      <w:r>
        <w:rPr>
          <w:rFonts w:ascii="Calibri" w:cs="Calibri" w:eastAsia="Calibri" w:hAnsi="Calibri"/>
          <w:i/>
          <w:iCs/>
          <w:color w:val="0B0B0B"/>
          <w:sz w:val="21"/>
          <w:szCs w:val="21"/>
        </w:rPr>
        <w:t xml:space="preserve">derived</w:t>
      </w:r>
      <w:r>
        <w:rPr>
          <w:rFonts w:ascii="Calibri" w:cs="Calibri" w:eastAsia="Calibri" w:hAnsi="Calibri"/>
          <w:color w:val="0B0B0B"/>
          <w:sz w:val="21"/>
          <w:szCs w:val="21"/>
        </w:rPr>
        <w:t xml:space="preserve">, not chosen: for an OU cycle entered at |z| = a and exited at z = 0 with round-trip cost c, expected profit per cycle is (aσ_X − c) and expected cycle duration is the OU mean first-passage time</w:t>
      </w:r>
    </w:p>
    <w:p>
      <w:pPr>
        <w:spacing w:after="140" w:before="60"/>
        <w:jc w:val="center"/>
      </w:pPr>
      <w:r>
        <w:rPr>
          <w:rFonts w:ascii="Cambria" w:cs="Cambria" w:eastAsia="Cambria" w:hAnsi="Cambria"/>
          <w:i/>
          <w:iCs/>
          <w:color w:val="0B0B0B"/>
          <w:sz w:val="22"/>
          <w:szCs w:val="22"/>
        </w:rPr>
        <w:t xml:space="preserve">E[τ(a→0)] = (2/σ²)·∫₀^{aσ_X} e^{θy²/σ²} [ ∫_{−∞}^{y} e^{−θz²/σ²} dz ] dy</w:t>
      </w:r>
    </w:p>
    <w:p>
      <w:pPr>
        <w:spacing w:after="140" w:line="264"/>
        <w:jc w:val="both"/>
      </w:pPr>
      <w:r>
        <w:rPr>
          <w:rFonts w:ascii="Calibri" w:cs="Calibri" w:eastAsia="Calibri" w:hAnsi="Calibri"/>
          <w:color w:val="0B0B0B"/>
          <w:sz w:val="21"/>
          <w:szCs w:val="21"/>
        </w:rPr>
        <w:t xml:space="preserve">(exact; closed form via the imaginary error function erfi — Bertram 2010 — but the double integral is evaluated numerically in milliseconds). Maximize the rate (aσ_X − c)/E[τ(a→0)] over a: a one-dimensional unimodal problem whose solution a* replaces every 'enter at z = 2 because everyone does'. Time-stop at k·HL (k ≈ 2) bounds exposure to regime breaks; sizing per §5.</w:t>
      </w:r>
    </w:p>
    <w:p>
      <w:pPr>
        <w:spacing w:after="140" w:line="264"/>
        <w:jc w:val="both"/>
      </w:pPr>
      <w:r>
        <w:rPr>
          <w:rFonts w:ascii="Calibri" w:cs="Calibri" w:eastAsia="Calibri" w:hAnsi="Calibri"/>
          <w:b/>
          <w:bCs/>
          <w:color w:val="0B0B0B"/>
          <w:sz w:val="21"/>
          <w:szCs w:val="21"/>
        </w:rPr>
        <w:t xml:space="preserve">Tests.</w:t>
      </w:r>
      <w:r>
        <w:rPr>
          <w:rFonts w:ascii="Calibri" w:cs="Calibri" w:eastAsia="Calibri" w:hAnsi="Calibri"/>
          <w:color w:val="0B0B0B"/>
          <w:sz w:val="21"/>
          <w:szCs w:val="21"/>
        </w:rPr>
        <w:t xml:space="preserve"> H₀: φ = 1 (no reversion) rejected per name-window; pooled δ_h &lt; 0 with clustered t ≤ −3; conditional honesty test — on bars flagged news-like (volume surprise &gt; 3σ or gap), reversion must be measurably weaker (interaction term), otherwise the news gate is deleted as non-functional; a* fold-stability per §6.3.</w:t>
      </w:r>
    </w:p>
    <w:p>
      <w:pPr>
        <w:shd w:fill="F5F5F2" w:val="clear"/>
        <w:spacing w:after="0" w:line="230"/>
        <w:ind w:left="220" w:right="220"/>
      </w:pPr>
      <w:r>
        <w:rPr>
          <w:rFonts w:ascii="Consolas" w:cs="Consolas" w:eastAsia="Consolas" w:hAnsi="Consolas"/>
          <w:color w:val="0B0B0B"/>
          <w:sz w:val="17"/>
          <w:szCs w:val="17"/>
        </w:rPr>
        <w:t xml:space="preserve"># F2 reference</w:t>
      </w:r>
    </w:p>
    <w:p>
      <w:pPr>
        <w:shd w:fill="F5F5F2" w:val="clear"/>
        <w:spacing w:after="0" w:line="230"/>
        <w:ind w:left="220" w:right="220"/>
      </w:pPr>
      <w:r>
        <w:rPr>
          <w:rFonts w:ascii="Consolas" w:cs="Consolas" w:eastAsia="Consolas" w:hAnsi="Consolas"/>
          <w:color w:val="0B0B0B"/>
          <w:sz w:val="17"/>
          <w:szCs w:val="17"/>
        </w:rPr>
        <w:t xml:space="preserve">X    = rolling_sum(eps, W)                     # displacement</w:t>
      </w:r>
    </w:p>
    <w:p>
      <w:pPr>
        <w:shd w:fill="F5F5F2" w:val="clear"/>
        <w:spacing w:after="0" w:line="230"/>
        <w:ind w:left="220" w:right="220"/>
      </w:pPr>
      <w:r>
        <w:rPr>
          <w:rFonts w:ascii="Consolas" w:cs="Consolas" w:eastAsia="Consolas" w:hAnsi="Consolas"/>
          <w:color w:val="0B0B0B"/>
          <w:sz w:val="17"/>
          <w:szCs w:val="17"/>
        </w:rPr>
        <w:t xml:space="preserve">phi  = ar1(X, L).kendall_corrected()           # per name</w:t>
      </w:r>
    </w:p>
    <w:p>
      <w:pPr>
        <w:shd w:fill="F5F5F2" w:val="clear"/>
        <w:spacing w:after="0" w:line="230"/>
        <w:ind w:left="220" w:right="220"/>
      </w:pPr>
      <w:r>
        <w:rPr>
          <w:rFonts w:ascii="Consolas" w:cs="Consolas" w:eastAsia="Consolas" w:hAnsi="Consolas"/>
          <w:color w:val="0B0B0B"/>
          <w:sz w:val="17"/>
          <w:szCs w:val="17"/>
        </w:rPr>
        <w:t xml:space="preserve">hl   = -bar_len*ln(2)/ln(phi)</w:t>
      </w:r>
    </w:p>
    <w:p>
      <w:pPr>
        <w:shd w:fill="F5F5F2" w:val="clear"/>
        <w:spacing w:after="0" w:line="230"/>
        <w:ind w:left="220" w:right="220"/>
      </w:pPr>
      <w:r>
        <w:rPr>
          <w:rFonts w:ascii="Consolas" w:cs="Consolas" w:eastAsia="Consolas" w:hAnsi="Consolas"/>
          <w:color w:val="0B0B0B"/>
          <w:sz w:val="17"/>
          <w:szCs w:val="17"/>
        </w:rPr>
        <w:t xml:space="preserve">z    = X / ewm_std(X, L)</w:t>
      </w:r>
    </w:p>
    <w:p>
      <w:pPr>
        <w:shd w:fill="F5F5F2" w:val="clear"/>
        <w:spacing w:after="0" w:line="230"/>
        <w:ind w:left="220" w:right="220"/>
      </w:pPr>
      <w:r>
        <w:rPr>
          <w:rFonts w:ascii="Consolas" w:cs="Consolas" w:eastAsia="Consolas" w:hAnsi="Consolas"/>
          <w:color w:val="0B0B0B"/>
          <w:sz w:val="17"/>
          <w:szCs w:val="17"/>
        </w:rPr>
        <w:t xml:space="preserve">a_st = argmax_a (a*sig_X - c_line) / ou_mfpt(a, theta_hat, sigma_hat)   # Bertram</w:t>
      </w:r>
    </w:p>
    <w:p>
      <w:pPr>
        <w:shd w:fill="F5F5F2" w:val="clear"/>
        <w:spacing w:after="0" w:line="230"/>
        <w:ind w:left="220" w:right="220"/>
      </w:pPr>
      <w:r>
        <w:rPr>
          <w:rFonts w:ascii="Consolas" w:cs="Consolas" w:eastAsia="Consolas" w:hAnsi="Consolas"/>
          <w:color w:val="0B0B0B"/>
          <w:sz w:val="17"/>
          <w:szCs w:val="17"/>
        </w:rPr>
        <w:t xml:space="preserve">score= -z.where(hl.between(hl_lo, hl_hi) &amp; quiet(volume, gap) &amp; spread_ok)</w:t>
      </w:r>
    </w:p>
    <w:p>
      <w:pPr>
        <w:shd w:fill="F5F5F2" w:val="clear"/>
        <w:spacing w:after="0" w:line="230"/>
        <w:ind w:left="220" w:right="220"/>
      </w:pPr>
      <w:r>
        <w:rPr>
          <w:rFonts w:ascii="Consolas" w:cs="Consolas" w:eastAsia="Consolas" w:hAnsi="Consolas"/>
          <w:color w:val="0B0B0B"/>
          <w:sz w:val="17"/>
          <w:szCs w:val="17"/>
        </w:rPr>
        <w:t xml:space="preserve">enter= abs(z) &gt; a_st;  exit = (sign(z) flips) | (t &gt; 2*hl) | stop</w:t>
      </w:r>
    </w:p>
    <w:p>
      <w:pPr>
        <w:spacing w:after="140" w:line="264"/>
        <w:jc w:val="both"/>
      </w:pPr>
      <w:r>
        <w:rPr>
          <w:rFonts w:ascii="Calibri" w:cs="Calibri" w:eastAsia="Calibri" w:hAnsi="Calibri"/>
          <w:b/>
          <w:bCs/>
          <w:color w:val="0B0B0B"/>
          <w:sz w:val="21"/>
          <w:szCs w:val="21"/>
        </w:rPr>
        <w:t xml:space="preserve">Pitfalls.</w:t>
      </w:r>
      <w:r>
        <w:rPr>
          <w:rFonts w:ascii="Calibri" w:cs="Calibri" w:eastAsia="Calibri" w:hAnsi="Calibri"/>
          <w:color w:val="0B0B0B"/>
          <w:sz w:val="21"/>
          <w:szCs w:val="21"/>
        </w:rPr>
        <w:t xml:space="preserve"> Fading real news = negative selection (the quiet gate is load-bearing; its interaction test above keeps it honest); σ_X estimated over windows containing the displacement itself (use lagged vol); correlated simultaneous entries across names in one sector = one bet, not ten (§2.3 N_eff and the sector caps in Π handle it).</w:t>
      </w:r>
    </w:p>
    <w:p>
      <w:pPr>
        <w:pStyle w:val="Heading2"/>
        <w:spacing w:after="120" w:before="240"/>
      </w:pPr>
      <w:r>
        <w:rPr>
          <w:rFonts w:ascii="Calibri" w:cs="Calibri" w:eastAsia="Calibri" w:hAnsi="Calibri"/>
          <w:b/>
          <w:bCs/>
          <w:color w:val="1F5CA8"/>
          <w:sz w:val="24"/>
          <w:szCs w:val="24"/>
        </w:rPr>
        <w:t xml:space="preserve">F3 — Time-series momentum</w:t>
      </w:r>
    </w:p>
    <w:p>
      <w:pPr>
        <w:spacing w:after="140" w:line="264"/>
        <w:jc w:val="both"/>
      </w:pPr>
      <w:r>
        <w:rPr>
          <w:rFonts w:ascii="Calibri" w:cs="Calibri" w:eastAsia="Calibri" w:hAnsi="Calibri"/>
          <w:b/>
          <w:bCs/>
          <w:color w:val="0B0B0B"/>
          <w:sz w:val="21"/>
          <w:szCs w:val="21"/>
        </w:rPr>
        <w:t xml:space="preserve">Model.</w:t>
      </w:r>
      <w:r>
        <w:rPr>
          <w:rFonts w:ascii="Calibri" w:cs="Calibri" w:eastAsia="Calibri" w:hAnsi="Calibri"/>
          <w:color w:val="0B0B0B"/>
          <w:sz w:val="21"/>
          <w:szCs w:val="21"/>
        </w:rPr>
        <w:t xml:space="preserve"> Pooled panel claim (Moskowitz–Ooi–Pedersen form, intraday horizon): E[r_{i,t→t+h}/σ_{i,t}] = b_h · sign-preserving function of r_{i,t−W→t}/σ_{i,t}, b_h &gt; 0 for h in the hour-to-session range once the opening noise settles. Vol-normalization is part of the model (it makes bets comparable and stabilizes b̂_h), not decoration.</w:t>
      </w:r>
    </w:p>
    <w:p>
      <w:pPr>
        <w:spacing w:after="140" w:line="264"/>
        <w:jc w:val="both"/>
      </w:pPr>
      <w:r>
        <w:rPr>
          <w:rFonts w:ascii="Calibri" w:cs="Calibri" w:eastAsia="Calibri" w:hAnsi="Calibri"/>
          <w:b/>
          <w:bCs/>
          <w:color w:val="0B0B0B"/>
          <w:sz w:val="21"/>
          <w:szCs w:val="21"/>
        </w:rPr>
        <w:t xml:space="preserve">Estimation.</w:t>
      </w:r>
      <w:r>
        <w:rPr>
          <w:rFonts w:ascii="Calibri" w:cs="Calibri" w:eastAsia="Calibri" w:hAnsi="Calibri"/>
          <w:color w:val="0B0B0B"/>
          <w:sz w:val="21"/>
          <w:szCs w:val="21"/>
        </w:rPr>
        <w:t xml:space="preserve"> Pooled regression of vol-scaled forward returns on vol-scaled lagged returns (linear in the core spec; the sign(·) variant is a C5-labeled robustness sibling, not the primary). Two-way clustered SEs; b̂_h term structure per session bucket.</w:t>
      </w:r>
    </w:p>
    <w:p>
      <w:pPr>
        <w:spacing w:after="140" w:line="264"/>
        <w:jc w:val="both"/>
      </w:pPr>
      <w:r>
        <w:rPr>
          <w:rFonts w:ascii="Calibri" w:cs="Calibri" w:eastAsia="Calibri" w:hAnsi="Calibri"/>
          <w:b/>
          <w:bCs/>
          <w:color w:val="0B0B0B"/>
          <w:sz w:val="21"/>
          <w:szCs w:val="21"/>
        </w:rPr>
        <w:t xml:space="preserve">Rule.</w:t>
      </w:r>
      <w:r>
        <w:rPr>
          <w:rFonts w:ascii="Calibri" w:cs="Calibri" w:eastAsia="Calibri" w:hAnsi="Calibri"/>
          <w:color w:val="0B0B0B"/>
          <w:sz w:val="21"/>
          <w:szCs w:val="21"/>
        </w:rPr>
        <w:t xml:space="preserve"> Position ∝ clip(m/σ, ±cap) when |g̃| clears the §6.2 threshold; exit at h* (§6.1) or on sign flip; EOD flat. Multi-window combination as in F1.</w:t>
      </w:r>
    </w:p>
    <w:p>
      <w:pPr>
        <w:spacing w:after="140" w:line="264"/>
        <w:jc w:val="both"/>
      </w:pPr>
      <w:r>
        <w:rPr>
          <w:rFonts w:ascii="Calibri" w:cs="Calibri" w:eastAsia="Calibri" w:hAnsi="Calibri"/>
          <w:b/>
          <w:bCs/>
          <w:color w:val="0B0B0B"/>
          <w:sz w:val="21"/>
          <w:szCs w:val="21"/>
        </w:rPr>
        <w:t xml:space="preserve">Tests.</w:t>
      </w:r>
      <w:r>
        <w:rPr>
          <w:rFonts w:ascii="Calibri" w:cs="Calibri" w:eastAsia="Calibri" w:hAnsi="Calibri"/>
          <w:color w:val="0B0B0B"/>
          <w:sz w:val="21"/>
          <w:szCs w:val="21"/>
        </w:rPr>
        <w:t xml:space="preserve"> H₀: b_h = 0, clustered t ≥ 3; sub-period sign stability; anti-overlap with F1 — PnL correlation of the certified F3 and F1 configs enters the S5 correlation cap (they often proxy each other; the ensemble must not double-count).</w:t>
      </w:r>
    </w:p>
    <w:p>
      <w:pPr>
        <w:spacing w:after="140" w:line="264"/>
        <w:jc w:val="both"/>
      </w:pPr>
      <w:r>
        <w:rPr>
          <w:rFonts w:ascii="Calibri" w:cs="Calibri" w:eastAsia="Calibri" w:hAnsi="Calibri"/>
          <w:b/>
          <w:bCs/>
          <w:color w:val="0B0B0B"/>
          <w:sz w:val="21"/>
          <w:szCs w:val="21"/>
        </w:rPr>
        <w:t xml:space="preserve">Pitfalls.</w:t>
      </w:r>
      <w:r>
        <w:rPr>
          <w:rFonts w:ascii="Calibri" w:cs="Calibri" w:eastAsia="Calibri" w:hAnsi="Calibri"/>
          <w:color w:val="0B0B0B"/>
          <w:sz w:val="21"/>
          <w:szCs w:val="21"/>
        </w:rPr>
        <w:t xml:space="preserve"> Trend measured across the open gap conflates F5's effect (windows are session-anchored by config; the grid separates them); variance-ratio regime dependence — b_h collapses in chop, which is exactly what the VR-based regime gate (§Blueprint 13) conditions on, and that gate's own validity is tested like any config.</w:t>
      </w:r>
    </w:p>
    <w:p>
      <w:pPr>
        <w:pStyle w:val="Heading2"/>
        <w:spacing w:after="120" w:before="240"/>
      </w:pPr>
      <w:r>
        <w:rPr>
          <w:rFonts w:ascii="Calibri" w:cs="Calibri" w:eastAsia="Calibri" w:hAnsi="Calibri"/>
          <w:b/>
          <w:bCs/>
          <w:color w:val="1F5CA8"/>
          <w:sz w:val="24"/>
          <w:szCs w:val="24"/>
        </w:rPr>
        <w:t xml:space="preserve">F4 — Breakout / range expansion</w:t>
      </w:r>
    </w:p>
    <w:p>
      <w:pPr>
        <w:spacing w:after="140" w:line="264"/>
        <w:jc w:val="both"/>
      </w:pPr>
      <w:r>
        <w:rPr>
          <w:rFonts w:ascii="Calibri" w:cs="Calibri" w:eastAsia="Calibri" w:hAnsi="Calibri"/>
          <w:b/>
          <w:bCs/>
          <w:color w:val="0B0B0B"/>
          <w:sz w:val="21"/>
          <w:szCs w:val="21"/>
        </w:rPr>
        <w:t xml:space="preserve">Model.</w:t>
      </w:r>
      <w:r>
        <w:rPr>
          <w:rFonts w:ascii="Calibri" w:cs="Calibri" w:eastAsia="Calibri" w:hAnsi="Calibri"/>
          <w:color w:val="0B0B0B"/>
          <w:sz w:val="21"/>
          <w:szCs w:val="21"/>
        </w:rPr>
        <w:t xml:space="preserve"> Two-state switching: within a session a name is range-bound (price ≈ bounded martingale around a local level) or trending (drift μ ≠ 0 after an information arrival). A confirmed range escape is evidence for the trending state; conditional on a true switch, E[r_{break→close}] &gt; 0 in the break direction. Formally the trigger approximates a sequential changepoint detector: the one-sided CUSUM of §9 applied to bar returns fires when cumulative drift evidence exceeds a bound — the classical ORB trigger is a special case (evidence = escape from the opening range extremes), which is why F4 carries </w:t>
      </w:r>
      <w:r>
        <w:rPr>
          <w:rFonts w:ascii="Consolas" w:cs="Consolas" w:eastAsia="Consolas" w:hAnsi="Consolas"/>
          <w:color w:val="1F5CA8"/>
          <w:sz w:val="19"/>
          <w:szCs w:val="19"/>
        </w:rPr>
        <w:t xml:space="preserve">heuristic: true</w:t>
      </w:r>
      <w:r>
        <w:rPr>
          <w:rFonts w:ascii="Calibri" w:cs="Calibri" w:eastAsia="Calibri" w:hAnsi="Calibri"/>
          <w:color w:val="0B0B0B"/>
          <w:sz w:val="21"/>
          <w:szCs w:val="21"/>
        </w:rPr>
        <w:t xml:space="preserve"> on its trigger geometry but </w:t>
      </w:r>
      <w:r>
        <w:rPr>
          <w:rFonts w:ascii="Calibri" w:cs="Calibri" w:eastAsia="Calibri" w:hAnsi="Calibri"/>
          <w:i/>
          <w:iCs/>
          <w:color w:val="0B0B0B"/>
          <w:sz w:val="21"/>
          <w:szCs w:val="21"/>
        </w:rPr>
        <w:t xml:space="preserve">not</w:t>
      </w:r>
      <w:r>
        <w:rPr>
          <w:rFonts w:ascii="Calibri" w:cs="Calibri" w:eastAsia="Calibri" w:hAnsi="Calibri"/>
          <w:color w:val="0B0B0B"/>
          <w:sz w:val="21"/>
          <w:szCs w:val="21"/>
        </w:rPr>
        <w:t xml:space="preserve"> on its evaluation, which is fully statistical.</w:t>
      </w:r>
    </w:p>
    <w:p>
      <w:pPr>
        <w:spacing w:after="140" w:line="264"/>
        <w:jc w:val="both"/>
      </w:pPr>
      <w:r>
        <w:rPr>
          <w:rFonts w:ascii="Calibri" w:cs="Calibri" w:eastAsia="Calibri" w:hAnsi="Calibri"/>
          <w:b/>
          <w:bCs/>
          <w:color w:val="0B0B0B"/>
          <w:sz w:val="21"/>
          <w:szCs w:val="21"/>
        </w:rPr>
        <w:t xml:space="preserve">Estimation.</w:t>
      </w:r>
      <w:r>
        <w:rPr>
          <w:rFonts w:ascii="Calibri" w:cs="Calibri" w:eastAsia="Calibri" w:hAnsi="Calibri"/>
          <w:color w:val="0B0B0B"/>
          <w:sz w:val="21"/>
          <w:szCs w:val="21"/>
        </w:rPr>
        <w:t xml:space="preserve"> P(continuation | trigger features): logistic regression on pre-registered features — compression ratio (range percentile), RVOL, sector confirmation share, gap context, time-of-day — fit per walk-forward fold; calibration curve checked by reliability diagram (Brier decomposition in the S1 report). Expected conditional edge = P̂·E[win size] − (1−P̂)·E[stop size], all three estimated with CIs.</w:t>
      </w:r>
    </w:p>
    <w:p>
      <w:pPr>
        <w:spacing w:after="140" w:line="264"/>
        <w:jc w:val="both"/>
      </w:pPr>
      <w:r>
        <w:rPr>
          <w:rFonts w:ascii="Calibri" w:cs="Calibri" w:eastAsia="Calibri" w:hAnsi="Calibri"/>
          <w:b/>
          <w:bCs/>
          <w:color w:val="0B0B0B"/>
          <w:sz w:val="21"/>
          <w:szCs w:val="21"/>
        </w:rPr>
        <w:t xml:space="preserve">Rule.</w:t>
      </w:r>
      <w:r>
        <w:rPr>
          <w:rFonts w:ascii="Calibri" w:cs="Calibri" w:eastAsia="Calibri" w:hAnsi="Calibri"/>
          <w:color w:val="0B0B0B"/>
          <w:sz w:val="21"/>
          <w:szCs w:val="21"/>
        </w:rPr>
        <w:t xml:space="preserve"> Trade triggers whose expected conditional edge clears c + λσ (§6.2). The stop is structural: the opposite range edge; hence the risk unit R = range width, and size w = risk-budget/R (§5.4). Target/trail from the estimated conditional drift half-life, time-stop EOD.</w:t>
      </w:r>
    </w:p>
    <w:p>
      <w:pPr>
        <w:spacing w:after="140" w:line="264"/>
        <w:jc w:val="both"/>
      </w:pPr>
      <w:r>
        <w:rPr>
          <w:rFonts w:ascii="Calibri" w:cs="Calibri" w:eastAsia="Calibri" w:hAnsi="Calibri"/>
          <w:b/>
          <w:bCs/>
          <w:color w:val="0B0B0B"/>
          <w:sz w:val="21"/>
          <w:szCs w:val="21"/>
        </w:rPr>
        <w:t xml:space="preserve">Tests.</w:t>
      </w:r>
      <w:r>
        <w:rPr>
          <w:rFonts w:ascii="Calibri" w:cs="Calibri" w:eastAsia="Calibri" w:hAnsi="Calibri"/>
          <w:color w:val="0B0B0B"/>
          <w:sz w:val="21"/>
          <w:szCs w:val="21"/>
        </w:rPr>
        <w:t xml:space="preserve"> H₀: P(continuation|trigger) = P(continuation|no trigger, same features) — the trigger must add information beyond its conditioning set (likelihood-ratio test between nested logits); false-breakout asymmetry test across sessions; profit concentration tripwire (§Blueprint 11.4) since breakout PnL is right-skewed by construction — skew is expected, concentration in a handful of days is not.</w:t>
      </w:r>
    </w:p>
    <w:p>
      <w:pPr>
        <w:shd w:fill="F5F5F2" w:val="clear"/>
        <w:spacing w:after="0" w:line="230"/>
        <w:ind w:left="220" w:right="220"/>
      </w:pPr>
      <w:r>
        <w:rPr>
          <w:rFonts w:ascii="Consolas" w:cs="Consolas" w:eastAsia="Consolas" w:hAnsi="Consolas"/>
          <w:color w:val="0B0B0B"/>
          <w:sz w:val="17"/>
          <w:szCs w:val="17"/>
        </w:rPr>
        <w:t xml:space="preserve"># F4 reference</w:t>
      </w:r>
    </w:p>
    <w:p>
      <w:pPr>
        <w:shd w:fill="F5F5F2" w:val="clear"/>
        <w:spacing w:after="0" w:line="230"/>
        <w:ind w:left="220" w:right="220"/>
      </w:pPr>
      <w:r>
        <w:rPr>
          <w:rFonts w:ascii="Consolas" w:cs="Consolas" w:eastAsia="Consolas" w:hAnsi="Consolas"/>
          <w:color w:val="0B0B0B"/>
          <w:sz w:val="17"/>
          <w:szCs w:val="17"/>
        </w:rPr>
        <w:t xml:space="preserve">orange = session_range(bars, first=cfg.or_window)</w:t>
      </w:r>
    </w:p>
    <w:p>
      <w:pPr>
        <w:shd w:fill="F5F5F2" w:val="clear"/>
        <w:spacing w:after="0" w:line="230"/>
        <w:ind w:left="220" w:right="220"/>
      </w:pPr>
      <w:r>
        <w:rPr>
          <w:rFonts w:ascii="Consolas" w:cs="Consolas" w:eastAsia="Consolas" w:hAnsi="Consolas"/>
          <w:color w:val="0B0B0B"/>
          <w:sz w:val="17"/>
          <w:szCs w:val="17"/>
        </w:rPr>
        <w:t xml:space="preserve">feats  = assemble(compress_pct, rvol, sector_conf, gap_ctx, tod)</w:t>
      </w:r>
    </w:p>
    <w:p>
      <w:pPr>
        <w:shd w:fill="F5F5F2" w:val="clear"/>
        <w:spacing w:after="0" w:line="230"/>
        <w:ind w:left="220" w:right="220"/>
      </w:pPr>
      <w:r>
        <w:rPr>
          <w:rFonts w:ascii="Consolas" w:cs="Consolas" w:eastAsia="Consolas" w:hAnsi="Consolas"/>
          <w:color w:val="0B0B0B"/>
          <w:sz w:val="17"/>
          <w:szCs w:val="17"/>
        </w:rPr>
        <w:t xml:space="preserve">trig   = (close &gt; orange.hi + k*atr) | (close &lt; orange.lo - k*atr)</w:t>
      </w:r>
    </w:p>
    <w:p>
      <w:pPr>
        <w:shd w:fill="F5F5F2" w:val="clear"/>
        <w:spacing w:after="0" w:line="230"/>
        <w:ind w:left="220" w:right="220"/>
      </w:pPr>
      <w:r>
        <w:rPr>
          <w:rFonts w:ascii="Consolas" w:cs="Consolas" w:eastAsia="Consolas" w:hAnsi="Consolas"/>
          <w:color w:val="0B0B0B"/>
          <w:sz w:val="17"/>
          <w:szCs w:val="17"/>
        </w:rPr>
        <w:t xml:space="preserve">p_hat  = logit_fold.predict(feats)               # per walk-forward fold</w:t>
      </w:r>
    </w:p>
    <w:p>
      <w:pPr>
        <w:shd w:fill="F5F5F2" w:val="clear"/>
        <w:spacing w:after="0" w:line="230"/>
        <w:ind w:left="220" w:right="220"/>
      </w:pPr>
      <w:r>
        <w:rPr>
          <w:rFonts w:ascii="Consolas" w:cs="Consolas" w:eastAsia="Consolas" w:hAnsi="Consolas"/>
          <w:color w:val="0B0B0B"/>
          <w:sz w:val="17"/>
          <w:szCs w:val="17"/>
        </w:rPr>
        <w:t xml:space="preserve">edge   = p_hat*win_hat - (1-p_hat)*stop_hat      # all with CIs</w:t>
      </w:r>
    </w:p>
    <w:p>
      <w:pPr>
        <w:shd w:fill="F5F5F2" w:val="clear"/>
        <w:spacing w:after="0" w:line="230"/>
        <w:ind w:left="220" w:right="220"/>
      </w:pPr>
      <w:r>
        <w:rPr>
          <w:rFonts w:ascii="Consolas" w:cs="Consolas" w:eastAsia="Consolas" w:hAnsi="Consolas"/>
          <w:color w:val="0B0B0B"/>
          <w:sz w:val="17"/>
          <w:szCs w:val="17"/>
        </w:rPr>
        <w:t xml:space="preserve">trade  = trig &amp; (edge &gt; c_line + lam*sig)        # sized by R = range width</w:t>
      </w:r>
    </w:p>
    <w:p>
      <w:pPr>
        <w:spacing w:after="140" w:line="264"/>
        <w:jc w:val="both"/>
      </w:pPr>
      <w:r>
        <w:rPr>
          <w:rFonts w:ascii="Calibri" w:cs="Calibri" w:eastAsia="Calibri" w:hAnsi="Calibri"/>
          <w:b/>
          <w:bCs/>
          <w:color w:val="0B0B0B"/>
          <w:sz w:val="21"/>
          <w:szCs w:val="21"/>
        </w:rPr>
        <w:t xml:space="preserve">Pitfalls.</w:t>
      </w:r>
      <w:r>
        <w:rPr>
          <w:rFonts w:ascii="Calibri" w:cs="Calibri" w:eastAsia="Calibri" w:hAnsi="Calibri"/>
          <w:color w:val="0B0B0B"/>
          <w:sz w:val="21"/>
          <w:szCs w:val="21"/>
        </w:rPr>
        <w:t xml:space="preserve"> Stop-hunt sweeps (the sector-confirmation and imbalance features exist to separate sweep from switch — their incremental LR is the test); trigger parameters are plateau-selected like everything else; survivor illusion in stop math (stops gap through their levels — Tier A/B fills model this; the paper distance is not the realized distance).</w:t>
      </w:r>
    </w:p>
    <w:p>
      <w:pPr>
        <w:pStyle w:val="Heading2"/>
        <w:spacing w:after="120" w:before="240"/>
      </w:pPr>
      <w:r>
        <w:rPr>
          <w:rFonts w:ascii="Calibri" w:cs="Calibri" w:eastAsia="Calibri" w:hAnsi="Calibri"/>
          <w:b/>
          <w:bCs/>
          <w:color w:val="1F5CA8"/>
          <w:sz w:val="24"/>
          <w:szCs w:val="24"/>
        </w:rPr>
        <w:t xml:space="preserve">F5 — Overnight-gap digestion</w:t>
      </w:r>
    </w:p>
    <w:p>
      <w:pPr>
        <w:spacing w:after="140" w:line="264"/>
        <w:jc w:val="both"/>
      </w:pPr>
      <w:r>
        <w:rPr>
          <w:rFonts w:ascii="Calibri" w:cs="Calibri" w:eastAsia="Calibri" w:hAnsi="Calibri"/>
          <w:b/>
          <w:bCs/>
          <w:color w:val="0B0B0B"/>
          <w:sz w:val="21"/>
          <w:szCs w:val="21"/>
        </w:rPr>
        <w:t xml:space="preserve">Model.</w:t>
      </w:r>
      <w:r>
        <w:rPr>
          <w:rFonts w:ascii="Calibri" w:cs="Calibri" w:eastAsia="Calibri" w:hAnsi="Calibri"/>
          <w:color w:val="0B0B0B"/>
          <w:sz w:val="21"/>
          <w:szCs w:val="21"/>
        </w:rPr>
        <w:t xml:space="preserve"> The open aggregates overnight information under auction mechanics; systematic over/under-reaction leaves E[r_{i,open→open+w} | G_i, X_i] ≠ 0 where G_i is the residual gap (name gap minus β·index gap) in ATR units and X_i the conditioning set (sector-relative gap, RVOL at open, earnings flag). No parametric shape is imposed on the response: it is a conditional-mean surface.</w:t>
      </w:r>
    </w:p>
    <w:p>
      <w:pPr>
        <w:spacing w:after="140" w:line="264"/>
        <w:jc w:val="both"/>
      </w:pPr>
      <w:r>
        <w:rPr>
          <w:rFonts w:ascii="Calibri" w:cs="Calibri" w:eastAsia="Calibri" w:hAnsi="Calibri"/>
          <w:b/>
          <w:bCs/>
          <w:color w:val="0B0B0B"/>
          <w:sz w:val="21"/>
          <w:szCs w:val="21"/>
        </w:rPr>
        <w:t xml:space="preserve">Estimation.</w:t>
      </w:r>
      <w:r>
        <w:rPr>
          <w:rFonts w:ascii="Calibri" w:cs="Calibri" w:eastAsia="Calibri" w:hAnsi="Calibri"/>
          <w:color w:val="0B0B0B"/>
          <w:sz w:val="21"/>
          <w:szCs w:val="21"/>
        </w:rPr>
        <w:t xml:space="preserve"> Binned/kernel regression of forward returns on (G, X) cells with empirical-Bayes shrinkage across cells (§4.2) and bootstrap CIs; monotonicity </w:t>
      </w:r>
      <w:r>
        <w:rPr>
          <w:rFonts w:ascii="Calibri" w:cs="Calibri" w:eastAsia="Calibri" w:hAnsi="Calibri"/>
          <w:i/>
          <w:iCs/>
          <w:color w:val="0B0B0B"/>
          <w:sz w:val="21"/>
          <w:szCs w:val="21"/>
        </w:rPr>
        <w:t xml:space="preserve">within</w:t>
      </w:r>
      <w:r>
        <w:rPr>
          <w:rFonts w:ascii="Calibri" w:cs="Calibri" w:eastAsia="Calibri" w:hAnsi="Calibri"/>
          <w:color w:val="0B0B0B"/>
          <w:sz w:val="21"/>
          <w:szCs w:val="21"/>
        </w:rPr>
        <w:t xml:space="preserve"> regimes is diagnostic, not enforced globally (small gaps fading and large gaps continuing is a legitimate non-monotone shape — the isotonic constraint applies piecewise around the estimated sign-change knot). Heteroskedasticity is severe (gap size correlates with news variance): robust (Huber) means per cell are the primary estimator, trimmed means the cross-check.</w:t>
      </w:r>
    </w:p>
    <w:p>
      <w:pPr>
        <w:spacing w:after="140" w:line="264"/>
        <w:jc w:val="both"/>
      </w:pPr>
      <w:r>
        <w:rPr>
          <w:rFonts w:ascii="Calibri" w:cs="Calibri" w:eastAsia="Calibri" w:hAnsi="Calibri"/>
          <w:b/>
          <w:bCs/>
          <w:color w:val="0B0B0B"/>
          <w:sz w:val="21"/>
          <w:szCs w:val="21"/>
        </w:rPr>
        <w:t xml:space="preserve">Rule.</w:t>
      </w:r>
      <w:r>
        <w:rPr>
          <w:rFonts w:ascii="Calibri" w:cs="Calibri" w:eastAsia="Calibri" w:hAnsi="Calibri"/>
          <w:color w:val="0B0B0B"/>
          <w:sz w:val="21"/>
          <w:szCs w:val="21"/>
        </w:rPr>
        <w:t xml:space="preserve"> Trade cells whose shrunk |edge| clears the line; horizon = first 30–90 min with the h* machinery applied to the post-open decay curve; earnings-day cells route to F8's event treatment instead (no double-counting — the plugin's requires-clause excludes event days when F8 claims them).</w:t>
      </w:r>
    </w:p>
    <w:p>
      <w:pPr>
        <w:spacing w:after="140" w:line="264"/>
        <w:jc w:val="both"/>
      </w:pPr>
      <w:r>
        <w:rPr>
          <w:rFonts w:ascii="Calibri" w:cs="Calibri" w:eastAsia="Calibri" w:hAnsi="Calibri"/>
          <w:b/>
          <w:bCs/>
          <w:color w:val="0B0B0B"/>
          <w:sz w:val="21"/>
          <w:szCs w:val="21"/>
        </w:rPr>
        <w:t xml:space="preserve">Tests.</w:t>
      </w:r>
      <w:r>
        <w:rPr>
          <w:rFonts w:ascii="Calibri" w:cs="Calibri" w:eastAsia="Calibri" w:hAnsi="Calibri"/>
          <w:color w:val="0B0B0B"/>
          <w:sz w:val="21"/>
          <w:szCs w:val="21"/>
        </w:rPr>
        <w:t xml:space="preserve"> Cell-level H₀: edge = 0 with BH-FDR across cells (many cells = multiplicity, §8.4); knot-location stability across folds; placebo on shuffled gap assignments; interaction with market-wide gap (a big index gap changes everything — the residual-gap definition is itself tested by comparing raw-gap vs residual-gap ICs).</w:t>
      </w:r>
    </w:p>
    <w:p>
      <w:pPr>
        <w:spacing w:after="140" w:line="264"/>
        <w:jc w:val="both"/>
      </w:pPr>
      <w:r>
        <w:rPr>
          <w:rFonts w:ascii="Calibri" w:cs="Calibri" w:eastAsia="Calibri" w:hAnsi="Calibri"/>
          <w:b/>
          <w:bCs/>
          <w:color w:val="0B0B0B"/>
          <w:sz w:val="21"/>
          <w:szCs w:val="21"/>
        </w:rPr>
        <w:t xml:space="preserve">Pitfalls.</w:t>
      </w:r>
      <w:r>
        <w:rPr>
          <w:rFonts w:ascii="Calibri" w:cs="Calibri" w:eastAsia="Calibri" w:hAnsi="Calibri"/>
          <w:color w:val="0B0B0B"/>
          <w:sz w:val="21"/>
          <w:szCs w:val="21"/>
        </w:rPr>
        <w:t xml:space="preserve"> Auction prints vs first continuous bar (the 'open' is defined as the 09:15 auction-cross price, never a pre-open indicative — data layer guarantees this); illiquid opens (spread gate binds hardest in the first minutes; cost model uses session-O spreads); the temptation to fade every gap — the entire family is the </w:t>
      </w:r>
      <w:r>
        <w:rPr>
          <w:rFonts w:ascii="Calibri" w:cs="Calibri" w:eastAsia="Calibri" w:hAnsi="Calibri"/>
          <w:i/>
          <w:iCs/>
          <w:color w:val="0B0B0B"/>
          <w:sz w:val="21"/>
          <w:szCs w:val="21"/>
        </w:rPr>
        <w:t xml:space="preserve">refutation</w:t>
      </w:r>
      <w:r>
        <w:rPr>
          <w:rFonts w:ascii="Calibri" w:cs="Calibri" w:eastAsia="Calibri" w:hAnsi="Calibri"/>
          <w:color w:val="0B0B0B"/>
          <w:sz w:val="21"/>
          <w:szCs w:val="21"/>
        </w:rPr>
        <w:t xml:space="preserve"> of that prior, and if the estimated surface says fade-everything, the placebo and stability tests will decide whether to believe it.</w:t>
      </w:r>
    </w:p>
    <w:p>
      <w:pPr>
        <w:pStyle w:val="Heading2"/>
        <w:spacing w:after="120" w:before="240"/>
      </w:pPr>
      <w:r>
        <w:rPr>
          <w:rFonts w:ascii="Calibri" w:cs="Calibri" w:eastAsia="Calibri" w:hAnsi="Calibri"/>
          <w:b/>
          <w:bCs/>
          <w:color w:val="1F5CA8"/>
          <w:sz w:val="24"/>
          <w:szCs w:val="24"/>
        </w:rPr>
        <w:t xml:space="preserve">F6 — Intraday seasonality</w:t>
      </w:r>
    </w:p>
    <w:p>
      <w:pPr>
        <w:spacing w:after="140" w:line="264"/>
        <w:jc w:val="both"/>
      </w:pPr>
      <w:r>
        <w:rPr>
          <w:rFonts w:ascii="Calibri" w:cs="Calibri" w:eastAsia="Calibri" w:hAnsi="Calibri"/>
          <w:b/>
          <w:bCs/>
          <w:color w:val="0B0B0B"/>
          <w:sz w:val="21"/>
          <w:szCs w:val="21"/>
        </w:rPr>
        <w:t xml:space="preserve">Model.</w:t>
      </w:r>
      <w:r>
        <w:rPr>
          <w:rFonts w:ascii="Calibri" w:cs="Calibri" w:eastAsia="Calibri" w:hAnsi="Calibri"/>
          <w:color w:val="0B0B0B"/>
          <w:sz w:val="21"/>
          <w:szCs w:val="21"/>
        </w:rPr>
        <w:t xml:space="preserve"> Clock-time fixed effects on returns, volatility and volume: r_{i,d,τ} = μ_τ + γ_{g(i),τ} + controls + ε, where τ indexes the intraday bucket, g(i) a liquidity/sector group, and controls absorb day effects (market return, day-of-week, expiry flag). The tradeable claims are the conditional versions — e.g., E[r_{close-window} | morning move, RVOL] — where the unconditional μ_τ is merely the intercept.</w:t>
      </w:r>
    </w:p>
    <w:p>
      <w:pPr>
        <w:spacing w:after="140" w:line="264"/>
        <w:jc w:val="both"/>
      </w:pPr>
      <w:r>
        <w:rPr>
          <w:rFonts w:ascii="Calibri" w:cs="Calibri" w:eastAsia="Calibri" w:hAnsi="Calibri"/>
          <w:b/>
          <w:bCs/>
          <w:color w:val="0B0B0B"/>
          <w:sz w:val="21"/>
          <w:szCs w:val="21"/>
        </w:rPr>
        <w:t xml:space="preserve">Estimation.</w:t>
      </w:r>
      <w:r>
        <w:rPr>
          <w:rFonts w:ascii="Calibri" w:cs="Calibri" w:eastAsia="Calibri" w:hAnsi="Calibri"/>
          <w:color w:val="0B0B0B"/>
          <w:sz w:val="21"/>
          <w:szCs w:val="21"/>
        </w:rPr>
        <w:t xml:space="preserve"> Two-way fixed-effects panel with standard errors clustered by day </w:t>
      </w:r>
      <w:r>
        <w:rPr>
          <w:rFonts w:ascii="Calibri" w:cs="Calibri" w:eastAsia="Calibri" w:hAnsi="Calibri"/>
          <w:i/>
          <w:iCs/>
          <w:color w:val="0B0B0B"/>
          <w:sz w:val="21"/>
          <w:szCs w:val="21"/>
        </w:rPr>
        <w:t xml:space="preserve">and</w:t>
      </w:r>
      <w:r>
        <w:rPr>
          <w:rFonts w:ascii="Calibri" w:cs="Calibri" w:eastAsia="Calibri" w:hAnsi="Calibri"/>
          <w:color w:val="0B0B0B"/>
          <w:sz w:val="21"/>
          <w:szCs w:val="21"/>
        </w:rPr>
        <w:t xml:space="preserve"> by name (the day cluster is the binding one: every name shares each day's τ shock, so naive SEs overstate precision by ~√N). Bucket estimates shrunk by empirical Bayes (§4.2). </w:t>
      </w:r>
      <w:r>
        <w:rPr>
          <w:rFonts w:ascii="Calibri" w:cs="Calibri" w:eastAsia="Calibri" w:hAnsi="Calibri"/>
          <w:b/>
          <w:bCs/>
          <w:color w:val="0B0B0B"/>
          <w:sz w:val="21"/>
          <w:szCs w:val="21"/>
        </w:rPr>
        <w:t xml:space="preserve">Multiplicity is the defining hazard</w:t>
      </w:r>
      <w:r>
        <w:rPr>
          <w:rFonts w:ascii="Calibri" w:cs="Calibri" w:eastAsia="Calibri" w:hAnsi="Calibri"/>
          <w:color w:val="0B0B0B"/>
          <w:sz w:val="21"/>
          <w:szCs w:val="21"/>
        </w:rPr>
        <w:t xml:space="preserve">: with ~25 buckets × groups × conditionings, BH-FDR at q = 0.10 governs which cells even reach S2, and the registry counts all of them.</w:t>
      </w:r>
    </w:p>
    <w:p>
      <w:pPr>
        <w:spacing w:after="140" w:line="264"/>
        <w:jc w:val="both"/>
      </w:pPr>
      <w:r>
        <w:rPr>
          <w:rFonts w:ascii="Calibri" w:cs="Calibri" w:eastAsia="Calibri" w:hAnsi="Calibri"/>
          <w:b/>
          <w:bCs/>
          <w:color w:val="0B0B0B"/>
          <w:sz w:val="21"/>
          <w:szCs w:val="21"/>
        </w:rPr>
        <w:t xml:space="preserve">Rule.</w:t>
      </w:r>
      <w:r>
        <w:rPr>
          <w:rFonts w:ascii="Calibri" w:cs="Calibri" w:eastAsia="Calibri" w:hAnsi="Calibri"/>
          <w:color w:val="0B0B0B"/>
          <w:sz w:val="21"/>
          <w:szCs w:val="21"/>
        </w:rPr>
        <w:t xml:space="preserve"> Cells surviving FDR with shrunk edge &gt; c + λσ trade in their bucket with §5 sizing; F6 additionally </w:t>
      </w:r>
      <w:r>
        <w:rPr>
          <w:rFonts w:ascii="Calibri" w:cs="Calibri" w:eastAsia="Calibri" w:hAnsi="Calibri"/>
          <w:i/>
          <w:iCs/>
          <w:color w:val="0B0B0B"/>
          <w:sz w:val="21"/>
          <w:szCs w:val="21"/>
        </w:rPr>
        <w:t xml:space="preserve">exports</w:t>
      </w:r>
      <w:r>
        <w:rPr>
          <w:rFonts w:ascii="Calibri" w:cs="Calibri" w:eastAsia="Calibri" w:hAnsi="Calibri"/>
          <w:color w:val="0B0B0B"/>
          <w:sz w:val="21"/>
          <w:szCs w:val="21"/>
        </w:rPr>
        <w:t xml:space="preserve"> its estimated diurnal profiles φ_τ (vol, spread, volume) as features and as the session-mask prior other families search over — its most valuable output is infrastructure, not standalone PnL.</w:t>
      </w:r>
    </w:p>
    <w:p>
      <w:pPr>
        <w:spacing w:after="140" w:line="264"/>
        <w:jc w:val="both"/>
      </w:pPr>
      <w:r>
        <w:rPr>
          <w:rFonts w:ascii="Calibri" w:cs="Calibri" w:eastAsia="Calibri" w:hAnsi="Calibri"/>
          <w:b/>
          <w:bCs/>
          <w:color w:val="0B0B0B"/>
          <w:sz w:val="21"/>
          <w:szCs w:val="21"/>
        </w:rPr>
        <w:t xml:space="preserve">Tests.</w:t>
      </w:r>
      <w:r>
        <w:rPr>
          <w:rFonts w:ascii="Calibri" w:cs="Calibri" w:eastAsia="Calibri" w:hAnsi="Calibri"/>
          <w:color w:val="0B0B0B"/>
          <w:sz w:val="21"/>
          <w:szCs w:val="21"/>
        </w:rPr>
        <w:t xml:space="preserve"> Cell H₀: μ = 0 under clustered inference + FDR; year-by-year sign stability (seasonality that appeared in 2023 and died in 2025 fails S3's temporal battery); microstructure artifact check — a 'return' at a bucket boundary that vanishes under mid-to-mid pricing was bid-ask bounce, not seasonality (both price conventions are computed).</w:t>
      </w:r>
    </w:p>
    <w:p>
      <w:pPr>
        <w:spacing w:after="140" w:line="264"/>
        <w:jc w:val="both"/>
      </w:pPr>
      <w:r>
        <w:rPr>
          <w:rFonts w:ascii="Calibri" w:cs="Calibri" w:eastAsia="Calibri" w:hAnsi="Calibri"/>
          <w:b/>
          <w:bCs/>
          <w:color w:val="0B0B0B"/>
          <w:sz w:val="21"/>
          <w:szCs w:val="21"/>
        </w:rPr>
        <w:t xml:space="preserve">Pitfalls.</w:t>
      </w:r>
      <w:r>
        <w:rPr>
          <w:rFonts w:ascii="Calibri" w:cs="Calibri" w:eastAsia="Calibri" w:hAnsi="Calibri"/>
          <w:color w:val="0B0B0B"/>
          <w:sz w:val="21"/>
          <w:szCs w:val="21"/>
        </w:rPr>
        <w:t xml:space="preserve"> The open/close buckets have the widest spreads and the biggest apparent effects — cost-gated evaluation deflates them automatically; regime drift after market-structure changes (expiry-day migration, tick reforms) — the PIT calendar flags let S3 slice around known structural breaks.</w:t>
      </w:r>
    </w:p>
    <w:p>
      <w:pPr>
        <w:pStyle w:val="Heading2"/>
        <w:spacing w:after="120" w:before="240"/>
      </w:pPr>
      <w:r>
        <w:rPr>
          <w:rFonts w:ascii="Calibri" w:cs="Calibri" w:eastAsia="Calibri" w:hAnsi="Calibri"/>
          <w:b/>
          <w:bCs/>
          <w:color w:val="1F5CA8"/>
          <w:sz w:val="24"/>
          <w:szCs w:val="24"/>
        </w:rPr>
        <w:t xml:space="preserve">F7 — Lead–lag (index/leader → laggard)</w:t>
      </w:r>
    </w:p>
    <w:p>
      <w:pPr>
        <w:spacing w:after="140" w:line="264"/>
        <w:jc w:val="both"/>
      </w:pPr>
      <w:r>
        <w:rPr>
          <w:rFonts w:ascii="Calibri" w:cs="Calibri" w:eastAsia="Calibri" w:hAnsi="Calibri"/>
          <w:b/>
          <w:bCs/>
          <w:color w:val="0B0B0B"/>
          <w:sz w:val="21"/>
          <w:szCs w:val="21"/>
        </w:rPr>
        <w:t xml:space="preserve">Model.</w:t>
      </w:r>
      <w:r>
        <w:rPr>
          <w:rFonts w:ascii="Calibri" w:cs="Calibri" w:eastAsia="Calibri" w:hAnsi="Calibri"/>
          <w:color w:val="0B0B0B"/>
          <w:sz w:val="21"/>
          <w:szCs w:val="21"/>
        </w:rPr>
        <w:t xml:space="preserve"> Cross-autocorrelation from asynchronous information incorporation: E[r_{j,t→t+h} | r_{L,t−w→t}] = c_h·r_{L,t−w→t} for laggard j and leader composite L (index or intra-sector leader), c_h &gt; 0 decaying in h on the 1–30 minute range. Economically: the marginal investor in j reacts to L with latency; the alpha is renting your own lower latency relative to </w:t>
      </w:r>
      <w:r>
        <w:rPr>
          <w:rFonts w:ascii="Calibri" w:cs="Calibri" w:eastAsia="Calibri" w:hAnsi="Calibri"/>
          <w:i/>
          <w:iCs/>
          <w:color w:val="0B0B0B"/>
          <w:sz w:val="21"/>
          <w:szCs w:val="21"/>
        </w:rPr>
        <w:t xml:space="preserve">that</w:t>
      </w:r>
      <w:r>
        <w:rPr>
          <w:rFonts w:ascii="Calibri" w:cs="Calibri" w:eastAsia="Calibri" w:hAnsi="Calibri"/>
          <w:color w:val="0B0B0B"/>
          <w:sz w:val="21"/>
          <w:szCs w:val="21"/>
        </w:rPr>
        <w:t xml:space="preserve"> investor, not to HFT.</w:t>
      </w:r>
    </w:p>
    <w:p>
      <w:pPr>
        <w:spacing w:after="140" w:line="264"/>
        <w:jc w:val="both"/>
      </w:pPr>
      <w:r>
        <w:rPr>
          <w:rFonts w:ascii="Calibri" w:cs="Calibri" w:eastAsia="Calibri" w:hAnsi="Calibri"/>
          <w:b/>
          <w:bCs/>
          <w:color w:val="0B0B0B"/>
          <w:sz w:val="21"/>
          <w:szCs w:val="21"/>
        </w:rPr>
        <w:t xml:space="preserve">Estimation.</w:t>
      </w:r>
      <w:r>
        <w:rPr>
          <w:rFonts w:ascii="Calibri" w:cs="Calibri" w:eastAsia="Calibri" w:hAnsi="Calibri"/>
          <w:color w:val="0B0B0B"/>
          <w:sz w:val="21"/>
          <w:szCs w:val="21"/>
        </w:rPr>
        <w:t xml:space="preserve"> At 1-minute and finer scales, synchronous OLS is contaminated by the Epps effect and stale bars. Estimators: predictive (not contemporaneous) regressions r_{j,t→t+h} on r_{L,t−w→t} with HAC errors — the predictive form is immune to synchronicity bias in the regressor timestamp; </w:t>
      </w:r>
      <w:r>
        <w:rPr>
          <w:rFonts w:ascii="Calibri" w:cs="Calibri" w:eastAsia="Calibri" w:hAnsi="Calibri"/>
          <w:b/>
          <w:bCs/>
          <w:color w:val="0B0B0B"/>
          <w:sz w:val="21"/>
          <w:szCs w:val="21"/>
        </w:rPr>
        <w:t xml:space="preserve">Hayashi–Yoshida</w:t>
      </w:r>
      <w:r>
        <w:rPr>
          <w:rFonts w:ascii="Calibri" w:cs="Calibri" w:eastAsia="Calibri" w:hAnsi="Calibri"/>
          <w:color w:val="0B0B0B"/>
          <w:sz w:val="21"/>
          <w:szCs w:val="21"/>
        </w:rPr>
        <w:t xml:space="preserve"> cross-covariances on the 1-second tier to map the lead–lag kernel c(u) without any alignment grid; the lag of peak |c(u)| per (L, j) pair is the estimated latency, tracked over time (it shrinks as markets speed up — a decaying-resource diagnostic the S6 monitors watch).</w:t>
      </w:r>
    </w:p>
    <w:p>
      <w:pPr>
        <w:spacing w:after="140" w:line="264"/>
        <w:jc w:val="both"/>
      </w:pPr>
      <w:r>
        <w:rPr>
          <w:rFonts w:ascii="Calibri" w:cs="Calibri" w:eastAsia="Calibri" w:hAnsi="Calibri"/>
          <w:b/>
          <w:bCs/>
          <w:color w:val="0B0B0B"/>
          <w:sz w:val="21"/>
          <w:szCs w:val="21"/>
        </w:rPr>
        <w:t xml:space="preserve">Rule.</w:t>
      </w:r>
      <w:r>
        <w:rPr>
          <w:rFonts w:ascii="Calibri" w:cs="Calibri" w:eastAsia="Calibri" w:hAnsi="Calibri"/>
          <w:color w:val="0B0B0B"/>
          <w:sz w:val="21"/>
          <w:szCs w:val="21"/>
        </w:rPr>
        <w:t xml:space="preserve"> Trade laggard j when the leader composite's move exceeds its own noise scale (|r_L| &gt; κσ_L) and the </w:t>
      </w:r>
      <w:r>
        <w:rPr>
          <w:rFonts w:ascii="Calibri" w:cs="Calibri" w:eastAsia="Calibri" w:hAnsi="Calibri"/>
          <w:i/>
          <w:iCs/>
          <w:color w:val="0B0B0B"/>
          <w:sz w:val="21"/>
          <w:szCs w:val="21"/>
        </w:rPr>
        <w:t xml:space="preserve">predicted</w:t>
      </w:r>
      <w:r>
        <w:rPr>
          <w:rFonts w:ascii="Calibri" w:cs="Calibri" w:eastAsia="Calibri" w:hAnsi="Calibri"/>
          <w:color w:val="0B0B0B"/>
          <w:sz w:val="21"/>
          <w:szCs w:val="21"/>
        </w:rPr>
        <w:t xml:space="preserve"> laggard move g̃ = ĉ_h·r_L clears c + λσ. Horizon = estimated latency × safety factor; taker-only (the edge is speed-relative; posting passively donates it back).</w:t>
      </w:r>
    </w:p>
    <w:p>
      <w:pPr>
        <w:spacing w:after="140" w:line="264"/>
        <w:jc w:val="both"/>
      </w:pPr>
      <w:r>
        <w:rPr>
          <w:rFonts w:ascii="Calibri" w:cs="Calibri" w:eastAsia="Calibri" w:hAnsi="Calibri"/>
          <w:b/>
          <w:bCs/>
          <w:color w:val="0B0B0B"/>
          <w:sz w:val="21"/>
          <w:szCs w:val="21"/>
        </w:rPr>
        <w:t xml:space="preserve">Tests.</w:t>
      </w:r>
      <w:r>
        <w:rPr>
          <w:rFonts w:ascii="Calibri" w:cs="Calibri" w:eastAsia="Calibri" w:hAnsi="Calibri"/>
          <w:color w:val="0B0B0B"/>
          <w:sz w:val="21"/>
          <w:szCs w:val="21"/>
        </w:rPr>
        <w:t xml:space="preserve"> H₀: c_h = 0 with HAC t ≥ 3; asymmetry test (up vs down moves); the kill test — recompute with the leader window shifted +1 bar (using information </w:t>
      </w:r>
      <w:r>
        <w:rPr>
          <w:rFonts w:ascii="Calibri" w:cs="Calibri" w:eastAsia="Calibri" w:hAnsi="Calibri"/>
          <w:i/>
          <w:iCs/>
          <w:color w:val="0B0B0B"/>
          <w:sz w:val="21"/>
          <w:szCs w:val="21"/>
        </w:rPr>
        <w:t xml:space="preserve">after</w:t>
      </w:r>
      <w:r>
        <w:rPr>
          <w:rFonts w:ascii="Calibri" w:cs="Calibri" w:eastAsia="Calibri" w:hAnsi="Calibri"/>
          <w:color w:val="0B0B0B"/>
          <w:sz w:val="21"/>
          <w:szCs w:val="21"/>
        </w:rPr>
        <w:t xml:space="preserve"> the laggard's entry): the IC must survive unshifted and die when the leader is lagged behind the entry, proving temporal ordering rather than common shock; cost-line viability at Tier B fills specifically (this family lives or dies on fill realism).</w:t>
      </w:r>
    </w:p>
    <w:p>
      <w:pPr>
        <w:shd w:fill="F5F5F2" w:val="clear"/>
        <w:spacing w:after="0" w:line="230"/>
        <w:ind w:left="220" w:right="220"/>
      </w:pPr>
      <w:r>
        <w:rPr>
          <w:rFonts w:ascii="Consolas" w:cs="Consolas" w:eastAsia="Consolas" w:hAnsi="Consolas"/>
          <w:color w:val="0B0B0B"/>
          <w:sz w:val="17"/>
          <w:szCs w:val="17"/>
        </w:rPr>
        <w:t xml:space="preserve"># F7 reference</w:t>
      </w:r>
    </w:p>
    <w:p>
      <w:pPr>
        <w:shd w:fill="F5F5F2" w:val="clear"/>
        <w:spacing w:after="0" w:line="230"/>
        <w:ind w:left="220" w:right="220"/>
      </w:pPr>
      <w:r>
        <w:rPr>
          <w:rFonts w:ascii="Consolas" w:cs="Consolas" w:eastAsia="Consolas" w:hAnsi="Consolas"/>
          <w:color w:val="0B0B0B"/>
          <w:sz w:val="17"/>
          <w:szCs w:val="17"/>
        </w:rPr>
        <w:t xml:space="preserve">rl   = leader_ret(index=nifty, sector_leaders=cliques, w=cfg.w)</w:t>
      </w:r>
    </w:p>
    <w:p>
      <w:pPr>
        <w:shd w:fill="F5F5F2" w:val="clear"/>
        <w:spacing w:after="0" w:line="230"/>
        <w:ind w:left="220" w:right="220"/>
      </w:pPr>
      <w:r>
        <w:rPr>
          <w:rFonts w:ascii="Consolas" w:cs="Consolas" w:eastAsia="Consolas" w:hAnsi="Consolas"/>
          <w:color w:val="0B0B0B"/>
          <w:sz w:val="17"/>
          <w:szCs w:val="17"/>
        </w:rPr>
        <w:t xml:space="preserve">c_h  = hac_predictive_beta(r_fwd(laggards, h), rl)      # per (pair, h)</w:t>
      </w:r>
    </w:p>
    <w:p>
      <w:pPr>
        <w:shd w:fill="F5F5F2" w:val="clear"/>
        <w:spacing w:after="0" w:line="230"/>
        <w:ind w:left="220" w:right="220"/>
      </w:pPr>
      <w:r>
        <w:rPr>
          <w:rFonts w:ascii="Consolas" w:cs="Consolas" w:eastAsia="Consolas" w:hAnsi="Consolas"/>
          <w:color w:val="0B0B0B"/>
          <w:sz w:val="17"/>
          <w:szCs w:val="17"/>
        </w:rPr>
        <w:t xml:space="preserve">kern = hy_crosscov(ticks_leader, ticks_laggard)         # 1s tier validation</w:t>
      </w:r>
    </w:p>
    <w:p>
      <w:pPr>
        <w:shd w:fill="F5F5F2" w:val="clear"/>
        <w:spacing w:after="0" w:line="230"/>
        <w:ind w:left="220" w:right="220"/>
      </w:pPr>
      <w:r>
        <w:rPr>
          <w:rFonts w:ascii="Consolas" w:cs="Consolas" w:eastAsia="Consolas" w:hAnsi="Consolas"/>
          <w:color w:val="0B0B0B"/>
          <w:sz w:val="17"/>
          <w:szCs w:val="17"/>
        </w:rPr>
        <w:t xml:space="preserve">pred = c_h * rl</w:t>
      </w:r>
    </w:p>
    <w:p>
      <w:pPr>
        <w:shd w:fill="F5F5F2" w:val="clear"/>
        <w:spacing w:after="0" w:line="230"/>
        <w:ind w:left="220" w:right="220"/>
      </w:pPr>
      <w:r>
        <w:rPr>
          <w:rFonts w:ascii="Consolas" w:cs="Consolas" w:eastAsia="Consolas" w:hAnsi="Consolas"/>
          <w:color w:val="0B0B0B"/>
          <w:sz w:val="17"/>
          <w:szCs w:val="17"/>
        </w:rPr>
        <w:t xml:space="preserve">trade= (abs(rl) &gt; kappa*sig_L) &amp; (abs(pred) &gt; c_line + lam*sig)  # taker-only</w:t>
      </w:r>
    </w:p>
    <w:p>
      <w:pPr>
        <w:spacing w:after="140" w:line="264"/>
        <w:jc w:val="both"/>
      </w:pPr>
      <w:r>
        <w:rPr>
          <w:rFonts w:ascii="Calibri" w:cs="Calibri" w:eastAsia="Calibri" w:hAnsi="Calibri"/>
          <w:b/>
          <w:bCs/>
          <w:color w:val="0B0B0B"/>
          <w:sz w:val="21"/>
          <w:szCs w:val="21"/>
        </w:rPr>
        <w:t xml:space="preserve">Pitfalls.</w:t>
      </w:r>
      <w:r>
        <w:rPr>
          <w:rFonts w:ascii="Calibri" w:cs="Calibri" w:eastAsia="Calibri" w:hAnsi="Calibri"/>
          <w:color w:val="0B0B0B"/>
          <w:sz w:val="21"/>
          <w:szCs w:val="21"/>
        </w:rPr>
        <w:t xml:space="preserve"> Common-shock masquerade (the shift test above is the identification); the edge's capacity is a queue at the laggard's touch — Tier B participation caps model it; broker latency (30–150 ms) is fine against minute-scale diffusion but the measured latency distribution enters the horizon choice explicitly.</w:t>
      </w:r>
    </w:p>
    <w:p>
      <w:pPr>
        <w:pStyle w:val="Heading2"/>
        <w:spacing w:after="120" w:before="240"/>
      </w:pPr>
      <w:r>
        <w:rPr>
          <w:rFonts w:ascii="Calibri" w:cs="Calibri" w:eastAsia="Calibri" w:hAnsi="Calibri"/>
          <w:b/>
          <w:bCs/>
          <w:color w:val="1F5CA8"/>
          <w:sz w:val="24"/>
          <w:szCs w:val="24"/>
        </w:rPr>
        <w:t xml:space="preserve">F8 — Calendar events (earnings, expiry, rebalance, ex-dates)</w:t>
      </w:r>
    </w:p>
    <w:p>
      <w:pPr>
        <w:spacing w:after="140" w:line="264"/>
        <w:jc w:val="both"/>
      </w:pPr>
      <w:r>
        <w:rPr>
          <w:rFonts w:ascii="Calibri" w:cs="Calibri" w:eastAsia="Calibri" w:hAnsi="Calibri"/>
          <w:b/>
          <w:bCs/>
          <w:color w:val="0B0B0B"/>
          <w:sz w:val="21"/>
          <w:szCs w:val="21"/>
        </w:rPr>
        <w:t xml:space="preserve">Model.</w:t>
      </w:r>
      <w:r>
        <w:rPr>
          <w:rFonts w:ascii="Calibri" w:cs="Calibri" w:eastAsia="Calibri" w:hAnsi="Calibri"/>
          <w:color w:val="0B0B0B"/>
          <w:sz w:val="21"/>
          <w:szCs w:val="21"/>
        </w:rPr>
        <w:t xml:space="preserve"> Classical event-study structure: abnormal return AR_{i,t} = r_{i,t} − β_i r_{M,t}; around a known-in-advance event at t=0, E[CAR(0, w) | event type, surprise proxies] ≠ 0. For earnings, the intraday claim is post-open drift conditional on the gap direction and first-30-minute range (PEAD compressed to session scale). For index rebalances, the mechanism is inelastic demand: forced flow F = Δweight × tracking AUM meets a finite-elasticity demand curve, so expected pressure ≈ λ_P·F/ADV with λ_P the price-pressure coefficient estimated from past events.</w:t>
      </w:r>
    </w:p>
    <w:p>
      <w:pPr>
        <w:spacing w:after="140" w:line="264"/>
        <w:jc w:val="both"/>
      </w:pPr>
      <w:r>
        <w:rPr>
          <w:rFonts w:ascii="Calibri" w:cs="Calibri" w:eastAsia="Calibri" w:hAnsi="Calibri"/>
          <w:b/>
          <w:bCs/>
          <w:color w:val="0B0B0B"/>
          <w:sz w:val="21"/>
          <w:szCs w:val="21"/>
        </w:rPr>
        <w:t xml:space="preserve">Estimation.</w:t>
      </w:r>
      <w:r>
        <w:rPr>
          <w:rFonts w:ascii="Calibri" w:cs="Calibri" w:eastAsia="Calibri" w:hAnsi="Calibri"/>
          <w:color w:val="0B0B0B"/>
          <w:sz w:val="21"/>
          <w:szCs w:val="21"/>
        </w:rPr>
        <w:t xml:space="preserve"> Standardized abnormal returns with the Boehmer–Musumeci–Poulsen (BMP) test — SAR_i = AR_i/σ̂_i(estimation window), t = √n·mean(SAR)/sd(SAR) — which is robust to event-induced variance inflation (the defining feature of event days); event-time clustering handled by using calendar-time portfolios as the cross-check (events sharing a day are one observation, not many). λ_P by regression of past add/delete-day returns on F/ADV with CIs.</w:t>
      </w:r>
    </w:p>
    <w:p>
      <w:pPr>
        <w:spacing w:after="140" w:line="264"/>
        <w:jc w:val="both"/>
      </w:pPr>
      <w:r>
        <w:rPr>
          <w:rFonts w:ascii="Calibri" w:cs="Calibri" w:eastAsia="Calibri" w:hAnsi="Calibri"/>
          <w:b/>
          <w:bCs/>
          <w:color w:val="0B0B0B"/>
          <w:sz w:val="21"/>
          <w:szCs w:val="21"/>
        </w:rPr>
        <w:t xml:space="preserve">Rule.</w:t>
      </w:r>
      <w:r>
        <w:rPr>
          <w:rFonts w:ascii="Calibri" w:cs="Calibri" w:eastAsia="Calibri" w:hAnsi="Calibri"/>
          <w:color w:val="0B0B0B"/>
          <w:sz w:val="21"/>
          <w:szCs w:val="21"/>
        </w:rPr>
        <w:t xml:space="preserve"> Per event type: trade the conditional template (drift/fade/table) where the BMP-tested edge clears the line; expiry-day basket pressure trades only in the C session with tightened risk (the crowd is mechanical but the timing volatile); rebalance trades sized by predicted F/ADV with a cap at the point estimate minus one SE of λ_P (conservatism under parameter uncertainty is a C2 decision, recorded).</w:t>
      </w:r>
    </w:p>
    <w:p>
      <w:pPr>
        <w:spacing w:after="140" w:line="264"/>
        <w:jc w:val="both"/>
      </w:pPr>
      <w:r>
        <w:rPr>
          <w:rFonts w:ascii="Calibri" w:cs="Calibri" w:eastAsia="Calibri" w:hAnsi="Calibri"/>
          <w:b/>
          <w:bCs/>
          <w:color w:val="0B0B0B"/>
          <w:sz w:val="21"/>
          <w:szCs w:val="21"/>
        </w:rPr>
        <w:t xml:space="preserve">Tests.</w:t>
      </w:r>
      <w:r>
        <w:rPr>
          <w:rFonts w:ascii="Calibri" w:cs="Calibri" w:eastAsia="Calibri" w:hAnsi="Calibri"/>
          <w:color w:val="0B0B0B"/>
          <w:sz w:val="21"/>
          <w:szCs w:val="21"/>
        </w:rPr>
        <w:t xml:space="preserve"> BMP significance per type; out-of-sample event hit-rate tracking (events are rare — the registry accumulates them across cycles and the DSR machinery handles the small-N honestly); leakage check — no feature may use the announcement's </w:t>
      </w:r>
      <w:r>
        <w:rPr>
          <w:rFonts w:ascii="Calibri" w:cs="Calibri" w:eastAsia="Calibri" w:hAnsi="Calibri"/>
          <w:i/>
          <w:iCs/>
          <w:color w:val="0B0B0B"/>
          <w:sz w:val="21"/>
          <w:szCs w:val="21"/>
        </w:rPr>
        <w:t xml:space="preserve">content</w:t>
      </w:r>
      <w:r>
        <w:rPr>
          <w:rFonts w:ascii="Calibri" w:cs="Calibri" w:eastAsia="Calibri" w:hAnsi="Calibri"/>
          <w:color w:val="0B0B0B"/>
          <w:sz w:val="21"/>
          <w:szCs w:val="21"/>
        </w:rPr>
        <w:t xml:space="preserve"> beyond public calendar + prices (keeps the no-genAI/no-text boundary and the F_t-measurability clean, since consensus data vintages are murky).</w:t>
      </w:r>
    </w:p>
    <w:p>
      <w:pPr>
        <w:spacing w:after="140" w:line="264"/>
        <w:jc w:val="both"/>
      </w:pPr>
      <w:r>
        <w:rPr>
          <w:rFonts w:ascii="Calibri" w:cs="Calibri" w:eastAsia="Calibri" w:hAnsi="Calibri"/>
          <w:b/>
          <w:bCs/>
          <w:color w:val="0B0B0B"/>
          <w:sz w:val="21"/>
          <w:szCs w:val="21"/>
        </w:rPr>
        <w:t xml:space="preserve">Pitfalls.</w:t>
      </w:r>
      <w:r>
        <w:rPr>
          <w:rFonts w:ascii="Calibri" w:cs="Calibri" w:eastAsia="Calibri" w:hAnsi="Calibri"/>
          <w:color w:val="0B0B0B"/>
          <w:sz w:val="21"/>
          <w:szCs w:val="21"/>
        </w:rPr>
        <w:t xml:space="preserve"> Small samples flatter overfitting (grids for F8 are deliberately tiny — Blueprint Appendix B gives it 24 cells); event-type drift (expiry mechanics changed twice in recent years — PIT calendars slice regimes); the rebalance trade is crowded and its λ_P decays — the monitors treat λ̂_P as a live parameter.</w:t>
      </w:r>
    </w:p>
    <w:p>
      <w:pPr>
        <w:pStyle w:val="Heading2"/>
        <w:spacing w:after="120" w:before="240"/>
      </w:pPr>
      <w:r>
        <w:rPr>
          <w:rFonts w:ascii="Calibri" w:cs="Calibri" w:eastAsia="Calibri" w:hAnsi="Calibri"/>
          <w:b/>
          <w:bCs/>
          <w:color w:val="1F5CA8"/>
          <w:sz w:val="24"/>
          <w:szCs w:val="24"/>
        </w:rPr>
        <w:t xml:space="preserve">F9 — Flow / volume proxies (order-flow imbalance from bars and ticks)</w:t>
      </w:r>
    </w:p>
    <w:p>
      <w:pPr>
        <w:spacing w:after="140" w:line="264"/>
        <w:jc w:val="both"/>
      </w:pPr>
      <w:r>
        <w:rPr>
          <w:rFonts w:ascii="Calibri" w:cs="Calibri" w:eastAsia="Calibri" w:hAnsi="Calibri"/>
          <w:b/>
          <w:bCs/>
          <w:color w:val="0B0B0B"/>
          <w:sz w:val="21"/>
          <w:szCs w:val="21"/>
        </w:rPr>
        <w:t xml:space="preserve">Model.</w:t>
      </w:r>
      <w:r>
        <w:rPr>
          <w:rFonts w:ascii="Calibri" w:cs="Calibri" w:eastAsia="Calibri" w:hAnsi="Calibri"/>
          <w:color w:val="0B0B0B"/>
          <w:sz w:val="21"/>
          <w:szCs w:val="21"/>
        </w:rPr>
        <w:t xml:space="preserve"> Kyle-flavored linear price formation at bar scale: Δp_t = λ_K·OFI_t + u_t, where OFI is signed order flow and λ_K the (inverse-depth) impact coefficient. Two exploitable claims: (i) </w:t>
      </w:r>
      <w:r>
        <w:rPr>
          <w:rFonts w:ascii="Calibri" w:cs="Calibri" w:eastAsia="Calibri" w:hAnsi="Calibri"/>
          <w:i/>
          <w:iCs/>
          <w:color w:val="0B0B0B"/>
          <w:sz w:val="21"/>
          <w:szCs w:val="21"/>
        </w:rPr>
        <w:t xml:space="preserve">flow momentum</w:t>
      </w:r>
      <w:r>
        <w:rPr>
          <w:rFonts w:ascii="Calibri" w:cs="Calibri" w:eastAsia="Calibri" w:hAnsi="Calibri"/>
          <w:color w:val="0B0B0B"/>
          <w:sz w:val="21"/>
          <w:szCs w:val="21"/>
        </w:rPr>
        <w:t xml:space="preserve"> — OFI autocorrelates over minutes (order splitting), so current OFI predicts near-term flow and hence Δp; (ii) </w:t>
      </w:r>
      <w:r>
        <w:rPr>
          <w:rFonts w:ascii="Calibri" w:cs="Calibri" w:eastAsia="Calibri" w:hAnsi="Calibri"/>
          <w:i/>
          <w:iCs/>
          <w:color w:val="0B0B0B"/>
          <w:sz w:val="21"/>
          <w:szCs w:val="21"/>
        </w:rPr>
        <w:t xml:space="preserve">inventory reversion</w:t>
      </w:r>
      <w:r>
        <w:rPr>
          <w:rFonts w:ascii="Calibri" w:cs="Calibri" w:eastAsia="Calibri" w:hAnsi="Calibri"/>
          <w:color w:val="0B0B0B"/>
          <w:sz w:val="21"/>
          <w:szCs w:val="21"/>
        </w:rPr>
        <w:t xml:space="preserve"> — price moves unsupported by flow (|Δp| large, OFI small) revert. Both are conditional expectations of the same regression system, estimated jointly.</w:t>
      </w:r>
    </w:p>
    <w:p>
      <w:pPr>
        <w:spacing w:after="140" w:line="264"/>
        <w:jc w:val="both"/>
      </w:pPr>
      <w:r>
        <w:rPr>
          <w:rFonts w:ascii="Calibri" w:cs="Calibri" w:eastAsia="Calibri" w:hAnsi="Calibri"/>
          <w:b/>
          <w:bCs/>
          <w:color w:val="0B0B0B"/>
          <w:sz w:val="21"/>
          <w:szCs w:val="21"/>
        </w:rPr>
        <w:t xml:space="preserve">Estimation.</w:t>
      </w:r>
      <w:r>
        <w:rPr>
          <w:rFonts w:ascii="Calibri" w:cs="Calibri" w:eastAsia="Calibri" w:hAnsi="Calibri"/>
          <w:color w:val="0B0B0B"/>
          <w:sz w:val="21"/>
          <w:szCs w:val="21"/>
        </w:rPr>
        <w:t xml:space="preserve"> OFI from forward-captured ticks via Lee–Ready signing (§10.4; attenuation acknowledged) or, before tick depth exists, the bar proxy: up-volume minus down-volume by close-location within 1s bars, aggregated. λ̂_K per name × session by OLS with HAC; predictive regressions of f^{(h)} on standardized OFI and on the flow-supported vs unsupported move decomposition; VWAP-deviation signal v = (p − VWAP_session)/σ interacts with RVOL — the institutional-execution-footprint claim is exactly an interaction coefficient, tested as such.</w:t>
      </w:r>
    </w:p>
    <w:p>
      <w:pPr>
        <w:spacing w:after="140" w:line="264"/>
        <w:jc w:val="both"/>
      </w:pPr>
      <w:r>
        <w:rPr>
          <w:rFonts w:ascii="Calibri" w:cs="Calibri" w:eastAsia="Calibri" w:hAnsi="Calibri"/>
          <w:b/>
          <w:bCs/>
          <w:color w:val="0B0B0B"/>
          <w:sz w:val="21"/>
          <w:szCs w:val="21"/>
        </w:rPr>
        <w:t xml:space="preserve">Rule.</w:t>
      </w:r>
      <w:r>
        <w:rPr>
          <w:rFonts w:ascii="Calibri" w:cs="Calibri" w:eastAsia="Calibri" w:hAnsi="Calibri"/>
          <w:color w:val="0B0B0B"/>
          <w:sz w:val="21"/>
          <w:szCs w:val="21"/>
        </w:rPr>
        <w:t xml:space="preserve"> Two sub-signals with the standard machinery: follow standardized OFI when flow-momentum g̃ clears the line (5–30m horizons); fade unsupported moves per the reversion coefficient (F2-style thresholds via §6). F9 also exports OFI/RVOL as conditioning features to F2/F4 (declared in the manifest so provenance is explicit).</w:t>
      </w:r>
    </w:p>
    <w:p>
      <w:pPr>
        <w:spacing w:after="140" w:line="264"/>
        <w:jc w:val="both"/>
      </w:pPr>
      <w:r>
        <w:rPr>
          <w:rFonts w:ascii="Calibri" w:cs="Calibri" w:eastAsia="Calibri" w:hAnsi="Calibri"/>
          <w:b/>
          <w:bCs/>
          <w:color w:val="0B0B0B"/>
          <w:sz w:val="21"/>
          <w:szCs w:val="21"/>
        </w:rPr>
        <w:t xml:space="preserve">Tests.</w:t>
      </w:r>
      <w:r>
        <w:rPr>
          <w:rFonts w:ascii="Calibri" w:cs="Calibri" w:eastAsia="Calibri" w:hAnsi="Calibri"/>
          <w:color w:val="0B0B0B"/>
          <w:sz w:val="21"/>
          <w:szCs w:val="21"/>
        </w:rPr>
        <w:t xml:space="preserve"> H₀: λ_K stable and positive (a name where price leads its own flow has broken data, not exotic alpha — QC flag); flow-momentum coefficient t ≥ 3 HAC; signing-robustness — results must survive the tick-test-only signing variant (bounding the Lee–Ready error channel); proxy-vs-tick agreement on the overlap sample once forward capture matures.</w:t>
      </w:r>
    </w:p>
    <w:p>
      <w:pPr>
        <w:shd w:fill="F5F5F2" w:val="clear"/>
        <w:spacing w:after="0" w:line="230"/>
        <w:ind w:left="220" w:right="220"/>
      </w:pPr>
      <w:r>
        <w:rPr>
          <w:rFonts w:ascii="Consolas" w:cs="Consolas" w:eastAsia="Consolas" w:hAnsi="Consolas"/>
          <w:color w:val="0B0B0B"/>
          <w:sz w:val="17"/>
          <w:szCs w:val="17"/>
        </w:rPr>
        <w:t xml:space="preserve"># F9 reference</w:t>
      </w:r>
    </w:p>
    <w:p>
      <w:pPr>
        <w:shd w:fill="F5F5F2" w:val="clear"/>
        <w:spacing w:after="0" w:line="230"/>
        <w:ind w:left="220" w:right="220"/>
      </w:pPr>
      <w:r>
        <w:rPr>
          <w:rFonts w:ascii="Consolas" w:cs="Consolas" w:eastAsia="Consolas" w:hAnsi="Consolas"/>
          <w:color w:val="0B0B0B"/>
          <w:sz w:val="17"/>
          <w:szCs w:val="17"/>
        </w:rPr>
        <w:t xml:space="preserve">sgn  = lee_ready(ticks)            # or clv_proxy(bars_1s) pre-capture</w:t>
      </w:r>
    </w:p>
    <w:p>
      <w:pPr>
        <w:shd w:fill="F5F5F2" w:val="clear"/>
        <w:spacing w:after="0" w:line="230"/>
        <w:ind w:left="220" w:right="220"/>
      </w:pPr>
      <w:r>
        <w:rPr>
          <w:rFonts w:ascii="Consolas" w:cs="Consolas" w:eastAsia="Consolas" w:hAnsi="Consolas"/>
          <w:color w:val="0B0B0B"/>
          <w:sz w:val="17"/>
          <w:szCs w:val="17"/>
        </w:rPr>
        <w:t xml:space="preserve">ofi  = ewm(signed_volume(sgn), hl=cfg.hl) / adv_interval</w:t>
      </w:r>
    </w:p>
    <w:p>
      <w:pPr>
        <w:shd w:fill="F5F5F2" w:val="clear"/>
        <w:spacing w:after="0" w:line="230"/>
        <w:ind w:left="220" w:right="220"/>
      </w:pPr>
      <w:r>
        <w:rPr>
          <w:rFonts w:ascii="Consolas" w:cs="Consolas" w:eastAsia="Consolas" w:hAnsi="Consolas"/>
          <w:color w:val="0B0B0B"/>
          <w:sz w:val="17"/>
          <w:szCs w:val="17"/>
        </w:rPr>
        <w:t xml:space="preserve">lamK = hac_ols(dp, ofi).beta       # per name x session</w:t>
      </w:r>
    </w:p>
    <w:p>
      <w:pPr>
        <w:shd w:fill="F5F5F2" w:val="clear"/>
        <w:spacing w:after="0" w:line="230"/>
        <w:ind w:left="220" w:right="220"/>
      </w:pPr>
      <w:r>
        <w:rPr>
          <w:rFonts w:ascii="Consolas" w:cs="Consolas" w:eastAsia="Consolas" w:hAnsi="Consolas"/>
          <w:color w:val="0B0B0B"/>
          <w:sz w:val="17"/>
          <w:szCs w:val="17"/>
        </w:rPr>
        <w:t xml:space="preserve">supp = dp - lamK*ofi               # unsupported move component</w:t>
      </w:r>
    </w:p>
    <w:p>
      <w:pPr>
        <w:shd w:fill="F5F5F2" w:val="clear"/>
        <w:spacing w:after="0" w:line="230"/>
        <w:ind w:left="220" w:right="220"/>
      </w:pPr>
      <w:r>
        <w:rPr>
          <w:rFonts w:ascii="Consolas" w:cs="Consolas" w:eastAsia="Consolas" w:hAnsi="Consolas"/>
          <w:color w:val="0B0B0B"/>
          <w:sz w:val="17"/>
          <w:szCs w:val="17"/>
        </w:rPr>
        <w:t xml:space="preserve">s_follow = xsz(ofi);  s_fade = -xsz(supp)</w:t>
      </w:r>
    </w:p>
    <w:p>
      <w:pPr>
        <w:shd w:fill="F5F5F2" w:val="clear"/>
        <w:spacing w:after="0" w:line="230"/>
        <w:ind w:left="220" w:right="220"/>
      </w:pPr>
      <w:r>
        <w:rPr>
          <w:rFonts w:ascii="Consolas" w:cs="Consolas" w:eastAsia="Consolas" w:hAnsi="Consolas"/>
          <w:color w:val="0B0B0B"/>
          <w:sz w:val="17"/>
          <w:szCs w:val="17"/>
        </w:rPr>
        <w:t xml:space="preserve">trade per §6 thresholds; export ofi, rvol as features</w:t>
      </w:r>
    </w:p>
    <w:p>
      <w:pPr>
        <w:spacing w:after="140" w:line="264"/>
        <w:jc w:val="both"/>
      </w:pPr>
      <w:r>
        <w:rPr>
          <w:rFonts w:ascii="Calibri" w:cs="Calibri" w:eastAsia="Calibri" w:hAnsi="Calibri"/>
          <w:b/>
          <w:bCs/>
          <w:color w:val="0B0B0B"/>
          <w:sz w:val="21"/>
          <w:szCs w:val="21"/>
        </w:rPr>
        <w:t xml:space="preserve">Pitfalls.</w:t>
      </w:r>
      <w:r>
        <w:rPr>
          <w:rFonts w:ascii="Calibri" w:cs="Calibri" w:eastAsia="Calibri" w:hAnsi="Calibri"/>
          <w:color w:val="0B0B0B"/>
          <w:sz w:val="21"/>
          <w:szCs w:val="21"/>
        </w:rPr>
        <w:t xml:space="preserve"> Signing error attenuates everything (stated, never 'corrected' by multiplier); OFI and returns are simultaneous at bar scale — the </w:t>
      </w:r>
      <w:r>
        <w:rPr>
          <w:rFonts w:ascii="Calibri" w:cs="Calibri" w:eastAsia="Calibri" w:hAnsi="Calibri"/>
          <w:i/>
          <w:iCs/>
          <w:color w:val="0B0B0B"/>
          <w:sz w:val="21"/>
          <w:szCs w:val="21"/>
        </w:rPr>
        <w:t xml:space="preserve">predictive</w:t>
      </w:r>
      <w:r>
        <w:rPr>
          <w:rFonts w:ascii="Calibri" w:cs="Calibri" w:eastAsia="Calibri" w:hAnsi="Calibri"/>
          <w:color w:val="0B0B0B"/>
          <w:sz w:val="21"/>
          <w:szCs w:val="21"/>
        </w:rPr>
        <w:t xml:space="preserve"> (t→t+h) form is the only one traded, the contemporaneous λ_K is diagnostics/QC; venue fragmentation is minimal on NSE cash (single venue), one genuine simplification this market grants.</w:t>
      </w:r>
    </w:p>
    <w:p>
      <w:pPr>
        <w:pStyle w:val="Heading2"/>
        <w:spacing w:after="120" w:before="240"/>
      </w:pPr>
      <w:r>
        <w:rPr>
          <w:rFonts w:ascii="Calibri" w:cs="Calibri" w:eastAsia="Calibri" w:hAnsi="Calibri"/>
          <w:b/>
          <w:bCs/>
          <w:color w:val="1F5CA8"/>
          <w:sz w:val="24"/>
          <w:szCs w:val="24"/>
        </w:rPr>
        <w:t xml:space="preserve">F10 — Intraday pairs / sector spreads</w:t>
      </w:r>
    </w:p>
    <w:p>
      <w:pPr>
        <w:spacing w:after="140" w:line="264"/>
        <w:jc w:val="both"/>
      </w:pPr>
      <w:r>
        <w:rPr>
          <w:rFonts w:ascii="Calibri" w:cs="Calibri" w:eastAsia="Calibri" w:hAnsi="Calibri"/>
          <w:b/>
          <w:bCs/>
          <w:color w:val="0B0B0B"/>
          <w:sz w:val="21"/>
          <w:szCs w:val="21"/>
        </w:rPr>
        <w:t xml:space="preserve">Model.</w:t>
      </w:r>
      <w:r>
        <w:rPr>
          <w:rFonts w:ascii="Calibri" w:cs="Calibri" w:eastAsia="Calibri" w:hAnsi="Calibri"/>
          <w:color w:val="0B0B0B"/>
          <w:sz w:val="21"/>
          <w:szCs w:val="21"/>
        </w:rPr>
        <w:t xml:space="preserve"> For a pre-registered pair (i, j) in the same economic clique, log prices share a common stochastic trend: y_t = ln P_i − β·ln P_j is stationary (cointegration), and intraday y follows the OU dynamics of F2 with its own (θ, σ). The pre-registration of cliques (banks, IT, autos, NBFCs, cement, metals) is the identification discipline: searching all C(200,2) pairs for stationarity </w:t>
      </w:r>
      <w:r>
        <w:rPr>
          <w:rFonts w:ascii="Calibri" w:cs="Calibri" w:eastAsia="Calibri" w:hAnsi="Calibri"/>
          <w:i/>
          <w:iCs/>
          <w:color w:val="0B0B0B"/>
          <w:sz w:val="21"/>
          <w:szCs w:val="21"/>
        </w:rPr>
        <w:t xml:space="preserve">is</w:t>
      </w:r>
      <w:r>
        <w:rPr>
          <w:rFonts w:ascii="Calibri" w:cs="Calibri" w:eastAsia="Calibri" w:hAnsi="Calibri"/>
          <w:color w:val="0B0B0B"/>
          <w:sz w:val="21"/>
          <w:szCs w:val="21"/>
        </w:rPr>
        <w:t xml:space="preserve"> the textbook data-mining trap (with ~20k pairs, hundreds pass ADF at 5% by chance), and the clique restriction plus economic rationale is what makes a positive test evidential rather than mechanical.</w:t>
      </w:r>
    </w:p>
    <w:p>
      <w:pPr>
        <w:spacing w:after="140" w:line="264"/>
        <w:jc w:val="both"/>
      </w:pPr>
      <w:r>
        <w:rPr>
          <w:rFonts w:ascii="Calibri" w:cs="Calibri" w:eastAsia="Calibri" w:hAnsi="Calibri"/>
          <w:b/>
          <w:bCs/>
          <w:color w:val="0B0B0B"/>
          <w:sz w:val="21"/>
          <w:szCs w:val="21"/>
        </w:rPr>
        <w:t xml:space="preserve">Estimation.</w:t>
      </w:r>
      <w:r>
        <w:rPr>
          <w:rFonts w:ascii="Calibri" w:cs="Calibri" w:eastAsia="Calibri" w:hAnsi="Calibri"/>
          <w:color w:val="0B0B0B"/>
          <w:sz w:val="21"/>
          <w:szCs w:val="21"/>
        </w:rPr>
        <w:t xml:space="preserve"> Hedge ratio β: rolling OLS baseline; </w:t>
      </w:r>
      <w:r>
        <w:rPr>
          <w:rFonts w:ascii="Calibri" w:cs="Calibri" w:eastAsia="Calibri" w:hAnsi="Calibri"/>
          <w:b/>
          <w:bCs/>
          <w:color w:val="0B0B0B"/>
          <w:sz w:val="21"/>
          <w:szCs w:val="21"/>
        </w:rPr>
        <w:t xml:space="preserve">Kalman filter</w:t>
      </w:r>
      <w:r>
        <w:rPr>
          <w:rFonts w:ascii="Calibri" w:cs="Calibri" w:eastAsia="Calibri" w:hAnsi="Calibri"/>
          <w:color w:val="0B0B0B"/>
          <w:sz w:val="21"/>
          <w:szCs w:val="21"/>
        </w:rPr>
        <w:t xml:space="preserve"> state-space upgrade with β_t = β_{t−1} + η_t (Q), y_t = β_t x_t + ε_t (R):</w:t>
      </w:r>
    </w:p>
    <w:p>
      <w:pPr>
        <w:spacing w:after="140" w:before="60"/>
        <w:jc w:val="center"/>
      </w:pPr>
      <w:r>
        <w:rPr>
          <w:rFonts w:ascii="Cambria" w:cs="Cambria" w:eastAsia="Cambria" w:hAnsi="Cambria"/>
          <w:i/>
          <w:iCs/>
          <w:color w:val="0B0B0B"/>
          <w:sz w:val="22"/>
          <w:szCs w:val="22"/>
        </w:rPr>
        <w:t xml:space="preserve">P⁻ = P + Q;   K = P⁻x / (x²P⁻ + R);   β̂ ← β̂ + K(y − β̂x);   P ← (1 − Kx)P⁻</w:t>
      </w:r>
    </w:p>
    <w:p>
      <w:pPr>
        <w:spacing w:after="140" w:line="264"/>
        <w:jc w:val="both"/>
      </w:pPr>
      <w:r>
        <w:rPr>
          <w:rFonts w:ascii="Calibri" w:cs="Calibri" w:eastAsia="Calibri" w:hAnsi="Calibri"/>
          <w:color w:val="0B0B0B"/>
          <w:sz w:val="21"/>
          <w:szCs w:val="21"/>
        </w:rPr>
        <w:t xml:space="preserve">(Q/R set by maximizing one-step predictive likelihood on train — not by feel). Stationarity: Engle–Granger two-step with MacKinnon critical values on </w:t>
      </w:r>
      <w:r>
        <w:rPr>
          <w:rFonts w:ascii="Calibri" w:cs="Calibri" w:eastAsia="Calibri" w:hAnsi="Calibri"/>
          <w:i/>
          <w:iCs/>
          <w:color w:val="0B0B0B"/>
          <w:sz w:val="21"/>
          <w:szCs w:val="21"/>
        </w:rPr>
        <w:t xml:space="preserve">daily</w:t>
      </w:r>
      <w:r>
        <w:rPr>
          <w:rFonts w:ascii="Calibri" w:cs="Calibri" w:eastAsia="Calibri" w:hAnsi="Calibri"/>
          <w:color w:val="0B0B0B"/>
          <w:sz w:val="21"/>
          <w:szCs w:val="21"/>
        </w:rPr>
        <w:t xml:space="preserve"> closes over the trailing quarter (cointegration is a low-frequency property; testing it on minutes confuses noise for reversion), then intraday OU parameters (θ, σ) on the spread per F2's estimators. </w:t>
      </w:r>
      <w:r>
        <w:rPr>
          <w:rFonts w:ascii="Calibri" w:cs="Calibri" w:eastAsia="Calibri" w:hAnsi="Calibri"/>
          <w:b/>
          <w:bCs/>
          <w:color w:val="0B0B0B"/>
          <w:sz w:val="21"/>
          <w:szCs w:val="21"/>
        </w:rPr>
        <w:t xml:space="preserve">Shared-factor guard:</w:t>
      </w:r>
      <w:r>
        <w:rPr>
          <w:rFonts w:ascii="Calibri" w:cs="Calibri" w:eastAsia="Calibri" w:hAnsi="Calibri"/>
          <w:color w:val="0B0B0B"/>
          <w:sz w:val="21"/>
          <w:szCs w:val="21"/>
        </w:rPr>
        <w:t xml:space="preserve"> run the same tests on factor-residualized prices; a 'pair' whose spread stationarity disappears after removing market+sector was one bet on the sector, already owned elsewhere.</w:t>
      </w:r>
    </w:p>
    <w:p>
      <w:pPr>
        <w:spacing w:after="140" w:line="264"/>
        <w:jc w:val="both"/>
      </w:pPr>
      <w:r>
        <w:rPr>
          <w:rFonts w:ascii="Calibri" w:cs="Calibri" w:eastAsia="Calibri" w:hAnsi="Calibri"/>
          <w:b/>
          <w:bCs/>
          <w:color w:val="0B0B0B"/>
          <w:sz w:val="21"/>
          <w:szCs w:val="21"/>
        </w:rPr>
        <w:t xml:space="preserve">Rule.</w:t>
      </w:r>
      <w:r>
        <w:rPr>
          <w:rFonts w:ascii="Calibri" w:cs="Calibri" w:eastAsia="Calibri" w:hAnsi="Calibri"/>
          <w:color w:val="0B0B0B"/>
          <w:sz w:val="21"/>
          <w:szCs w:val="21"/>
        </w:rPr>
        <w:t xml:space="preserve"> F2's derived thresholds applied to the spread z (Bertram-style a*, time-stop at 2×HL, EOD flat); both legs priced with the two-legged cost line 2c (which roughly doubles a* relative to single-name reversion — derived, not assumed); leg sizing β-weighted so the position is spread-pure.</w:t>
      </w:r>
    </w:p>
    <w:p>
      <w:pPr>
        <w:spacing w:after="140" w:line="264"/>
        <w:jc w:val="both"/>
      </w:pPr>
      <w:r>
        <w:rPr>
          <w:rFonts w:ascii="Calibri" w:cs="Calibri" w:eastAsia="Calibri" w:hAnsi="Calibri"/>
          <w:b/>
          <w:bCs/>
          <w:color w:val="0B0B0B"/>
          <w:sz w:val="21"/>
          <w:szCs w:val="21"/>
        </w:rPr>
        <w:t xml:space="preserve">Tests.</w:t>
      </w:r>
      <w:r>
        <w:rPr>
          <w:rFonts w:ascii="Calibri" w:cs="Calibri" w:eastAsia="Calibri" w:hAnsi="Calibri"/>
          <w:color w:val="0B0B0B"/>
          <w:sz w:val="21"/>
          <w:szCs w:val="21"/>
        </w:rPr>
        <w:t xml:space="preserve"> EG/ADF pass at 5% with clique-level BH correction; OU φ̂ ∈ (0,1) with SE excluding 1 intraday; Kalman vs OLS β out-of-sample spread-variance reduction (the upgrade must pay for its parameters); half-life stability across folds; the shared-factor guard above as a hard gate.</w:t>
      </w:r>
    </w:p>
    <w:p>
      <w:pPr>
        <w:spacing w:after="140" w:line="264"/>
        <w:jc w:val="both"/>
      </w:pPr>
      <w:r>
        <w:rPr>
          <w:rFonts w:ascii="Calibri" w:cs="Calibri" w:eastAsia="Calibri" w:hAnsi="Calibri"/>
          <w:b/>
          <w:bCs/>
          <w:color w:val="0B0B0B"/>
          <w:sz w:val="21"/>
          <w:szCs w:val="21"/>
        </w:rPr>
        <w:t xml:space="preserve">Pitfalls.</w:t>
      </w:r>
      <w:r>
        <w:rPr>
          <w:rFonts w:ascii="Calibri" w:cs="Calibri" w:eastAsia="Calibri" w:hAnsi="Calibri"/>
          <w:color w:val="0B0B0B"/>
          <w:sz w:val="21"/>
          <w:szCs w:val="21"/>
        </w:rPr>
        <w:t xml:space="preserve"> Structural breaks (corporate actions, ownership news) — the CA table flags and the time-stop bounds damage; β drift during trends (Kalman's job; its Q estimate is the drift admission); shorting frictions on the weak leg (MIS-eligibility intersection is a universe filter, checked per leg per day).</w:t>
      </w:r>
    </w:p>
    <w:p>
      <w:pPr>
        <w:pStyle w:val="Heading2"/>
        <w:spacing w:after="120" w:before="240"/>
      </w:pPr>
      <w:r>
        <w:rPr>
          <w:rFonts w:ascii="Calibri" w:cs="Calibri" w:eastAsia="Calibri" w:hAnsi="Calibri"/>
          <w:b/>
          <w:bCs/>
          <w:color w:val="1F5CA8"/>
          <w:sz w:val="24"/>
          <w:szCs w:val="24"/>
        </w:rPr>
        <w:t xml:space="preserve">11.11  What the ten families share</w:t>
      </w:r>
    </w:p>
    <w:p>
      <w:pPr>
        <w:spacing w:after="140" w:line="264"/>
        <w:jc w:val="both"/>
      </w:pPr>
      <w:r>
        <w:rPr>
          <w:rFonts w:ascii="Calibri" w:cs="Calibri" w:eastAsia="Calibri" w:hAnsi="Calibri"/>
          <w:color w:val="0B0B0B"/>
          <w:sz w:val="21"/>
          <w:szCs w:val="21"/>
        </w:rPr>
        <w:t xml:space="preserve">Every specification above instantiates the same epistemology: a conditional-expectation claim with an economic mechanism (C1), estimators whose bias and variance properties are stated and corrected where correctable (Kendall, attenuation, clustering, shrinkage), a trading rule that is the solution of the §5–§6 objective under the measured cost line (C2), and a battery of falsification tests whose thresholds are the funnel's gates (C3). The families differ only in which conditional expectation they claim and which data can estimate it. That uniformity is what makes the search space exhaustive </w:t>
      </w:r>
      <w:r>
        <w:rPr>
          <w:rFonts w:ascii="Calibri" w:cs="Calibri" w:eastAsia="Calibri" w:hAnsi="Calibri"/>
          <w:i/>
          <w:iCs/>
          <w:color w:val="0B0B0B"/>
          <w:sz w:val="21"/>
          <w:szCs w:val="21"/>
        </w:rPr>
        <w:t xml:space="preserve">and</w:t>
      </w:r>
      <w:r>
        <w:rPr>
          <w:rFonts w:ascii="Calibri" w:cs="Calibri" w:eastAsia="Calibri" w:hAnsi="Calibri"/>
          <w:color w:val="0B0B0B"/>
          <w:sz w:val="21"/>
          <w:szCs w:val="21"/>
        </w:rPr>
        <w:t xml:space="preserve"> honest — and it is the precise sense in which this repository contains no voodoo.</w:t>
      </w:r>
    </w:p>
    <w:p>
      <w:pPr>
        <w:pStyle w:val="Heading1"/>
        <w:pBdr>
          <w:bottom w:val="single" w:color="D8D7D0" w:sz="6" w:space="4"/>
        </w:pBdr>
        <w:spacing w:after="170" w:before="340"/>
      </w:pPr>
      <w:r>
        <w:rPr>
          <w:rFonts w:ascii="Calibri" w:cs="Calibri" w:eastAsia="Calibri" w:hAnsi="Calibri"/>
          <w:b/>
          <w:bCs/>
          <w:color w:val="1F3A5F"/>
          <w:sz w:val="30"/>
          <w:szCs w:val="30"/>
        </w:rPr>
        <w:t xml:space="preserve">12.  Theory → module map</w:t>
      </w:r>
    </w:p>
    <w:p>
      <w:pPr>
        <w:spacing w:after="160" w:line="264"/>
      </w:pPr>
      <w:r>
        <w:rPr>
          <w:rFonts w:ascii="Calibri" w:cs="Calibri" w:eastAsia="Calibri" w:hAnsi="Calibri"/>
          <w:i/>
          <w:iCs/>
          <w:color w:val="52514E"/>
          <w:sz w:val="21"/>
          <w:szCs w:val="21"/>
        </w:rPr>
        <w:t xml:space="preserve">Every mathematical object above has exactly one home in the repository, and every gate maps to a named test. This table is the contract that keeps implementation and theory from drifting apart; CI includes a doc-link check that each listed symbol exists.</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3069"/>
        <w:gridCol w:w="2527"/>
        <w:gridCol w:w="3430"/>
      </w:tblGrid>
      <w:tr>
        <w:trPr>
          <w:tblHeader/>
        </w:trPr>
        <w:tc>
          <w:tcPr>
            <w:tcW w:type="dxa" w:w="3069"/>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Mathematics (§)</w:t>
            </w:r>
          </w:p>
        </w:tc>
        <w:tc>
          <w:tcPr>
            <w:tcW w:type="dxa" w:w="2527"/>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Module</w:t>
            </w:r>
          </w:p>
        </w:tc>
        <w:tc>
          <w:tcPr>
            <w:tcW w:type="dxa" w:w="3430"/>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6"/>
                <w:szCs w:val="16"/>
              </w:rPr>
              <w:t xml:space="preserve">Tests that pin it</w:t>
            </w:r>
          </w:p>
        </w:tc>
      </w:tr>
      <w:tr>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AsOfPanelView measurability (§1.1)</w:t>
            </w:r>
          </w:p>
        </w:tc>
        <w:tc>
          <w:tcPr>
            <w:tcW w:type="dxa" w:w="252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core/asof.py</w:t>
            </w:r>
          </w:p>
        </w:tc>
        <w:tc>
          <w:tcPr>
            <w:tcW w:type="dxa" w:w="3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adversarial future-read; shuffled-future harness</w:t>
            </w:r>
          </w:p>
        </w:tc>
      </w:tr>
      <w:tr>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NW/HAC, clustered SEs (§2)</w:t>
            </w:r>
          </w:p>
        </w:tc>
        <w:tc>
          <w:tcPr>
            <w:tcW w:type="dxa" w:w="252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stats/hac.py, stats/cluster.py</w:t>
            </w:r>
          </w:p>
        </w:tc>
        <w:tc>
          <w:tcPr>
            <w:tcW w:type="dxa" w:w="3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vs statsmodels reference on fixtures; overlap inflation demo</w:t>
            </w:r>
          </w:p>
        </w:tc>
      </w:tr>
      <w:tr>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Dimson betas, HY covariance (§3.2)</w:t>
            </w:r>
          </w:p>
        </w:tc>
        <w:tc>
          <w:tcPr>
            <w:tcW w:type="dxa" w:w="252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features/betas.py, stats/hy.py</w:t>
            </w:r>
          </w:p>
        </w:tc>
        <w:tc>
          <w:tcPr>
            <w:tcW w:type="dxa" w:w="3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asynchronous simulation recovers true β/cov</w:t>
            </w:r>
          </w:p>
        </w:tc>
      </w:tr>
      <w:tr>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PCA + Marchenko–Pastur cutoff (§3.3)</w:t>
            </w:r>
          </w:p>
        </w:tc>
        <w:tc>
          <w:tcPr>
            <w:tcW w:type="dxa" w:w="252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features/pca_factors.py</w:t>
            </w:r>
          </w:p>
        </w:tc>
        <w:tc>
          <w:tcPr>
            <w:tcW w:type="dxa" w:w="3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pure-noise panel keeps 0 factors; planted factor recovered</w:t>
            </w:r>
          </w:p>
        </w:tc>
      </w:tr>
      <w:tr>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Ledoit–Wolf shrinkage (§3.4)</w:t>
            </w:r>
          </w:p>
        </w:tc>
        <w:tc>
          <w:tcPr>
            <w:tcW w:type="dxa" w:w="252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portfolio/cov.py</w:t>
            </w:r>
          </w:p>
        </w:tc>
        <w:tc>
          <w:tcPr>
            <w:tcW w:type="dxa" w:w="3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matches published estimator on reference matrices</w:t>
            </w:r>
          </w:p>
        </w:tc>
      </w:tr>
      <w:tr>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Isotonic calibration + EB shrinkage (§4)</w:t>
            </w:r>
          </w:p>
        </w:tc>
        <w:tc>
          <w:tcPr>
            <w:tcW w:type="dxa" w:w="252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stats/calibrate.py</w:t>
            </w:r>
          </w:p>
        </w:tc>
        <w:tc>
          <w:tcPr>
            <w:tcW w:type="dxa" w:w="3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PAVA monotone; shrinkage → 0 as σ_b → ∞</w:t>
            </w:r>
          </w:p>
        </w:tc>
      </w:tr>
      <w:tr>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QP with L1 turnover (§5.1)</w:t>
            </w:r>
          </w:p>
        </w:tc>
        <w:tc>
          <w:tcPr>
            <w:tcW w:type="dxa" w:w="252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portfolio/qp.py</w:t>
            </w:r>
          </w:p>
        </w:tc>
        <w:tc>
          <w:tcPr>
            <w:tcW w:type="dxa" w:w="3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KKT no-trade condition on toy cases</w:t>
            </w:r>
          </w:p>
        </w:tc>
      </w:tr>
      <w:tr>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No-trade bands, c^{1/3} law (§5.2)</w:t>
            </w:r>
          </w:p>
        </w:tc>
        <w:tc>
          <w:tcPr>
            <w:tcW w:type="dxa" w:w="252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portfolio/no_trade_bands.py</w:t>
            </w:r>
          </w:p>
        </w:tc>
        <w:tc>
          <w:tcPr>
            <w:tcW w:type="dxa" w:w="3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numerical optimum scales as c^{1/3} on simulated OU targets</w:t>
            </w:r>
          </w:p>
        </w:tc>
      </w:tr>
      <w:tr>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GP aim/partial adjustment (§5.3)</w:t>
            </w:r>
          </w:p>
        </w:tc>
        <w:tc>
          <w:tcPr>
            <w:tcW w:type="dxa" w:w="252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portfolio/aim.py</w:t>
            </w:r>
          </w:p>
        </w:tc>
        <w:tc>
          <w:tcPr>
            <w:tcW w:type="dxa" w:w="3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fast-decay signal down-weighted; matches QP on quadratic-cost sims</w:t>
            </w:r>
          </w:p>
        </w:tc>
      </w:tr>
      <w:tr>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Faustmann h*, threshold τ* (§6)</w:t>
            </w:r>
          </w:p>
        </w:tc>
        <w:tc>
          <w:tcPr>
            <w:tcW w:type="dxa" w:w="252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search/turnover_opt.py</w:t>
            </w:r>
          </w:p>
        </w:tc>
        <w:tc>
          <w:tcPr>
            <w:tcW w:type="dxa" w:w="3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closed-form power-law case recovered; §6.3 coordinate descent converges</w:t>
            </w:r>
          </w:p>
        </w:tc>
      </w:tr>
      <w:tr>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EWMA vol, diurnal profile (§7)</w:t>
            </w:r>
          </w:p>
        </w:tc>
        <w:tc>
          <w:tcPr>
            <w:tcW w:type="dxa" w:w="252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features/vol.py, features/diurnal.py</w:t>
            </w:r>
          </w:p>
        </w:tc>
        <w:tc>
          <w:tcPr>
            <w:tcW w:type="dxa" w:w="3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U-shape recovered on fixtures; z-scores unit variance by bucket</w:t>
            </w:r>
          </w:p>
        </w:tc>
      </w:tr>
      <w:tr>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E[max SR], DSR (§8.2–8.3)</w:t>
            </w:r>
          </w:p>
        </w:tc>
        <w:tc>
          <w:tcPr>
            <w:tcW w:type="dxa" w:w="252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stats/deflation.py</w:t>
            </w:r>
          </w:p>
        </w:tc>
        <w:tc>
          <w:tcPr>
            <w:tcW w:type="dxa" w:w="3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Monte Carlo: null search of N configs → DSR uniform, ~5% exceed 0.95</w:t>
            </w:r>
          </w:p>
        </w:tc>
      </w:tr>
      <w:tr>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PBO/CPCV (§8.4)</w:t>
            </w:r>
          </w:p>
        </w:tc>
        <w:tc>
          <w:tcPr>
            <w:tcW w:type="dxa" w:w="252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stats/pbo_cpcv.py</w:t>
            </w:r>
          </w:p>
        </w:tc>
        <w:tc>
          <w:tcPr>
            <w:tcW w:type="dxa" w:w="3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overfit toy strategy → PBO ≈ 1; true edge → PBO ≈ 0</w:t>
            </w:r>
          </w:p>
        </w:tc>
      </w:tr>
      <w:tr>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SPA / stationary bootstrap (§8.4)</w:t>
            </w:r>
          </w:p>
        </w:tc>
        <w:tc>
          <w:tcPr>
            <w:tcW w:type="dxa" w:w="252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stats/spa.py</w:t>
            </w:r>
          </w:p>
        </w:tc>
        <w:tc>
          <w:tcPr>
            <w:tcW w:type="dxa" w:w="3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size control under null on simulated families</w:t>
            </w:r>
          </w:p>
        </w:tc>
      </w:tr>
      <w:tr>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BH-FDR at S1 (§8.4)</w:t>
            </w:r>
          </w:p>
        </w:tc>
        <w:tc>
          <w:tcPr>
            <w:tcW w:type="dxa" w:w="252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search/s1_screen.py</w:t>
            </w:r>
          </w:p>
        </w:tc>
        <w:tc>
          <w:tcPr>
            <w:tcW w:type="dxa" w:w="3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null panel → ~q fraction of survivors</w:t>
            </w:r>
          </w:p>
        </w:tc>
      </w:tr>
      <w:tr>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CUSUM + ARL calibration (§9)</w:t>
            </w:r>
          </w:p>
        </w:tc>
        <w:tc>
          <w:tcPr>
            <w:tcW w:type="dxa" w:w="252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stats/cusum.py</w:t>
            </w:r>
          </w:p>
        </w:tc>
        <w:tc>
          <w:tcPr>
            <w:tcW w:type="dxa" w:w="3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simulated ARL₀ within 10% of design</w:t>
            </w:r>
          </w:p>
        </w:tc>
      </w:tr>
      <w:tr>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Fill intensity λ(δ), δ* = 1/k + q (§10.1)</w:t>
            </w:r>
          </w:p>
        </w:tc>
        <w:tc>
          <w:tcPr>
            <w:tcW w:type="dxa" w:w="252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sim/fill_models/tier_b.py, tca/maker.py</w:t>
            </w:r>
          </w:p>
        </w:tc>
        <w:tc>
          <w:tcPr>
            <w:tcW w:type="dxa" w:w="3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MLE recovers (A,k) on simulated books</w:t>
            </w:r>
          </w:p>
        </w:tc>
      </w:tr>
      <w:tr>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Impact regression (§10.2)</w:t>
            </w:r>
          </w:p>
        </w:tc>
        <w:tc>
          <w:tcPr>
            <w:tcW w:type="dxa" w:w="252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tca/impact.py</w:t>
            </w:r>
          </w:p>
        </w:tc>
        <w:tc>
          <w:tcPr>
            <w:tcW w:type="dxa" w:w="3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log–log fit on synthetic impact data</w:t>
            </w:r>
          </w:p>
        </w:tc>
      </w:tr>
      <w:tr>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IS decomposition identity (§10.3)</w:t>
            </w:r>
          </w:p>
        </w:tc>
        <w:tc>
          <w:tcPr>
            <w:tcW w:type="dxa" w:w="252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tca/shortfall.py</w:t>
            </w:r>
          </w:p>
        </w:tc>
        <w:tc>
          <w:tcPr>
            <w:tcW w:type="dxa" w:w="3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terms sum exactly to IS on every recorded parent order</w:t>
            </w:r>
          </w:p>
        </w:tc>
      </w:tr>
      <w:tr>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OU estimation + MFPT thresholds (F2/F10)</w:t>
            </w:r>
          </w:p>
        </w:tc>
        <w:tc>
          <w:tcPr>
            <w:tcW w:type="dxa" w:w="252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alphas/ou.py</w:t>
            </w:r>
          </w:p>
        </w:tc>
        <w:tc>
          <w:tcPr>
            <w:tcW w:type="dxa" w:w="3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Kendall correction verified; MFPT vs simulation ≤ 1%</w:t>
            </w:r>
          </w:p>
        </w:tc>
      </w:tr>
      <w:tr>
        <w:tc>
          <w:tcPr>
            <w:tcW w:type="dxa" w:w="3069"/>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Kalman hedge ratio (F10)</w:t>
            </w:r>
          </w:p>
        </w:tc>
        <w:tc>
          <w:tcPr>
            <w:tcW w:type="dxa" w:w="2527"/>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alphas/f10_pairs.py</w:t>
            </w:r>
          </w:p>
        </w:tc>
        <w:tc>
          <w:tcPr>
            <w:tcW w:type="dxa" w:w="343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filter recovers time-varying β on simulated pairs</w:t>
            </w:r>
          </w:p>
        </w:tc>
      </w:tr>
      <w:tr>
        <w:tc>
          <w:tcPr>
            <w:tcW w:type="dxa" w:w="3069"/>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Event-study BMP (F8)</w:t>
            </w:r>
          </w:p>
        </w:tc>
        <w:tc>
          <w:tcPr>
            <w:tcW w:type="dxa" w:w="2527"/>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stats/event_study.py</w:t>
            </w:r>
          </w:p>
        </w:tc>
        <w:tc>
          <w:tcPr>
            <w:tcW w:type="dxa" w:w="343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6"/>
                <w:szCs w:val="16"/>
              </w:rPr>
              <w:t xml:space="preserve">size under variance-inflated nulls</w:t>
            </w:r>
          </w:p>
        </w:tc>
      </w:tr>
    </w:tbl>
    <w:p>
      <w:pPr>
        <w:spacing w:after="220" w:before="60"/>
        <w:jc w:val="center"/>
      </w:pPr>
      <w:r>
        <w:rPr>
          <w:rFonts w:ascii="Calibri" w:cs="Calibri" w:eastAsia="Calibri" w:hAnsi="Calibri"/>
          <w:i/>
          <w:iCs/>
          <w:color w:val="898781"/>
          <w:sz w:val="18"/>
          <w:szCs w:val="18"/>
        </w:rPr>
        <w:t xml:space="preserve">Table 12.1 — The anti-drift contract. A theory row without its tests is not merged; a module without a theory row is either plumbing or suspect.</w:t>
      </w:r>
    </w:p>
    <w:p>
      <w:pPr>
        <w:pStyle w:val="Heading1"/>
        <w:pBdr>
          <w:bottom w:val="single" w:color="D8D7D0" w:sz="6" w:space="4"/>
        </w:pBdr>
        <w:spacing w:after="170" w:before="340"/>
      </w:pPr>
      <w:r>
        <w:rPr>
          <w:rFonts w:ascii="Calibri" w:cs="Calibri" w:eastAsia="Calibri" w:hAnsi="Calibri"/>
          <w:b/>
          <w:bCs/>
          <w:color w:val="1F3A5F"/>
          <w:sz w:val="30"/>
          <w:szCs w:val="30"/>
        </w:rPr>
        <w:t xml:space="preserve">13.  Notation</w:t>
      </w:r>
    </w:p>
    <w:tbl>
      <w:tblPr>
        <w:tblW w:type="dxa" w:w="9026"/>
        <w:tblBorders>
          <w:top w:val="single" w:color="D8D7D0" w:sz="4"/>
          <w:left w:val="single" w:color="D8D7D0" w:sz="4"/>
          <w:bottom w:val="single" w:color="D8D7D0" w:sz="4"/>
          <w:right w:val="single" w:color="D8D7D0" w:sz="4"/>
          <w:insideH w:val="single" w:color="D8D7D0" w:sz="4"/>
          <w:insideV w:val="single" w:color="D8D7D0" w:sz="4"/>
        </w:tblBorders>
      </w:tblPr>
      <w:tblGrid>
        <w:gridCol w:w="1986"/>
        <w:gridCol w:w="7040"/>
      </w:tblGrid>
      <w:tr>
        <w:trPr>
          <w:tblHeader/>
        </w:trPr>
        <w:tc>
          <w:tcPr>
            <w:tcW w:type="dxa" w:w="1986"/>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Symbol</w:t>
            </w:r>
          </w:p>
        </w:tc>
        <w:tc>
          <w:tcPr>
            <w:tcW w:type="dxa" w:w="7040"/>
            <w:shd w:fill="1F3A5F" w:val="clear"/>
            <w:tcMar>
              <w:top w:type="dxa" w:w="70"/>
              <w:left w:type="dxa" w:w="100"/>
              <w:bottom w:type="dxa" w:w="70"/>
              <w:right w:type="dxa" w:w="100"/>
            </w:tcMar>
            <w:vAlign w:val="center"/>
          </w:tcPr>
          <w:p>
            <w:pPr>
              <w:spacing w:after="20"/>
              <w:jc w:val="left"/>
            </w:pPr>
            <w:r>
              <w:rPr>
                <w:rFonts w:ascii="Calibri" w:cs="Calibri" w:eastAsia="Calibri" w:hAnsi="Calibri"/>
                <w:b/>
                <w:bCs/>
                <w:color w:val="FFFFFF"/>
                <w:sz w:val="17"/>
                <w:szCs w:val="17"/>
              </w:rPr>
              <w:t xml:space="preserve">Meaning</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F_t, E_t[·]</w:t>
            </w:r>
          </w:p>
        </w:tc>
        <w:tc>
          <w:tcPr>
            <w:tcW w:type="dxa" w:w="704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information set at exchange time t; conditional expectation given F_t</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r_{i,t}, f_{i,t}^{(h)}</w:t>
            </w:r>
          </w:p>
        </w:tc>
        <w:tc>
          <w:tcPr>
            <w:tcW w:type="dxa" w:w="704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bar log return of name i; forward return over h bars</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ε_{i,t}</w:t>
            </w:r>
          </w:p>
        </w:tc>
        <w:tc>
          <w:tcPr>
            <w:tcW w:type="dxa" w:w="704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idiosyncratic (residual) return after factor removal (§3)</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z_{i,t}</w:t>
            </w:r>
          </w:p>
        </w:tc>
        <w:tc>
          <w:tcPr>
            <w:tcW w:type="dxa" w:w="704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cross-sectional z-score at bar t (diurnal-σ adjusted)</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IC, IR</w:t>
            </w:r>
          </w:p>
        </w:tc>
        <w:tc>
          <w:tcPr>
            <w:tcW w:type="dxa" w:w="704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rank information coefficient; information ratio</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g(s), g̃(s)</w:t>
            </w:r>
          </w:p>
        </w:tc>
        <w:tc>
          <w:tcPr>
            <w:tcW w:type="dxa" w:w="704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calibration curve E[f|s]; its shrunk estimate</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c, κ</w:t>
            </w:r>
          </w:p>
        </w:tc>
        <w:tc>
          <w:tcPr>
            <w:tcW w:type="dxa" w:w="704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all-in round-trip cost (bps); linear cost coefficient in the QP</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α(h), h*, τ*</w:t>
            </w:r>
          </w:p>
        </w:tc>
        <w:tc>
          <w:tcPr>
            <w:tcW w:type="dxa" w:w="704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gross edge vs holding period; optimal hold; optimal entry threshold</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θ, σ, φ, HL</w:t>
            </w:r>
          </w:p>
        </w:tc>
        <w:tc>
          <w:tcPr>
            <w:tcW w:type="dxa" w:w="704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OU mean-reversion rate, diffusion, AR(1) coefficient e^{−θΔ}, half-life ln2/θ</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T, N, N_eff</w:t>
            </w:r>
          </w:p>
        </w:tc>
        <w:tc>
          <w:tcPr>
            <w:tcW w:type="dxa" w:w="704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sample size (days); trial count (registry); effective breadth</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SR̂, DSR, PBO</w:t>
            </w:r>
          </w:p>
        </w:tc>
        <w:tc>
          <w:tcPr>
            <w:tcW w:type="dxa" w:w="704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estimated Sharpe; deflated Sharpe (P[SR&gt;0] after N trials); overfit probability</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γ₃, γ₄, γ</w:t>
            </w:r>
          </w:p>
        </w:tc>
        <w:tc>
          <w:tcPr>
            <w:tcW w:type="dxa" w:w="704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skewness; kurtosis; Euler–Mascheroni ≈ 0.5772</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λ(δ), q, λ_K, λ_P</w:t>
            </w:r>
          </w:p>
        </w:tc>
        <w:tc>
          <w:tcPr>
            <w:tcW w:type="dxa" w:w="704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fill intensity at distance δ; adverse selection; Kyle impact; price-pressure coefficient</w:t>
            </w:r>
          </w:p>
        </w:tc>
      </w:tr>
      <w:tr>
        <w:tc>
          <w:tcPr>
            <w:tcW w:type="dxa" w:w="1986"/>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OFI, RVOL, VWAP</w:t>
            </w:r>
          </w:p>
        </w:tc>
        <w:tc>
          <w:tcPr>
            <w:tcW w:type="dxa" w:w="7040"/>
            <w:shd w:fill="F4F6FA" w:val="clear"/>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order-flow imbalance; relative volume; volume-weighted average price</w:t>
            </w:r>
          </w:p>
        </w:tc>
      </w:tr>
      <w:tr>
        <w:tc>
          <w:tcPr>
            <w:tcW w:type="dxa" w:w="1986"/>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Σ̂, β_i, w, G</w:t>
            </w:r>
          </w:p>
        </w:tc>
        <w:tc>
          <w:tcPr>
            <w:tcW w:type="dxa" w:w="7040"/>
            <w:tcMar>
              <w:top w:type="dxa" w:w="70"/>
              <w:left w:type="dxa" w:w="100"/>
              <w:bottom w:type="dxa" w:w="70"/>
              <w:right w:type="dxa" w:w="100"/>
            </w:tcMar>
            <w:vAlign w:val="center"/>
          </w:tcPr>
          <w:p>
            <w:pPr>
              <w:spacing w:after="20"/>
              <w:jc w:val="left"/>
            </w:pPr>
            <w:r>
              <w:rPr>
                <w:rFonts w:ascii="Calibri" w:cs="Calibri" w:eastAsia="Calibri" w:hAnsi="Calibri"/>
                <w:b w:val="false"/>
                <w:bCs w:val="false"/>
                <w:color w:val="0B0B0B"/>
                <w:sz w:val="17"/>
                <w:szCs w:val="17"/>
              </w:rPr>
              <w:t xml:space="preserve">shrunk covariance; factor loading; portfolio weights; gross exposure</w:t>
            </w:r>
          </w:p>
        </w:tc>
      </w:tr>
    </w:tbl>
    <w:p>
      <w:pPr>
        <w:pStyle w:val="Heading1"/>
        <w:pBdr>
          <w:bottom w:val="single" w:color="D8D7D0" w:sz="6" w:space="4"/>
        </w:pBdr>
        <w:spacing w:after="170" w:before="340"/>
      </w:pPr>
      <w:r>
        <w:rPr>
          <w:rFonts w:ascii="Calibri" w:cs="Calibri" w:eastAsia="Calibri" w:hAnsi="Calibri"/>
          <w:b/>
          <w:bCs/>
          <w:color w:val="1F3A5F"/>
          <w:sz w:val="30"/>
          <w:szCs w:val="30"/>
        </w:rPr>
        <w:t xml:space="preserve">14.  References</w:t>
      </w:r>
    </w:p>
    <w:p>
      <w:pPr>
        <w:pStyle w:val="ListParagraph"/>
        <w:numPr>
          <w:ilvl w:val="0"/>
          <w:numId w:val="2"/>
        </w:numPr>
        <w:spacing w:after="90" w:line="258"/>
      </w:pPr>
      <w:r>
        <w:rPr>
          <w:rFonts w:ascii="Calibri" w:cs="Calibri" w:eastAsia="Calibri" w:hAnsi="Calibri"/>
          <w:color w:val="0B0B0B"/>
          <w:sz w:val="21"/>
          <w:szCs w:val="21"/>
        </w:rPr>
        <w:t xml:space="preserve">Grinold (1989), "The Fundamental Law of Active Management"; Grinold &amp; Kahn, </w:t>
      </w:r>
      <w:r>
        <w:rPr>
          <w:rFonts w:ascii="Calibri" w:cs="Calibri" w:eastAsia="Calibri" w:hAnsi="Calibri"/>
          <w:i/>
          <w:iCs/>
          <w:color w:val="0B0B0B"/>
          <w:sz w:val="21"/>
          <w:szCs w:val="21"/>
        </w:rPr>
        <w:t xml:space="preserve">Active Portfolio Management</w:t>
      </w:r>
      <w:r>
        <w:rPr>
          <w:rFonts w:ascii="Calibri" w:cs="Calibri" w:eastAsia="Calibri" w:hAnsi="Calibri"/>
          <w:color w:val="0B0B0B"/>
          <w:sz w:val="21"/>
          <w:szCs w:val="21"/>
        </w:rPr>
        <w:t xml:space="preserve"> — §2.3, §8.5.</w:t>
      </w:r>
    </w:p>
    <w:p>
      <w:pPr>
        <w:pStyle w:val="ListParagraph"/>
        <w:numPr>
          <w:ilvl w:val="0"/>
          <w:numId w:val="2"/>
        </w:numPr>
        <w:spacing w:after="90" w:line="258"/>
      </w:pPr>
      <w:r>
        <w:rPr>
          <w:rFonts w:ascii="Calibri" w:cs="Calibri" w:eastAsia="Calibri" w:hAnsi="Calibri"/>
          <w:color w:val="0B0B0B"/>
          <w:sz w:val="21"/>
          <w:szCs w:val="21"/>
        </w:rPr>
        <w:t xml:space="preserve">Lo (2002), "The Statistics of Sharpe Ratios"; Mertens (2002) — SR estimator variance, §8.3.</w:t>
      </w:r>
    </w:p>
    <w:p>
      <w:pPr>
        <w:pStyle w:val="ListParagraph"/>
        <w:numPr>
          <w:ilvl w:val="0"/>
          <w:numId w:val="2"/>
        </w:numPr>
        <w:spacing w:after="90" w:line="258"/>
      </w:pPr>
      <w:r>
        <w:rPr>
          <w:rFonts w:ascii="Calibri" w:cs="Calibri" w:eastAsia="Calibri" w:hAnsi="Calibri"/>
          <w:color w:val="0B0B0B"/>
          <w:sz w:val="21"/>
          <w:szCs w:val="21"/>
        </w:rPr>
        <w:t xml:space="preserve">Bailey &amp; López de Prado (2014), "The Deflated Sharpe Ratio"; Bailey, Borwein, López de Prado &amp; Zhu (2015), "The Probability of Backtest Overfitting"; López de Prado (2018), </w:t>
      </w:r>
      <w:r>
        <w:rPr>
          <w:rFonts w:ascii="Calibri" w:cs="Calibri" w:eastAsia="Calibri" w:hAnsi="Calibri"/>
          <w:i/>
          <w:iCs/>
          <w:color w:val="0B0B0B"/>
          <w:sz w:val="21"/>
          <w:szCs w:val="21"/>
        </w:rPr>
        <w:t xml:space="preserve">Advances in Financial Machine Learning</w:t>
      </w:r>
      <w:r>
        <w:rPr>
          <w:rFonts w:ascii="Calibri" w:cs="Calibri" w:eastAsia="Calibri" w:hAnsi="Calibri"/>
          <w:color w:val="0B0B0B"/>
          <w:sz w:val="21"/>
          <w:szCs w:val="21"/>
        </w:rPr>
        <w:t xml:space="preserve"> — §8, CPCV, purge/embargo.</w:t>
      </w:r>
    </w:p>
    <w:p>
      <w:pPr>
        <w:pStyle w:val="ListParagraph"/>
        <w:numPr>
          <w:ilvl w:val="0"/>
          <w:numId w:val="2"/>
        </w:numPr>
        <w:spacing w:after="90" w:line="258"/>
      </w:pPr>
      <w:r>
        <w:rPr>
          <w:rFonts w:ascii="Calibri" w:cs="Calibri" w:eastAsia="Calibri" w:hAnsi="Calibri"/>
          <w:color w:val="0B0B0B"/>
          <w:sz w:val="21"/>
          <w:szCs w:val="21"/>
        </w:rPr>
        <w:t xml:space="preserve">White (2000), "A Reality Check for Data Snooping"; Hansen (2005), "A Test for Superior Predictive Ability"; Politis &amp; Romano (1994), "The Stationary Bootstrap"; Benjamini &amp; Hochberg (1995) — §8.4.</w:t>
      </w:r>
    </w:p>
    <w:p>
      <w:pPr>
        <w:pStyle w:val="ListParagraph"/>
        <w:numPr>
          <w:ilvl w:val="0"/>
          <w:numId w:val="2"/>
        </w:numPr>
        <w:spacing w:after="90" w:line="258"/>
      </w:pPr>
      <w:r>
        <w:rPr>
          <w:rFonts w:ascii="Calibri" w:cs="Calibri" w:eastAsia="Calibri" w:hAnsi="Calibri"/>
          <w:color w:val="0B0B0B"/>
          <w:sz w:val="21"/>
          <w:szCs w:val="21"/>
        </w:rPr>
        <w:t xml:space="preserve">Newey &amp; West (1987); Cameron, Gelbach &amp; Miller (2011) — §2.</w:t>
      </w:r>
    </w:p>
    <w:p>
      <w:pPr>
        <w:pStyle w:val="ListParagraph"/>
        <w:numPr>
          <w:ilvl w:val="0"/>
          <w:numId w:val="2"/>
        </w:numPr>
        <w:spacing w:after="90" w:line="258"/>
      </w:pPr>
      <w:r>
        <w:rPr>
          <w:rFonts w:ascii="Calibri" w:cs="Calibri" w:eastAsia="Calibri" w:hAnsi="Calibri"/>
          <w:color w:val="0B0B0B"/>
          <w:sz w:val="21"/>
          <w:szCs w:val="21"/>
        </w:rPr>
        <w:t xml:space="preserve">Dimson (1979), thin-trading betas; Epps (1979); Hayashi &amp; Yoshida (2005), nonsynchronous covariance — §3.2, F7.</w:t>
      </w:r>
    </w:p>
    <w:p>
      <w:pPr>
        <w:pStyle w:val="ListParagraph"/>
        <w:numPr>
          <w:ilvl w:val="0"/>
          <w:numId w:val="2"/>
        </w:numPr>
        <w:spacing w:after="90" w:line="258"/>
      </w:pPr>
      <w:r>
        <w:rPr>
          <w:rFonts w:ascii="Calibri" w:cs="Calibri" w:eastAsia="Calibri" w:hAnsi="Calibri"/>
          <w:color w:val="0B0B0B"/>
          <w:sz w:val="21"/>
          <w:szCs w:val="21"/>
        </w:rPr>
        <w:t xml:space="preserve">Marchenko &amp; Pastur (1967); Ledoit &amp; Wolf (2004), "A Well-Conditioned Estimator for Large-Dimensional Covariance Matrices" — §3.3–3.4.</w:t>
      </w:r>
    </w:p>
    <w:p>
      <w:pPr>
        <w:pStyle w:val="ListParagraph"/>
        <w:numPr>
          <w:ilvl w:val="0"/>
          <w:numId w:val="2"/>
        </w:numPr>
        <w:spacing w:after="90" w:line="258"/>
      </w:pPr>
      <w:r>
        <w:rPr>
          <w:rFonts w:ascii="Calibri" w:cs="Calibri" w:eastAsia="Calibri" w:hAnsi="Calibri"/>
          <w:color w:val="0B0B0B"/>
          <w:sz w:val="21"/>
          <w:szCs w:val="21"/>
        </w:rPr>
        <w:t xml:space="preserve">Constantinides (1986); Davis &amp; Norman (1990); Rogers (2004) — proportional-cost no-trade bands, §5.2.</w:t>
      </w:r>
    </w:p>
    <w:p>
      <w:pPr>
        <w:pStyle w:val="ListParagraph"/>
        <w:numPr>
          <w:ilvl w:val="0"/>
          <w:numId w:val="2"/>
        </w:numPr>
        <w:spacing w:after="90" w:line="258"/>
      </w:pPr>
      <w:r>
        <w:rPr>
          <w:rFonts w:ascii="Calibri" w:cs="Calibri" w:eastAsia="Calibri" w:hAnsi="Calibri"/>
          <w:color w:val="0B0B0B"/>
          <w:sz w:val="21"/>
          <w:szCs w:val="21"/>
        </w:rPr>
        <w:t xml:space="preserve">Gârleanu &amp; Pedersen (2013), "Dynamic Trading with Predictable Returns and Transaction Costs" — §5.3.</w:t>
      </w:r>
    </w:p>
    <w:p>
      <w:pPr>
        <w:pStyle w:val="ListParagraph"/>
        <w:numPr>
          <w:ilvl w:val="0"/>
          <w:numId w:val="2"/>
        </w:numPr>
        <w:spacing w:after="90" w:line="258"/>
      </w:pPr>
      <w:r>
        <w:rPr>
          <w:rFonts w:ascii="Calibri" w:cs="Calibri" w:eastAsia="Calibri" w:hAnsi="Calibri"/>
          <w:color w:val="0B0B0B"/>
          <w:sz w:val="21"/>
          <w:szCs w:val="21"/>
        </w:rPr>
        <w:t xml:space="preserve">Bertram (2010), "Analytic Solutions for Optimal Statistical Arbitrage Trading" — OU threshold optimization, F2/F10.</w:t>
      </w:r>
    </w:p>
    <w:p>
      <w:pPr>
        <w:pStyle w:val="ListParagraph"/>
        <w:numPr>
          <w:ilvl w:val="0"/>
          <w:numId w:val="2"/>
        </w:numPr>
        <w:spacing w:after="90" w:line="258"/>
      </w:pPr>
      <w:r>
        <w:rPr>
          <w:rFonts w:ascii="Calibri" w:cs="Calibri" w:eastAsia="Calibri" w:hAnsi="Calibri"/>
          <w:color w:val="0B0B0B"/>
          <w:sz w:val="21"/>
          <w:szCs w:val="21"/>
        </w:rPr>
        <w:t xml:space="preserve">Jegadeesh &amp; Titman (1993); Moskowitz, Ooi &amp; Pedersen (2012), "Time Series Momentum" — F1, F3.</w:t>
      </w:r>
    </w:p>
    <w:p>
      <w:pPr>
        <w:pStyle w:val="ListParagraph"/>
        <w:numPr>
          <w:ilvl w:val="0"/>
          <w:numId w:val="2"/>
        </w:numPr>
        <w:spacing w:after="90" w:line="258"/>
      </w:pPr>
      <w:r>
        <w:rPr>
          <w:rFonts w:ascii="Calibri" w:cs="Calibri" w:eastAsia="Calibri" w:hAnsi="Calibri"/>
          <w:color w:val="0B0B0B"/>
          <w:sz w:val="21"/>
          <w:szCs w:val="21"/>
        </w:rPr>
        <w:t xml:space="preserve">Boehmer, Musumeci &amp; Poulsen (1991) — event-study test under event-induced variance, F8.</w:t>
      </w:r>
    </w:p>
    <w:p>
      <w:pPr>
        <w:pStyle w:val="ListParagraph"/>
        <w:numPr>
          <w:ilvl w:val="0"/>
          <w:numId w:val="2"/>
        </w:numPr>
        <w:spacing w:after="90" w:line="258"/>
      </w:pPr>
      <w:r>
        <w:rPr>
          <w:rFonts w:ascii="Calibri" w:cs="Calibri" w:eastAsia="Calibri" w:hAnsi="Calibri"/>
          <w:color w:val="0B0B0B"/>
          <w:sz w:val="21"/>
          <w:szCs w:val="21"/>
        </w:rPr>
        <w:t xml:space="preserve">Kyle (1985), "Continuous Auctions and Insider Trading"; Lee &amp; Ready (1991); Cont, Kukanov &amp; Stoikov (2014), order-flow imbalance — F9, §10.</w:t>
      </w:r>
    </w:p>
    <w:p>
      <w:pPr>
        <w:pStyle w:val="ListParagraph"/>
        <w:numPr>
          <w:ilvl w:val="0"/>
          <w:numId w:val="2"/>
        </w:numPr>
        <w:spacing w:after="90" w:line="258"/>
      </w:pPr>
      <w:r>
        <w:rPr>
          <w:rFonts w:ascii="Calibri" w:cs="Calibri" w:eastAsia="Calibri" w:hAnsi="Calibri"/>
          <w:color w:val="0B0B0B"/>
          <w:sz w:val="21"/>
          <w:szCs w:val="21"/>
        </w:rPr>
        <w:t xml:space="preserve">Avellaneda &amp; Stoikov (2008), "High-Frequency Trading in a Limit Order Book"; Almgren &amp; Chriss (2000) — §10.1–10.2.</w:t>
      </w:r>
    </w:p>
    <w:p>
      <w:pPr>
        <w:pStyle w:val="ListParagraph"/>
        <w:numPr>
          <w:ilvl w:val="0"/>
          <w:numId w:val="2"/>
        </w:numPr>
        <w:spacing w:after="90" w:line="258"/>
      </w:pPr>
      <w:r>
        <w:rPr>
          <w:rFonts w:ascii="Calibri" w:cs="Calibri" w:eastAsia="Calibri" w:hAnsi="Calibri"/>
          <w:color w:val="0B0B0B"/>
          <w:sz w:val="21"/>
          <w:szCs w:val="21"/>
        </w:rPr>
        <w:t xml:space="preserve">Lo &amp; MacKinlay (1988), variance-ratio test — regime layer; Page (1954), CUSUM — §9.</w:t>
      </w:r>
    </w:p>
    <w:p>
      <w:pPr>
        <w:spacing w:after="140" w:line="264"/>
        <w:jc w:val="both"/>
      </w:pPr>
      <w:r>
        <w:rPr>
          <w:rFonts w:ascii="Calibri" w:cs="Calibri" w:eastAsia="Calibri" w:hAnsi="Calibri"/>
          <w:i/>
          <w:iCs/>
          <w:color w:val="0B0B0B"/>
          <w:sz w:val="21"/>
          <w:szCs w:val="21"/>
        </w:rPr>
        <w:t xml:space="preserve">Scope note: everything in this document is implementable from the cited public literature plus the repository's own data; nothing depends on proprietary results. Where a constant's true value is uncertain (fill intensities, impact exponents, adverse selection), the document specifies the estimator and the refit schedule rather than a number — that is the intended meaning of 'no voodoo'.</w:t>
      </w:r>
    </w:p>
    <w:sectPr>
      <w:headerReference w:type="default" r:id="rId7"/>
      <w:headerReference w:type="first" r:id="rId8"/>
      <w:footerReference w:type="default" r:id="rId9"/>
      <w:footerReference w:type="first" r:id="rId10"/>
      <w:pgSz w:w="11906" w:h="16838" w:orient="portrait"/>
      <w:pgMar w:top="1250" w:right="1440" w:bottom="125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98781"/>
        <w:sz w:val="15"/>
        <w:szCs w:val="15"/>
      </w:rPr>
      <w:t xml:space="preserve">Page </w:t>
    </w:r>
    <w:r>
      <w:rPr>
        <w:color w:val="898781"/>
        <w:sz w:val="15"/>
        <w:szCs w:val="15"/>
      </w:rPr>
      <w:fldChar w:fldCharType="begin"/>
      <w:instrText xml:space="preserve">PAGE</w:instrText>
      <w:fldChar w:fldCharType="separate"/>
      <w:fldChar w:fldCharType="end"/>
    </w:r>
    <w:r>
      <w:rPr>
        <w:color w:val="898781"/>
        <w:sz w:val="15"/>
        <w:szCs w:val="15"/>
      </w:rPr>
      <w:t xml:space="preserve"> of </w:t>
    </w:r>
    <w:r>
      <w:rPr>
        <w:color w:val="898781"/>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7D0" w:sz="4" w:space="2"/>
      </w:pBdr>
      <w:jc w:val="right"/>
    </w:pPr>
    <w:r>
      <w:rPr>
        <w:color w:val="898781"/>
        <w:sz w:val="15"/>
        <w:szCs w:val="15"/>
      </w:rPr>
      <w:t xml:space="preserve">Quantitative Foundations · alpha mathematics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Foundations — Alpha Mathematics</dc:title>
  <dc:creator>Prateek Rastogi</dc:creator>
  <dc:description>Mathematical specification of alpha families F1–F10 and repo-wide quantitative machinery.</dc:description>
  <cp:lastModifiedBy>Un-named</cp:lastModifiedBy>
  <cp:revision>1</cp:revision>
  <dcterms:created xsi:type="dcterms:W3CDTF">2026-08-28T05:21:57.172Z</dcterms:created>
  <dcterms:modified xsi:type="dcterms:W3CDTF">2026-08-28T05:21:57.183Z</dcterms:modified>
</cp:coreProperties>
</file>

<file path=docProps/custom.xml><?xml version="1.0" encoding="utf-8"?>
<Properties xmlns="http://schemas.openxmlformats.org/officeDocument/2006/custom-properties" xmlns:vt="http://schemas.openxmlformats.org/officeDocument/2006/docPropsVTypes"/>
</file>