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Autospacing="0" w:before="302" w:afterAutospacing="0" w:after="302"/>
        <w:jc w:val="both"/>
        <w:rPr>
          <w:b/>
          <w:bCs/>
          <w:sz w:val="30"/>
          <w:szCs w:val="30"/>
          <w:lang w:val="en-US"/>
        </w:rPr>
      </w:pPr>
      <w:r>
        <w:rPr>
          <w:b/>
          <w:bCs/>
          <w:sz w:val="30"/>
          <w:szCs w:val="30"/>
          <w:lang w:val="en-US"/>
        </w:rPr>
        <w:t>AN APPROACH NOTES FOR RECORD KEEPING OF DOCUMENTS</w:t>
      </w:r>
    </w:p>
    <w:p>
      <w:pPr>
        <w:pStyle w:val="Normal"/>
        <w:spacing w:beforeAutospacing="0" w:before="225" w:afterAutospacing="0" w:after="225"/>
        <w:jc w:val="both"/>
        <w:rPr>
          <w:lang w:val="en-US"/>
        </w:rPr>
      </w:pPr>
      <w:r>
        <w:rPr>
          <w:lang w:val="en-US"/>
        </w:rPr>
        <w:t xml:space="preserve">This project aims to transform the traditional paper-based procurement process into a fully digital workflow system, streamlining the entire procure-to-pay cycle. The focus is on digitizing all vendor documentation—including invoices and supporting materials—through three primary channels: a dedicated vendor portal </w:t>
      </w:r>
      <w:r>
        <w:rPr>
          <w:b/>
          <w:bCs/>
          <w:lang w:val="en-US"/>
        </w:rPr>
        <w:t>(Nimble S2P</w:t>
      </w:r>
      <w:r>
        <w:rPr>
          <w:lang w:val="en-US"/>
        </w:rPr>
        <w:t>), a digital scanning center, and email submissions.</w:t>
      </w:r>
    </w:p>
    <w:p>
      <w:pPr>
        <w:pStyle w:val="Normal"/>
        <w:spacing w:beforeAutospacing="0" w:before="225" w:afterAutospacing="0" w:after="225"/>
        <w:jc w:val="both"/>
        <w:rPr/>
      </w:pPr>
      <w:r>
        <w:rPr>
          <w:lang w:val="en-US"/>
        </w:rPr>
        <w:t xml:space="preserve">This approach will create a centralized digital repository for procurement documents, enabling efficient tracking through a unique document numbering system, while maintaining secure physical archives of original documents. The system integrates with </w:t>
      </w:r>
      <w:r>
        <w:rPr>
          <w:b/>
          <w:bCs/>
          <w:lang w:val="en-US"/>
        </w:rPr>
        <w:t>SAP</w:t>
      </w:r>
      <w:r>
        <w:rPr>
          <w:lang w:val="en-US"/>
        </w:rPr>
        <w:t xml:space="preserve"> for gate entries and implements a structured document management process, supported by qualified personnel at multiple checkpoints. This digital transformation will enhance document accessibility, reduce processing time, minimize paper usage, and improve overall procurement efficiency while maintaining robust audit trails.</w:t>
      </w:r>
    </w:p>
    <w:p>
      <w:pPr>
        <w:pStyle w:val="Normal"/>
        <w:jc w:val="both"/>
        <w:rPr/>
      </w:pPr>
      <w:r>
        <w:rPr/>
      </w:r>
    </w:p>
    <w:p>
      <w:pPr>
        <w:pStyle w:val="Heading2"/>
        <w:spacing w:beforeAutospacing="0" w:before="280" w:afterAutospacing="0" w:after="280"/>
        <w:jc w:val="both"/>
        <w:rPr/>
      </w:pPr>
      <w:r>
        <w:rPr>
          <w:b/>
          <w:bCs/>
          <w:sz w:val="33"/>
          <w:szCs w:val="33"/>
          <w:lang w:val="en-US"/>
        </w:rPr>
        <w:t>Document Upload Modes</w:t>
      </w:r>
    </w:p>
    <w:p>
      <w:pPr>
        <w:pStyle w:val="Normal"/>
        <w:jc w:val="both"/>
        <w:rPr/>
      </w:pPr>
      <w:r>
        <w:rPr>
          <w:b/>
          <w:bCs/>
          <w:sz w:val="26"/>
          <w:szCs w:val="26"/>
          <w:lang w:val="en-US"/>
        </w:rPr>
        <w:t>1. Vendor Portal</w:t>
      </w:r>
    </w:p>
    <w:p>
      <w:pPr>
        <w:pStyle w:val="ListParagraph"/>
        <w:numPr>
          <w:ilvl w:val="0"/>
          <w:numId w:val="6"/>
        </w:numPr>
        <w:spacing w:beforeAutospacing="0" w:before="0" w:afterAutospacing="0" w:after="0"/>
        <w:contextualSpacing/>
        <w:jc w:val="both"/>
        <w:rPr>
          <w:lang w:val="en-US"/>
        </w:rPr>
      </w:pPr>
      <w:r>
        <w:rPr>
          <w:b/>
          <w:bCs/>
          <w:lang w:val="en-US"/>
        </w:rPr>
        <w:t>Process:</w:t>
      </w:r>
      <w:r>
        <w:rPr>
          <w:lang w:val="en-US"/>
        </w:rPr>
        <w:t xml:space="preserve"> The vendor will upload invoices and supporting documents to the </w:t>
      </w:r>
      <w:r>
        <w:rPr>
          <w:b/>
          <w:bCs/>
          <w:lang w:val="en-US"/>
        </w:rPr>
        <w:t>Nimble S2P portal</w:t>
      </w:r>
      <w:r>
        <w:rPr>
          <w:lang w:val="en-US"/>
        </w:rPr>
        <w:t xml:space="preserve">. Upon vehicle receipt, gate entry will be recorded in </w:t>
      </w:r>
      <w:r>
        <w:rPr>
          <w:b/>
          <w:bCs/>
          <w:lang w:val="en-US"/>
        </w:rPr>
        <w:t>SAP</w:t>
      </w:r>
      <w:r>
        <w:rPr>
          <w:lang w:val="en-US"/>
        </w:rPr>
        <w:t>. Hard copies will be handed over to the digital scanning team, who will check if the documents have been uploaded on the portal.</w:t>
      </w:r>
    </w:p>
    <w:p>
      <w:pPr>
        <w:pStyle w:val="ListParagraph"/>
        <w:numPr>
          <w:ilvl w:val="1"/>
          <w:numId w:val="6"/>
        </w:numPr>
        <w:spacing w:beforeAutospacing="0" w:before="0" w:afterAutospacing="0" w:after="0"/>
        <w:contextualSpacing/>
        <w:jc w:val="both"/>
        <w:rPr>
          <w:lang w:val="en-US"/>
        </w:rPr>
      </w:pPr>
      <w:r>
        <w:rPr>
          <w:b/>
          <w:bCs/>
          <w:lang w:val="en-US"/>
        </w:rPr>
        <w:t>If all documents are uploaded:</w:t>
      </w:r>
      <w:r>
        <w:rPr>
          <w:lang w:val="en-US"/>
        </w:rPr>
        <w:t xml:space="preserve"> No scanning is required.</w:t>
      </w:r>
    </w:p>
    <w:p>
      <w:pPr>
        <w:pStyle w:val="ListParagraph"/>
        <w:numPr>
          <w:ilvl w:val="1"/>
          <w:numId w:val="6"/>
        </w:numPr>
        <w:spacing w:beforeAutospacing="0" w:before="0" w:afterAutospacing="0" w:after="0"/>
        <w:contextualSpacing/>
        <w:jc w:val="both"/>
        <w:rPr>
          <w:lang w:val="en-US"/>
        </w:rPr>
      </w:pPr>
      <w:r>
        <w:rPr>
          <w:b/>
          <w:bCs/>
          <w:lang w:val="en-US"/>
        </w:rPr>
        <w:t>If some documents are missing:</w:t>
      </w:r>
      <w:r>
        <w:rPr>
          <w:lang w:val="en-US"/>
        </w:rPr>
        <w:t xml:space="preserve"> The team will scan missing documents, attach them to the digital file, add the gate entry number, and send the hard copy to the record room for archiving.</w:t>
      </w:r>
    </w:p>
    <w:p>
      <w:pPr>
        <w:pStyle w:val="ListParagraph"/>
        <w:spacing w:beforeAutospacing="0" w:before="0" w:afterAutospacing="0" w:after="0"/>
        <w:ind w:left="1440"/>
        <w:contextualSpacing/>
        <w:jc w:val="center"/>
        <w:rPr/>
      </w:pPr>
      <w:r>
        <w:rPr/>
        <w:drawing>
          <wp:inline distT="0" distB="0" distL="0" distR="0">
            <wp:extent cx="3172460" cy="5534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72460" cy="5534025"/>
                    </a:xfrm>
                    <a:prstGeom prst="rect">
                      <a:avLst/>
                    </a:prstGeom>
                  </pic:spPr>
                </pic:pic>
              </a:graphicData>
            </a:graphic>
          </wp:inline>
        </w:drawing>
      </w:r>
    </w:p>
    <w:p>
      <w:pPr>
        <w:pStyle w:val="ListParagraph"/>
        <w:spacing w:beforeAutospacing="0" w:before="0" w:afterAutospacing="0" w:after="0"/>
        <w:ind w:left="1440"/>
        <w:contextualSpacing/>
        <w:jc w:val="both"/>
        <w:rPr>
          <w:lang w:val="en-US"/>
        </w:rPr>
      </w:pPr>
      <w:r>
        <w:rPr>
          <w:lang w:val="en-US"/>
        </w:rPr>
      </w:r>
    </w:p>
    <w:p>
      <w:pPr>
        <w:pStyle w:val="Heading3"/>
        <w:spacing w:beforeAutospacing="0" w:before="263" w:afterAutospacing="0" w:after="263"/>
        <w:jc w:val="both"/>
        <w:rPr/>
      </w:pPr>
      <w:r>
        <w:rPr>
          <w:b/>
          <w:bCs/>
          <w:sz w:val="26"/>
          <w:szCs w:val="26"/>
          <w:lang w:val="en-US"/>
        </w:rPr>
        <w:t>2. Digital Center and Scanning Center</w:t>
      </w:r>
    </w:p>
    <w:p>
      <w:pPr>
        <w:pStyle w:val="ListParagraph"/>
        <w:numPr>
          <w:ilvl w:val="0"/>
          <w:numId w:val="5"/>
        </w:numPr>
        <w:spacing w:beforeAutospacing="0" w:before="0" w:afterAutospacing="0" w:after="0"/>
        <w:contextualSpacing/>
        <w:jc w:val="both"/>
        <w:rPr>
          <w:lang w:val="en-US"/>
        </w:rPr>
      </w:pPr>
      <w:r>
        <w:rPr>
          <w:b/>
          <w:bCs/>
          <w:lang w:val="en-US"/>
        </w:rPr>
        <w:t>Process:</w:t>
      </w:r>
      <w:r>
        <w:rPr>
          <w:lang w:val="en-US"/>
        </w:rPr>
        <w:t xml:space="preserve"> If the vendor has not uploaded documents on Nimble S2P and hasn't sent them via email, invoices and supporting documents will be brought to the scanning center by the driver. These documents will be uploaded at the center, and the hard copies will be sent to the record room.</w:t>
      </w:r>
    </w:p>
    <w:p>
      <w:pPr>
        <w:pStyle w:val="ListParagraph"/>
        <w:spacing w:beforeAutospacing="0" w:before="0" w:afterAutospacing="0" w:after="0"/>
        <w:ind w:left="720"/>
        <w:contextualSpacing/>
        <w:jc w:val="center"/>
        <w:rPr/>
      </w:pPr>
      <w:r>
        <w:rPr/>
        <w:drawing>
          <wp:inline distT="0" distB="0" distL="0" distR="0">
            <wp:extent cx="3252470" cy="4391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52470" cy="4391025"/>
                    </a:xfrm>
                    <a:prstGeom prst="rect">
                      <a:avLst/>
                    </a:prstGeom>
                  </pic:spPr>
                </pic:pic>
              </a:graphicData>
            </a:graphic>
          </wp:inline>
        </w:drawing>
      </w:r>
    </w:p>
    <w:p>
      <w:pPr>
        <w:pStyle w:val="ListParagraph"/>
        <w:spacing w:beforeAutospacing="0" w:before="0" w:afterAutospacing="0" w:after="0"/>
        <w:ind w:left="720"/>
        <w:contextualSpacing/>
        <w:jc w:val="both"/>
        <w:rPr/>
      </w:pPr>
      <w:r>
        <w:rPr/>
      </w:r>
    </w:p>
    <w:p>
      <w:pPr>
        <w:pStyle w:val="Heading3"/>
        <w:spacing w:beforeAutospacing="0" w:before="263" w:afterAutospacing="0" w:after="263"/>
        <w:jc w:val="both"/>
        <w:rPr/>
      </w:pPr>
      <w:r>
        <w:rPr>
          <w:b/>
          <w:bCs/>
          <w:sz w:val="26"/>
          <w:szCs w:val="26"/>
          <w:lang w:val="en-US"/>
        </w:rPr>
        <w:t>3. Email Submissions</w:t>
      </w:r>
    </w:p>
    <w:p>
      <w:pPr>
        <w:pStyle w:val="ListParagraph"/>
        <w:numPr>
          <w:ilvl w:val="0"/>
          <w:numId w:val="4"/>
        </w:numPr>
        <w:spacing w:beforeAutospacing="0" w:before="0" w:afterAutospacing="0" w:after="0"/>
        <w:contextualSpacing/>
        <w:jc w:val="both"/>
        <w:rPr>
          <w:lang w:val="en-US"/>
        </w:rPr>
      </w:pPr>
      <w:r>
        <w:rPr>
          <w:b/>
          <w:bCs/>
          <w:lang w:val="en-US"/>
        </w:rPr>
        <w:t>Process:</w:t>
      </w:r>
      <w:r>
        <w:rPr>
          <w:lang w:val="en-US"/>
        </w:rPr>
        <w:t xml:space="preserve"> When the invoice is sent via email to the buyer, it will be forwarded to the digital center. At the center, the documents will be uploaded, and any hard copies carried by the driver will be archived in the record room. </w:t>
      </w:r>
      <w:r>
        <w:rPr>
          <w:b/>
          <w:bCs/>
          <w:lang w:val="en-US"/>
        </w:rPr>
        <w:t>Internal and external documents</w:t>
      </w:r>
      <w:r>
        <w:rPr>
          <w:lang w:val="en-US"/>
        </w:rPr>
        <w:t xml:space="preserve"> will follow this mode, and the Nimble portal will generate a code with complete document information.</w:t>
      </w:r>
    </w:p>
    <w:p>
      <w:pPr>
        <w:pStyle w:val="Normal"/>
        <w:jc w:val="both"/>
        <w:rPr/>
      </w:pPr>
      <w:r>
        <w:rPr/>
        <w:t xml:space="preserve">                </w:t>
      </w:r>
    </w:p>
    <w:p>
      <w:pPr>
        <w:pStyle w:val="Normal"/>
        <w:jc w:val="center"/>
        <w:rPr/>
      </w:pPr>
      <w:r>
        <w:rPr/>
        <w:drawing>
          <wp:inline distT="0" distB="0" distL="0" distR="0">
            <wp:extent cx="3571875" cy="4295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71875" cy="4295775"/>
                    </a:xfrm>
                    <a:prstGeom prst="rect">
                      <a:avLst/>
                    </a:prstGeom>
                  </pic:spPr>
                </pic:pic>
              </a:graphicData>
            </a:graphic>
          </wp:inline>
        </w:drawing>
      </w:r>
    </w:p>
    <w:p>
      <w:pPr>
        <w:pStyle w:val="Heading2"/>
        <w:spacing w:beforeAutospacing="0" w:before="280" w:afterAutospacing="0" w:after="280"/>
        <w:jc w:val="both"/>
        <w:rPr/>
      </w:pPr>
      <w:r>
        <w:rPr>
          <w:b/>
          <w:bCs/>
          <w:sz w:val="33"/>
          <w:szCs w:val="33"/>
          <w:lang w:val="en-US"/>
        </w:rPr>
        <w:t>Document Numbering Format for Hard Copy Archive</w:t>
      </w:r>
    </w:p>
    <w:p>
      <w:pPr>
        <w:pStyle w:val="Heading3"/>
        <w:spacing w:beforeAutospacing="0" w:before="263" w:afterAutospacing="0" w:after="263"/>
        <w:jc w:val="both"/>
        <w:rPr/>
      </w:pPr>
      <w:r>
        <w:rPr>
          <w:b/>
          <w:bCs/>
          <w:sz w:val="26"/>
          <w:szCs w:val="26"/>
          <w:lang w:val="en-US"/>
        </w:rPr>
        <w:t>Format:</w:t>
      </w:r>
    </w:p>
    <w:p>
      <w:pPr>
        <w:pStyle w:val="Normal"/>
        <w:spacing w:beforeAutospacing="0" w:before="225" w:afterAutospacing="0" w:after="225"/>
        <w:jc w:val="both"/>
        <w:rPr/>
      </w:pPr>
      <w:r>
        <w:rPr>
          <w:rFonts w:eastAsia="Consolas" w:cs="Consolas" w:ascii="Consolas" w:hAnsi="Consolas"/>
          <w:lang w:val="en-US"/>
        </w:rPr>
        <w:t>&lt;G.E.N&gt; &lt;DD MM&gt;&lt;X&gt; &lt;SOURCE&gt;&lt;SR. NO&gt;&lt;BUCKET&gt;</w:t>
      </w:r>
    </w:p>
    <w:p>
      <w:pPr>
        <w:pStyle w:val="Heading4"/>
        <w:spacing w:beforeAutospacing="0" w:before="299" w:afterAutospacing="0" w:after="299"/>
        <w:jc w:val="both"/>
        <w:rPr/>
      </w:pPr>
      <w:r>
        <w:rPr>
          <w:b/>
          <w:bCs/>
          <w:sz w:val="22"/>
          <w:szCs w:val="22"/>
          <w:lang w:val="en-US"/>
        </w:rPr>
        <w:t>Example:</w:t>
      </w:r>
    </w:p>
    <w:p>
      <w:pPr>
        <w:pStyle w:val="Normal"/>
        <w:spacing w:beforeAutospacing="0" w:before="225" w:afterAutospacing="0" w:after="225"/>
        <w:jc w:val="both"/>
        <w:rPr/>
      </w:pPr>
      <w:r>
        <w:rPr>
          <w:b/>
          <w:bCs/>
          <w:lang w:val="en-US"/>
        </w:rPr>
        <w:t>2400178819/0912/M/99/99999/100</w:t>
      </w:r>
    </w:p>
    <w:p>
      <w:pPr>
        <w:pStyle w:val="Heading4"/>
        <w:spacing w:beforeAutospacing="0" w:before="299" w:afterAutospacing="0" w:after="299"/>
        <w:jc w:val="both"/>
        <w:rPr/>
      </w:pPr>
      <w:r>
        <w:rPr>
          <w:b/>
          <w:bCs/>
          <w:sz w:val="22"/>
          <w:szCs w:val="22"/>
          <w:lang w:val="en-US"/>
        </w:rPr>
        <w:t>Code Description:</w:t>
      </w:r>
    </w:p>
    <w:p>
      <w:pPr>
        <w:pStyle w:val="ListParagraph"/>
        <w:numPr>
          <w:ilvl w:val="0"/>
          <w:numId w:val="3"/>
        </w:numPr>
        <w:spacing w:beforeAutospacing="0" w:before="0" w:afterAutospacing="0" w:after="0"/>
        <w:contextualSpacing/>
        <w:jc w:val="both"/>
        <w:rPr>
          <w:lang w:val="en-US"/>
        </w:rPr>
      </w:pPr>
      <w:r>
        <w:rPr>
          <w:b/>
          <w:bCs/>
          <w:lang w:val="en-US"/>
        </w:rPr>
        <w:t>G.E.N:</w:t>
      </w:r>
      <w:r>
        <w:rPr>
          <w:lang w:val="en-US"/>
        </w:rPr>
        <w:t xml:space="preserve"> Gate Entry Number (10 digits)</w:t>
      </w:r>
    </w:p>
    <w:p>
      <w:pPr>
        <w:pStyle w:val="ListParagraph"/>
        <w:numPr>
          <w:ilvl w:val="0"/>
          <w:numId w:val="3"/>
        </w:numPr>
        <w:spacing w:beforeAutospacing="0" w:before="0" w:afterAutospacing="0" w:after="0"/>
        <w:contextualSpacing/>
        <w:jc w:val="both"/>
        <w:rPr>
          <w:lang w:val="en-US"/>
        </w:rPr>
      </w:pPr>
      <w:r>
        <w:rPr>
          <w:b/>
          <w:bCs/>
          <w:lang w:val="en-US"/>
        </w:rPr>
        <w:t>DD MM:</w:t>
      </w:r>
      <w:r>
        <w:rPr>
          <w:lang w:val="en-US"/>
        </w:rPr>
        <w:t xml:space="preserve"> Date of Gate Entry (DDMM format)</w:t>
      </w:r>
    </w:p>
    <w:p>
      <w:pPr>
        <w:pStyle w:val="ListParagraph"/>
        <w:numPr>
          <w:ilvl w:val="0"/>
          <w:numId w:val="3"/>
        </w:numPr>
        <w:spacing w:beforeAutospacing="0" w:before="0" w:afterAutospacing="0" w:after="0"/>
        <w:contextualSpacing/>
        <w:jc w:val="both"/>
        <w:rPr>
          <w:lang w:val="en-US"/>
        </w:rPr>
      </w:pPr>
      <w:r>
        <w:rPr>
          <w:b/>
          <w:bCs/>
          <w:lang w:val="en-US"/>
        </w:rPr>
        <w:t>X:</w:t>
      </w:r>
      <w:r>
        <w:rPr>
          <w:lang w:val="en-US"/>
        </w:rPr>
        <w:t xml:space="preserve"> Service/Material/Non-PO Code</w:t>
      </w:r>
    </w:p>
    <w:p>
      <w:pPr>
        <w:pStyle w:val="ListParagraph"/>
        <w:numPr>
          <w:ilvl w:val="1"/>
          <w:numId w:val="3"/>
        </w:numPr>
        <w:spacing w:beforeAutospacing="0" w:before="0" w:afterAutospacing="0" w:after="0"/>
        <w:contextualSpacing/>
        <w:jc w:val="both"/>
        <w:rPr>
          <w:lang w:val="en-US"/>
        </w:rPr>
      </w:pPr>
      <w:r>
        <w:rPr>
          <w:b/>
          <w:bCs/>
          <w:lang w:val="en-US"/>
        </w:rPr>
        <w:t>M</w:t>
      </w:r>
      <w:r>
        <w:rPr>
          <w:lang w:val="en-US"/>
        </w:rPr>
        <w:t xml:space="preserve"> = Material</w:t>
      </w:r>
    </w:p>
    <w:p>
      <w:pPr>
        <w:pStyle w:val="ListParagraph"/>
        <w:numPr>
          <w:ilvl w:val="1"/>
          <w:numId w:val="3"/>
        </w:numPr>
        <w:spacing w:beforeAutospacing="0" w:before="0" w:afterAutospacing="0" w:after="0"/>
        <w:contextualSpacing/>
        <w:jc w:val="both"/>
        <w:rPr>
          <w:lang w:val="en-US"/>
        </w:rPr>
      </w:pPr>
      <w:r>
        <w:rPr>
          <w:b/>
          <w:bCs/>
          <w:lang w:val="en-US"/>
        </w:rPr>
        <w:t>S</w:t>
      </w:r>
      <w:r>
        <w:rPr>
          <w:lang w:val="en-US"/>
        </w:rPr>
        <w:t xml:space="preserve"> = Service</w:t>
      </w:r>
    </w:p>
    <w:p>
      <w:pPr>
        <w:pStyle w:val="ListParagraph"/>
        <w:numPr>
          <w:ilvl w:val="1"/>
          <w:numId w:val="3"/>
        </w:numPr>
        <w:spacing w:beforeAutospacing="0" w:before="0" w:afterAutospacing="0" w:after="0"/>
        <w:contextualSpacing/>
        <w:jc w:val="both"/>
        <w:rPr>
          <w:lang w:val="en-US"/>
        </w:rPr>
      </w:pPr>
      <w:r>
        <w:rPr>
          <w:b/>
          <w:bCs/>
          <w:lang w:val="en-US"/>
        </w:rPr>
        <w:t>N</w:t>
      </w:r>
      <w:r>
        <w:rPr>
          <w:lang w:val="en-US"/>
        </w:rPr>
        <w:t xml:space="preserve"> = non-PO</w:t>
      </w:r>
    </w:p>
    <w:p>
      <w:pPr>
        <w:pStyle w:val="ListParagraph"/>
        <w:numPr>
          <w:ilvl w:val="0"/>
          <w:numId w:val="3"/>
        </w:numPr>
        <w:spacing w:beforeAutospacing="0" w:before="0" w:afterAutospacing="0" w:after="0"/>
        <w:contextualSpacing/>
        <w:jc w:val="both"/>
        <w:rPr>
          <w:lang w:val="en-US"/>
        </w:rPr>
      </w:pPr>
      <w:r>
        <w:rPr>
          <w:b/>
          <w:bCs/>
          <w:lang w:val="en-US"/>
        </w:rPr>
        <w:t>Source:</w:t>
      </w:r>
      <w:r>
        <w:rPr>
          <w:lang w:val="en-US"/>
        </w:rPr>
        <w:t xml:space="preserve"> Source of document digitization</w:t>
      </w:r>
    </w:p>
    <w:p>
      <w:pPr>
        <w:pStyle w:val="ListParagraph"/>
        <w:numPr>
          <w:ilvl w:val="0"/>
          <w:numId w:val="3"/>
        </w:numPr>
        <w:spacing w:beforeAutospacing="0" w:before="0" w:afterAutospacing="0" w:after="0"/>
        <w:contextualSpacing/>
        <w:jc w:val="both"/>
        <w:rPr>
          <w:lang w:val="en-US"/>
        </w:rPr>
      </w:pPr>
      <w:r>
        <w:rPr>
          <w:b/>
          <w:bCs/>
          <w:lang w:val="en-US"/>
        </w:rPr>
        <w:t>Sr. No:</w:t>
      </w:r>
      <w:r>
        <w:rPr>
          <w:lang w:val="en-US"/>
        </w:rPr>
        <w:t xml:space="preserve"> Serial number of the document</w:t>
      </w:r>
    </w:p>
    <w:p>
      <w:pPr>
        <w:pStyle w:val="ListParagraph"/>
        <w:numPr>
          <w:ilvl w:val="0"/>
          <w:numId w:val="3"/>
        </w:numPr>
        <w:spacing w:beforeAutospacing="0" w:before="0" w:afterAutospacing="0" w:after="0"/>
        <w:contextualSpacing/>
        <w:jc w:val="both"/>
        <w:rPr>
          <w:lang w:val="en-US"/>
        </w:rPr>
      </w:pPr>
      <w:r>
        <w:rPr>
          <w:b/>
          <w:bCs/>
          <w:lang w:val="en-US"/>
        </w:rPr>
        <w:t>Bucket:</w:t>
      </w:r>
      <w:r>
        <w:rPr>
          <w:lang w:val="en-US"/>
        </w:rPr>
        <w:t xml:space="preserve"> Bucket number where records are stored</w:t>
      </w:r>
    </w:p>
    <w:p>
      <w:pPr>
        <w:pStyle w:val="Normal"/>
        <w:jc w:val="both"/>
        <w:rPr/>
      </w:pPr>
      <w:r>
        <w:rPr/>
      </w:r>
    </w:p>
    <w:p>
      <w:pPr>
        <w:pStyle w:val="Heading2"/>
        <w:spacing w:beforeAutospacing="0" w:before="280" w:afterAutospacing="0" w:after="280"/>
        <w:jc w:val="both"/>
        <w:rPr/>
      </w:pPr>
      <w:r>
        <w:rPr>
          <w:b/>
          <w:bCs/>
          <w:sz w:val="33"/>
          <w:szCs w:val="33"/>
          <w:lang w:val="en-US"/>
        </w:rPr>
        <w:t>Manpower Requirements</w:t>
      </w:r>
    </w:p>
    <w:tbl>
      <w:tblPr>
        <w:tblStyle w:val="TableNormal"/>
        <w:tblW w:w="8651"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94"/>
        <w:gridCol w:w="2547"/>
        <w:gridCol w:w="3000"/>
        <w:gridCol w:w="1109"/>
      </w:tblGrid>
      <w:tr>
        <w:trPr>
          <w:trHeight w:val="300" w:hRule="atLeast"/>
        </w:trPr>
        <w:tc>
          <w:tcPr>
            <w:tcW w:w="1994"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Position</w:t>
            </w:r>
          </w:p>
        </w:tc>
        <w:tc>
          <w:tcPr>
            <w:tcW w:w="2547"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Qualification</w:t>
            </w:r>
          </w:p>
        </w:tc>
        <w:tc>
          <w:tcPr>
            <w:tcW w:w="300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Experience</w:t>
            </w:r>
          </w:p>
        </w:tc>
        <w:tc>
          <w:tcPr>
            <w:tcW w:w="1109"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Salary</w:t>
            </w:r>
          </w:p>
        </w:tc>
      </w:tr>
      <w:tr>
        <w:trPr>
          <w:trHeight w:val="300" w:hRule="atLeast"/>
        </w:trPr>
        <w:tc>
          <w:tcPr>
            <w:tcW w:w="1994"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Scanners</w:t>
            </w:r>
          </w:p>
        </w:tc>
        <w:tc>
          <w:tcPr>
            <w:tcW w:w="2547"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PGDCA, Master's Degree, B.Tech</w:t>
            </w:r>
          </w:p>
        </w:tc>
        <w:tc>
          <w:tcPr>
            <w:tcW w:w="300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1 year in digitization</w:t>
            </w:r>
          </w:p>
        </w:tc>
        <w:tc>
          <w:tcPr>
            <w:tcW w:w="1109"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w:t>
            </w:r>
            <w:r>
              <w:rPr>
                <w:rFonts w:eastAsia="" w:cs=""/>
                <w:kern w:val="0"/>
                <w:sz w:val="24"/>
                <w:szCs w:val="24"/>
                <w:lang w:val="en-US" w:eastAsia="ja-JP" w:bidi="ar-SA"/>
              </w:rPr>
              <w:t>20,000</w:t>
            </w:r>
          </w:p>
        </w:tc>
      </w:tr>
      <w:tr>
        <w:trPr>
          <w:trHeight w:val="300" w:hRule="atLeast"/>
        </w:trPr>
        <w:tc>
          <w:tcPr>
            <w:tcW w:w="1994"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Record Keeper</w:t>
            </w:r>
          </w:p>
        </w:tc>
        <w:tc>
          <w:tcPr>
            <w:tcW w:w="2547"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Same as Scanner</w:t>
            </w:r>
          </w:p>
        </w:tc>
        <w:tc>
          <w:tcPr>
            <w:tcW w:w="300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4 years as librarian/record keeper</w:t>
            </w:r>
          </w:p>
        </w:tc>
        <w:tc>
          <w:tcPr>
            <w:tcW w:w="1109"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w:t>
            </w:r>
            <w:r>
              <w:rPr>
                <w:rFonts w:eastAsia="" w:cs=""/>
                <w:kern w:val="0"/>
                <w:sz w:val="24"/>
                <w:szCs w:val="24"/>
                <w:lang w:val="en-US" w:eastAsia="ja-JP" w:bidi="ar-SA"/>
              </w:rPr>
              <w:t>25,000</w:t>
            </w:r>
          </w:p>
        </w:tc>
      </w:tr>
      <w:tr>
        <w:trPr>
          <w:trHeight w:val="645" w:hRule="atLeast"/>
        </w:trPr>
        <w:tc>
          <w:tcPr>
            <w:tcW w:w="1994"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b/>
                <w:bCs/>
                <w:kern w:val="0"/>
                <w:sz w:val="24"/>
                <w:szCs w:val="24"/>
                <w:lang w:val="en-US" w:eastAsia="ja-JP" w:bidi="ar-SA"/>
              </w:rPr>
              <w:t>Coordinator</w:t>
            </w:r>
          </w:p>
        </w:tc>
        <w:tc>
          <w:tcPr>
            <w:tcW w:w="2547"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B. Tech</w:t>
            </w:r>
          </w:p>
        </w:tc>
        <w:tc>
          <w:tcPr>
            <w:tcW w:w="3000"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Minimum 4 years</w:t>
            </w:r>
          </w:p>
        </w:tc>
        <w:tc>
          <w:tcPr>
            <w:tcW w:w="1109" w:type="dxa"/>
            <w:tcBorders>
              <w:top w:val="single" w:sz="12" w:space="0" w:color="000000"/>
              <w:left w:val="single" w:sz="12" w:space="0" w:color="000000"/>
              <w:bottom w:val="single" w:sz="12" w:space="0" w:color="000000"/>
              <w:right w:val="single" w:sz="12" w:space="0" w:color="000000"/>
            </w:tcBorders>
            <w:shd w:color="auto" w:fill="FFFFFF" w:themeFill="background1" w:val="clear"/>
            <w:vAlign w:val="center"/>
          </w:tcPr>
          <w:p>
            <w:pPr>
              <w:pStyle w:val="Normal"/>
              <w:widowControl/>
              <w:spacing w:lineRule="auto" w:line="278" w:beforeAutospacing="0" w:before="0" w:afterAutospacing="0" w:after="0"/>
              <w:jc w:val="both"/>
              <w:rPr>
                <w:rFonts w:ascii="Aptos" w:hAnsi="Aptos" w:eastAsia="" w:cs=""/>
                <w:kern w:val="0"/>
                <w:sz w:val="24"/>
                <w:szCs w:val="24"/>
                <w:lang w:val="en-US" w:eastAsia="ja-JP" w:bidi="ar-SA"/>
              </w:rPr>
            </w:pPr>
            <w:r>
              <w:rPr>
                <w:rFonts w:eastAsia="" w:cs=""/>
                <w:kern w:val="0"/>
                <w:sz w:val="24"/>
                <w:szCs w:val="24"/>
                <w:lang w:val="en-US" w:eastAsia="ja-JP" w:bidi="ar-SA"/>
              </w:rPr>
              <w:t>---</w:t>
            </w:r>
          </w:p>
        </w:tc>
      </w:tr>
    </w:tbl>
    <w:p>
      <w:pPr>
        <w:pStyle w:val="Heading3"/>
        <w:spacing w:beforeAutospacing="0" w:before="263" w:afterAutospacing="0" w:after="263"/>
        <w:jc w:val="both"/>
        <w:rPr/>
      </w:pPr>
      <w:r>
        <w:rPr>
          <w:b/>
          <w:bCs/>
          <w:sz w:val="26"/>
          <w:szCs w:val="26"/>
          <w:lang w:val="en-US"/>
        </w:rPr>
        <w:t>Scanning Locations</w:t>
      </w:r>
    </w:p>
    <w:p>
      <w:pPr>
        <w:pStyle w:val="ListParagraph"/>
        <w:numPr>
          <w:ilvl w:val="0"/>
          <w:numId w:val="2"/>
        </w:numPr>
        <w:spacing w:beforeAutospacing="0" w:before="0" w:afterAutospacing="0" w:after="0"/>
        <w:contextualSpacing/>
        <w:jc w:val="both"/>
        <w:rPr>
          <w:b/>
          <w:bCs/>
          <w:lang w:val="en-US"/>
        </w:rPr>
      </w:pPr>
      <w:r>
        <w:rPr>
          <w:b/>
          <w:bCs/>
          <w:lang w:val="en-US"/>
        </w:rPr>
        <w:t>Gate-4</w:t>
      </w:r>
    </w:p>
    <w:p>
      <w:pPr>
        <w:pStyle w:val="ListParagraph"/>
        <w:numPr>
          <w:ilvl w:val="0"/>
          <w:numId w:val="2"/>
        </w:numPr>
        <w:spacing w:beforeAutospacing="0" w:before="0" w:afterAutospacing="0" w:after="0"/>
        <w:contextualSpacing/>
        <w:jc w:val="both"/>
        <w:rPr>
          <w:b/>
          <w:bCs/>
          <w:lang w:val="en-US"/>
        </w:rPr>
      </w:pPr>
      <w:r>
        <w:rPr>
          <w:b/>
          <w:bCs/>
          <w:lang w:val="en-US"/>
        </w:rPr>
        <w:t>Gate-1</w:t>
      </w:r>
    </w:p>
    <w:p>
      <w:pPr>
        <w:pStyle w:val="ListParagraph"/>
        <w:numPr>
          <w:ilvl w:val="0"/>
          <w:numId w:val="2"/>
        </w:numPr>
        <w:spacing w:beforeAutospacing="0" w:before="0" w:afterAutospacing="0" w:after="0"/>
        <w:contextualSpacing/>
        <w:jc w:val="both"/>
        <w:rPr>
          <w:b/>
          <w:bCs/>
          <w:lang w:val="en-US"/>
        </w:rPr>
      </w:pPr>
      <w:r>
        <w:rPr>
          <w:b/>
          <w:bCs/>
          <w:lang w:val="en-US"/>
        </w:rPr>
        <w:t>Project Building</w:t>
      </w:r>
    </w:p>
    <w:p>
      <w:pPr>
        <w:pStyle w:val="Heading3"/>
        <w:spacing w:beforeAutospacing="0" w:before="263" w:afterAutospacing="0" w:after="263"/>
        <w:jc w:val="both"/>
        <w:rPr/>
      </w:pPr>
      <w:r>
        <w:rPr>
          <w:b/>
          <w:bCs/>
          <w:sz w:val="26"/>
          <w:szCs w:val="26"/>
          <w:lang w:val="en-US"/>
        </w:rPr>
        <w:t>Resource Requirements</w:t>
      </w:r>
    </w:p>
    <w:p>
      <w:pPr>
        <w:pStyle w:val="ListParagraph"/>
        <w:numPr>
          <w:ilvl w:val="0"/>
          <w:numId w:val="1"/>
        </w:numPr>
        <w:spacing w:beforeAutospacing="0" w:before="0" w:afterAutospacing="0" w:after="0"/>
        <w:contextualSpacing/>
        <w:jc w:val="both"/>
        <w:rPr>
          <w:lang w:val="en-US"/>
        </w:rPr>
      </w:pPr>
      <w:r>
        <w:rPr>
          <w:b/>
          <w:bCs/>
          <w:lang w:val="en-US"/>
        </w:rPr>
        <w:t>Total Scanners Needed:</w:t>
      </w:r>
      <w:r>
        <w:rPr>
          <w:lang w:val="en-US"/>
        </w:rPr>
        <w:t xml:space="preserve"> 6</w:t>
      </w:r>
    </w:p>
    <w:p>
      <w:pPr>
        <w:pStyle w:val="ListParagraph"/>
        <w:numPr>
          <w:ilvl w:val="0"/>
          <w:numId w:val="1"/>
        </w:numPr>
        <w:spacing w:beforeAutospacing="0" w:before="0" w:afterAutospacing="0" w:after="0"/>
        <w:contextualSpacing/>
        <w:jc w:val="both"/>
        <w:rPr>
          <w:lang w:val="en-US"/>
        </w:rPr>
      </w:pPr>
      <w:r>
        <w:rPr>
          <w:b/>
          <w:bCs/>
          <w:lang w:val="en-US"/>
        </w:rPr>
        <w:t>Bar code Printers Required:</w:t>
      </w:r>
      <w:r>
        <w:rPr>
          <w:lang w:val="en-US"/>
        </w:rPr>
        <w:t xml:space="preserve"> 6</w:t>
      </w:r>
    </w:p>
    <w:p>
      <w:pPr>
        <w:pStyle w:val="ListParagraph"/>
        <w:numPr>
          <w:ilvl w:val="0"/>
          <w:numId w:val="1"/>
        </w:numPr>
        <w:spacing w:beforeAutospacing="0" w:before="0" w:afterAutospacing="0" w:after="0"/>
        <w:contextualSpacing/>
        <w:jc w:val="both"/>
        <w:rPr>
          <w:lang w:val="en-US"/>
        </w:rPr>
      </w:pPr>
      <w:r>
        <w:rPr>
          <w:b/>
          <w:bCs/>
          <w:lang w:val="en-US"/>
        </w:rPr>
        <w:t>Total Personnel Needed:</w:t>
      </w:r>
      <w:r>
        <w:rPr>
          <w:lang w:val="en-US"/>
        </w:rPr>
        <w:t xml:space="preserve"> 13</w:t>
      </w:r>
    </w:p>
    <w:p>
      <w:pPr>
        <w:pStyle w:val="Normal"/>
        <w:spacing w:before="0" w:after="160"/>
        <w:jc w:val="both"/>
        <w:rPr>
          <w:lang w:val="en-US"/>
        </w:rPr>
      </w:pPr>
      <w:r>
        <w:rPr/>
        <w:drawing>
          <wp:inline distT="0" distB="0" distL="0" distR="0">
            <wp:extent cx="5943600" cy="3114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11467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LibreOffice/24.2.0.3$Windows_X86_64 LibreOffice_project/da48488a73ddd66ea24cf16bbc4f7b9c08e9bea1</Application>
  <AppVersion>15.0000</AppVersion>
  <Pages>6</Pages>
  <Words>485</Words>
  <Characters>2662</Characters>
  <CharactersWithSpaces>3089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2024-11-06T05:47:57Z</dcterms:created>
  <dc:creator>prateek shukla</dc:creator>
  <dc:description/>
  <dc:language>en-IN</dc:language>
  <cp:lastModifiedBy/>
  <dcterms:modified xsi:type="dcterms:W3CDTF">2024-11-06T15:37:58Z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