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80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97706" w:sz="6"/>
              <w:left w:val="single" w:color="D97706" w:sz="6"/>
              <w:bottom w:val="single" w:color="D97706" w:sz="6"/>
              <w:right w:val="single" w:color="D97706" w:sz="6"/>
            </w:tcBorders>
            <w:shd w:fill="1A3F6F" w:val="clear"/>
            <w:tcMar>
              <w:top w:type="dxa" w:w="200"/>
              <w:left w:type="dxa" w:w="300"/>
              <w:bottom w:type="dxa" w:w="200"/>
              <w:right w:type="dxa" w:w="300"/>
            </w:tcMar>
          </w:tcPr>
          <w:p>
            <w:pPr>
              <w:spacing w:after="80" w:before="0"/>
              <w:jc w:val="center"/>
            </w:pPr>
            <w:r>
              <w:rPr>
                <w:rFonts w:ascii="Times New Roman" w:cs="Times New Roman" w:eastAsia="Times New Roman" w:hAnsi="Times New Roman"/>
                <w:b/>
                <w:bCs/>
                <w:color w:val="FFFFFF"/>
                <w:sz w:val="22"/>
                <w:szCs w:val="22"/>
              </w:rPr>
              <w:t xml:space="preserve">"ENTRY TO THE STOCKHOLM JUNIOR WATER PRIZE INDIA 2026"</w:t>
            </w:r>
          </w:p>
          <w:p>
            <w:pPr>
              <w:spacing w:after="0" w:before="0"/>
              <w:jc w:val="center"/>
            </w:pPr>
            <w:r>
              <w:rPr>
                <w:rFonts w:ascii="Times New Roman" w:cs="Times New Roman" w:eastAsia="Times New Roman" w:hAnsi="Times New Roman"/>
                <w:color w:val="D97706"/>
                <w:sz w:val="20"/>
                <w:szCs w:val="20"/>
              </w:rPr>
              <w:t xml:space="preserve">Computational &amp; Theoretical Research Paper</w:t>
            </w:r>
          </w:p>
        </w:tc>
      </w:tr>
    </w:tbl>
    <w:p>
      <w:pPr>
        <w:keepNext w:val="false"/>
        <w:keepLines w:val="false"/>
        <w:spacing w:after="400" w:before="0" w:line="360"/>
        <w:jc w:val="both"/>
      </w:pPr>
      <w:r>
        <w:rPr>
          <w:rFonts w:ascii="Times New Roman" w:cs="Times New Roman" w:eastAsia="Times New Roman" w:hAnsi="Times New Roman"/>
          <w:b w:val="false"/>
          <w:bCs w:val="false"/>
          <w:color w:val="1E293B"/>
          <w:sz w:val="24"/>
          <w:szCs w:val="24"/>
        </w:rPr>
        <w:t xml:space="preserve"/>
      </w:r>
    </w:p>
    <w:p>
      <w:pPr>
        <w:spacing w:after="100" w:before="0"/>
        <w:jc w:val="center"/>
      </w:pPr>
      <w:r>
        <w:rPr>
          <w:rFonts w:ascii="Times New Roman" w:cs="Times New Roman" w:eastAsia="Times New Roman" w:hAnsi="Times New Roman"/>
          <w:b/>
          <w:bCs/>
          <w:color w:val="1A3F6F"/>
          <w:spacing w:val="60"/>
          <w:sz w:val="72"/>
          <w:szCs w:val="72"/>
        </w:rPr>
        <w:t xml:space="preserve">AQUANEURON</w:t>
      </w:r>
    </w:p>
    <w:p>
      <w:pPr>
        <w:spacing w:after="200" w:before="0"/>
        <w:jc w:val="center"/>
      </w:pPr>
      <w:r>
        <w:rPr>
          <w:rFonts w:ascii="Times New Roman" w:cs="Times New Roman" w:eastAsia="Times New Roman" w:hAnsi="Times New Roman"/>
          <w:b/>
          <w:bCs/>
          <w:color w:val="2E75B6"/>
          <w:sz w:val="28"/>
          <w:szCs w:val="28"/>
        </w:rPr>
        <w:t xml:space="preserve">A Graphene Oxide Aptamer Nanosensor Array with Edge AI
for Simultaneous Multi-Contaminant Detection in Rural Indian Groundwater</w:t>
      </w:r>
    </w:p>
    <w:p>
      <w:pPr>
        <w:keepNext w:val="false"/>
        <w:keepLines w:val="false"/>
        <w:spacing w:after="50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1A3F6F" w:sz="6"/>
              <w:left w:val="single" w:color="1A3F6F" w:sz="6"/>
              <w:bottom w:val="single" w:color="1A3F6F" w:sz="6"/>
              <w:right w:val="single" w:color="1A3F6F" w:sz="6"/>
            </w:tcBorders>
            <w:shd w:fill="1A3F6F" w:val="clear"/>
            <w:tcMar>
              <w:top w:type="dxa" w:w="140"/>
              <w:left w:type="dxa" w:w="140"/>
              <w:bottom w:type="dxa" w:w="140"/>
              <w:right w:type="dxa" w:w="140"/>
            </w:tcMar>
          </w:tcPr>
          <w:p>
            <w:pPr>
              <w:spacing w:after="60" w:before="0"/>
              <w:jc w:val="center"/>
            </w:pPr>
            <w:r>
              <w:rPr>
                <w:rFonts w:ascii="Times New Roman" w:cs="Times New Roman" w:eastAsia="Times New Roman" w:hAnsi="Times New Roman"/>
                <w:b/>
                <w:bCs/>
                <w:color w:val="FFFFFF"/>
                <w:sz w:val="22"/>
                <w:szCs w:val="22"/>
              </w:rPr>
              <w:t xml:space="preserve">Prateek Tiwari</w:t>
            </w:r>
          </w:p>
          <w:p>
            <w:pPr>
              <w:spacing w:after="40" w:before="0"/>
              <w:jc w:val="center"/>
            </w:pPr>
            <w:r>
              <w:rPr>
                <w:rFonts w:ascii="Times New Roman" w:cs="Times New Roman" w:eastAsia="Times New Roman" w:hAnsi="Times New Roman"/>
                <w:color w:val="E2E8F0"/>
                <w:sz w:val="18"/>
                <w:szCs w:val="18"/>
              </w:rPr>
              <w:t xml:space="preserve">Army Public School</w:t>
            </w:r>
            <w:r>
              <w:rPr>
                <w:rFonts w:ascii="Times New Roman" w:cs="Times New Roman" w:eastAsia="Times New Roman" w:hAnsi="Times New Roman"/>
                <w:color w:val="E2E8F0"/>
                <w:sz w:val="18"/>
                <w:szCs w:val="18"/>
              </w:rPr>
              <w:br/>
              <w:t xml:space="preserve">Sardar Patel Marg, Delhi</w:t>
            </w:r>
          </w:p>
          <w:p>
            <w:pPr>
              <w:spacing w:after="0" w:before="0"/>
              <w:jc w:val="center"/>
            </w:pPr>
            <w:r>
              <w:rPr>
                <w:rFonts w:ascii="Times New Roman" w:cs="Times New Roman" w:eastAsia="Times New Roman" w:hAnsi="Times New Roman"/>
                <w:color w:val="D97706"/>
                <w:sz w:val="18"/>
                <w:szCs w:val="18"/>
              </w:rPr>
              <w:t xml:space="preserve">Uttar Pradesh</w:t>
            </w:r>
          </w:p>
        </w:tc>
        <w:tc>
          <w:tcPr>
            <w:tcW w:type="dxa" w:w="2300"/>
            <w:tcBorders>
              <w:top w:val="single" w:color="2E75B6" w:sz="6"/>
              <w:left w:val="single" w:color="2E75B6" w:sz="6"/>
              <w:bottom w:val="single" w:color="2E75B6" w:sz="6"/>
              <w:right w:val="single" w:color="2E75B6" w:sz="6"/>
            </w:tcBorders>
            <w:shd w:fill="2E75B6" w:val="clear"/>
            <w:tcMar>
              <w:top w:type="dxa" w:w="140"/>
              <w:left w:type="dxa" w:w="140"/>
              <w:bottom w:type="dxa" w:w="140"/>
              <w:right w:type="dxa" w:w="140"/>
            </w:tcMar>
          </w:tcPr>
          <w:p>
            <w:pPr>
              <w:spacing w:after="60" w:before="0"/>
              <w:jc w:val="center"/>
            </w:pPr>
            <w:r>
              <w:rPr>
                <w:rFonts w:ascii="Times New Roman" w:cs="Times New Roman" w:eastAsia="Times New Roman" w:hAnsi="Times New Roman"/>
                <w:b/>
                <w:bCs/>
                <w:color w:val="FFFFFF"/>
                <w:sz w:val="22"/>
                <w:szCs w:val="22"/>
              </w:rPr>
              <w:t xml:space="preserve">Raghav Khandelia</w:t>
            </w:r>
          </w:p>
          <w:p>
            <w:pPr>
              <w:spacing w:after="40" w:before="0"/>
              <w:jc w:val="center"/>
            </w:pPr>
            <w:r>
              <w:rPr>
                <w:rFonts w:ascii="Times New Roman" w:cs="Times New Roman" w:eastAsia="Times New Roman" w:hAnsi="Times New Roman"/>
                <w:color w:val="E2E8F0"/>
                <w:sz w:val="18"/>
                <w:szCs w:val="18"/>
              </w:rPr>
              <w:t xml:space="preserve">Shree L.R. Tiwari JC</w:t>
            </w:r>
            <w:r>
              <w:rPr>
                <w:rFonts w:ascii="Times New Roman" w:cs="Times New Roman" w:eastAsia="Times New Roman" w:hAnsi="Times New Roman"/>
                <w:color w:val="E2E8F0"/>
                <w:sz w:val="18"/>
                <w:szCs w:val="18"/>
              </w:rPr>
              <w:br/>
              <w:t xml:space="preserve">Mumbai, Maharashtra</w:t>
            </w:r>
          </w:p>
          <w:p>
            <w:pPr>
              <w:spacing w:after="0" w:before="0"/>
              <w:jc w:val="center"/>
            </w:pPr>
            <w:r>
              <w:rPr>
                <w:rFonts w:ascii="Times New Roman" w:cs="Times New Roman" w:eastAsia="Times New Roman" w:hAnsi="Times New Roman"/>
                <w:color w:val="D97706"/>
                <w:sz w:val="18"/>
                <w:szCs w:val="18"/>
              </w:rPr>
              <w:t xml:space="preserve">Maharashtra</w:t>
            </w:r>
          </w:p>
        </w:tc>
        <w:tc>
          <w:tcPr>
            <w:tcW w:type="dxa" w:w="2300"/>
            <w:tcBorders>
              <w:top w:val="single" w:color="0D9488" w:sz="6"/>
              <w:left w:val="single" w:color="0D9488" w:sz="6"/>
              <w:bottom w:val="single" w:color="0D9488" w:sz="6"/>
              <w:right w:val="single" w:color="0D9488" w:sz="6"/>
            </w:tcBorders>
            <w:shd w:fill="0D9488" w:val="clear"/>
            <w:tcMar>
              <w:top w:type="dxa" w:w="140"/>
              <w:left w:type="dxa" w:w="140"/>
              <w:bottom w:type="dxa" w:w="140"/>
              <w:right w:type="dxa" w:w="140"/>
            </w:tcMar>
          </w:tcPr>
          <w:p>
            <w:pPr>
              <w:spacing w:after="60" w:before="0"/>
              <w:jc w:val="center"/>
            </w:pPr>
            <w:r>
              <w:rPr>
                <w:rFonts w:ascii="Times New Roman" w:cs="Times New Roman" w:eastAsia="Times New Roman" w:hAnsi="Times New Roman"/>
                <w:b/>
                <w:bCs/>
                <w:color w:val="FFFFFF"/>
                <w:sz w:val="22"/>
                <w:szCs w:val="22"/>
              </w:rPr>
              <w:t xml:space="preserve">Aroush Muglikar</w:t>
            </w:r>
          </w:p>
          <w:p>
            <w:pPr>
              <w:spacing w:after="40" w:before="0"/>
              <w:jc w:val="center"/>
            </w:pPr>
            <w:r>
              <w:rPr>
                <w:rFonts w:ascii="Times New Roman" w:cs="Times New Roman" w:eastAsia="Times New Roman" w:hAnsi="Times New Roman"/>
                <w:color w:val="E2E8F0"/>
                <w:sz w:val="18"/>
                <w:szCs w:val="18"/>
              </w:rPr>
              <w:t xml:space="preserve">Aditya English</w:t>
            </w:r>
            <w:r>
              <w:rPr>
                <w:rFonts w:ascii="Times New Roman" w:cs="Times New Roman" w:eastAsia="Times New Roman" w:hAnsi="Times New Roman"/>
                <w:color w:val="E2E8F0"/>
                <w:sz w:val="18"/>
                <w:szCs w:val="18"/>
              </w:rPr>
              <w:br/>
              <w:t xml:space="preserve">Medium School</w:t>
            </w:r>
          </w:p>
          <w:p>
            <w:pPr>
              <w:spacing w:after="0" w:before="0"/>
              <w:jc w:val="center"/>
            </w:pPr>
            <w:r>
              <w:rPr>
                <w:rFonts w:ascii="Times New Roman" w:cs="Times New Roman" w:eastAsia="Times New Roman" w:hAnsi="Times New Roman"/>
                <w:color w:val="D97706"/>
                <w:sz w:val="18"/>
                <w:szCs w:val="18"/>
              </w:rPr>
              <w:t xml:space="preserve">Maharashtra</w:t>
            </w:r>
          </w:p>
        </w:tc>
        <w:tc>
          <w:tcPr>
            <w:tcW w:type="dxa" w:w="2300"/>
            <w:tcBorders>
              <w:top w:val="single" w:color="7C3AED" w:sz="6"/>
              <w:left w:val="single" w:color="7C3AED" w:sz="6"/>
              <w:bottom w:val="single" w:color="7C3AED" w:sz="6"/>
              <w:right w:val="single" w:color="7C3AED" w:sz="6"/>
            </w:tcBorders>
            <w:shd w:fill="7C3AED" w:val="clear"/>
            <w:tcMar>
              <w:top w:type="dxa" w:w="140"/>
              <w:left w:type="dxa" w:w="140"/>
              <w:bottom w:type="dxa" w:w="140"/>
              <w:right w:type="dxa" w:w="140"/>
            </w:tcMar>
          </w:tcPr>
          <w:p>
            <w:pPr>
              <w:spacing w:after="60" w:before="0"/>
              <w:jc w:val="center"/>
            </w:pPr>
            <w:r>
              <w:rPr>
                <w:rFonts w:ascii="Times New Roman" w:cs="Times New Roman" w:eastAsia="Times New Roman" w:hAnsi="Times New Roman"/>
                <w:b/>
                <w:bCs/>
                <w:color w:val="FFFFFF"/>
                <w:sz w:val="22"/>
                <w:szCs w:val="22"/>
              </w:rPr>
              <w:t xml:space="preserve">Shreyas Roy</w:t>
            </w:r>
          </w:p>
          <w:p>
            <w:pPr>
              <w:spacing w:after="40" w:before="0"/>
              <w:jc w:val="center"/>
            </w:pPr>
            <w:r>
              <w:rPr>
                <w:rFonts w:ascii="Times New Roman" w:cs="Times New Roman" w:eastAsia="Times New Roman" w:hAnsi="Times New Roman"/>
                <w:color w:val="E2E8F0"/>
                <w:sz w:val="18"/>
                <w:szCs w:val="18"/>
              </w:rPr>
              <w:t xml:space="preserve">KV IIT Kharagpur</w:t>
            </w:r>
            <w:r>
              <w:rPr>
                <w:rFonts w:ascii="Times New Roman" w:cs="Times New Roman" w:eastAsia="Times New Roman" w:hAnsi="Times New Roman"/>
                <w:color w:val="E2E8F0"/>
                <w:sz w:val="18"/>
                <w:szCs w:val="18"/>
              </w:rPr>
              <w:br/>
              <w:t xml:space="preserve">West Bengal</w:t>
            </w:r>
          </w:p>
          <w:p>
            <w:pPr>
              <w:spacing w:after="0" w:before="0"/>
              <w:jc w:val="center"/>
            </w:pPr>
            <w:r>
              <w:rPr>
                <w:rFonts w:ascii="Times New Roman" w:cs="Times New Roman" w:eastAsia="Times New Roman" w:hAnsi="Times New Roman"/>
                <w:color w:val="D97706"/>
                <w:sz w:val="18"/>
                <w:szCs w:val="18"/>
              </w:rPr>
              <w:t xml:space="preserve">West Bengal</w:t>
            </w:r>
          </w:p>
        </w:tc>
      </w:tr>
    </w:tbl>
    <w:p>
      <w:pPr>
        <w:keepNext w:val="false"/>
        <w:keepLines w:val="false"/>
        <w:spacing w:after="600" w:before="0" w:line="360"/>
        <w:jc w:val="both"/>
      </w:pPr>
      <w:r>
        <w:rPr>
          <w:rFonts w:ascii="Times New Roman" w:cs="Times New Roman" w:eastAsia="Times New Roman" w:hAnsi="Times New Roman"/>
          <w:b w:val="false"/>
          <w:bCs w:val="false"/>
          <w:color w:val="1E293B"/>
          <w:sz w:val="24"/>
          <w:szCs w:val="24"/>
        </w:rPr>
        <w:t xml:space="preserve"/>
      </w:r>
    </w:p>
    <w:p>
      <w:pPr>
        <w:spacing w:after="0" w:before="0"/>
        <w:jc w:val="center"/>
      </w:pPr>
      <w:r>
        <w:rPr>
          <w:rFonts w:ascii="Times New Roman" w:cs="Times New Roman" w:eastAsia="Times New Roman" w:hAnsi="Times New Roman"/>
          <w:color w:val="64748B"/>
          <w:sz w:val="20"/>
          <w:szCs w:val="20"/>
        </w:rPr>
        <w:t xml:space="preserve">Year: 2026  |  github.com/prateektiwariii/AquaNeuron</w:t>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Abstract</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A3F6F" w:sz="6"/>
              <w:left w:val="single" w:color="1A3F6F" w:sz="6"/>
              <w:bottom w:val="single" w:color="1A3F6F" w:sz="6"/>
              <w:right w:val="single" w:color="1A3F6F" w:sz="6"/>
            </w:tcBorders>
            <w:shd w:fill="EFF6FF" w:val="clear"/>
            <w:tcMar>
              <w:top w:type="dxa" w:w="200"/>
              <w:left w:type="dxa" w:w="280"/>
              <w:bottom w:type="dxa" w:w="200"/>
              <w:right w:type="dxa" w:w="280"/>
            </w:tcMar>
          </w:tcPr>
          <w:p>
            <w:pPr>
              <w:spacing w:after="120" w:before="0" w:line="360"/>
              <w:jc w:val="both"/>
            </w:pPr>
            <w:r>
              <w:rPr>
                <w:rFonts w:ascii="Times New Roman" w:cs="Times New Roman" w:eastAsia="Times New Roman" w:hAnsi="Times New Roman"/>
                <w:b/>
                <w:bCs/>
                <w:color w:val="1A3F6F"/>
                <w:sz w:val="22"/>
                <w:szCs w:val="22"/>
              </w:rPr>
              <w:t xml:space="preserve">Keywords: </w:t>
            </w:r>
            <w:r>
              <w:rPr>
                <w:rFonts w:ascii="Times New Roman" w:cs="Times New Roman" w:eastAsia="Times New Roman" w:hAnsi="Times New Roman"/>
                <w:color w:val="64748B"/>
                <w:sz w:val="21"/>
                <w:szCs w:val="21"/>
              </w:rPr>
              <w:t xml:space="preserve">Graphene oxide · DNA aptamer · nanosensor · groundwater contamination · arsenic · fluoride · lead · edge AI · random forest · IoT · Langmuir isotherm · EIS · Monte Carlo</w:t>
            </w:r>
          </w:p>
          <w:p>
            <w:pPr>
              <w:spacing w:after="0" w:before="60" w:line="360"/>
              <w:jc w:val="both"/>
            </w:pPr>
            <w:r>
              <w:rPr>
                <w:rFonts w:ascii="Times New Roman" w:cs="Times New Roman" w:eastAsia="Times New Roman" w:hAnsi="Times New Roman"/>
                <w:color w:val="1E293B"/>
                <w:sz w:val="22"/>
                <w:szCs w:val="22"/>
              </w:rPr>
              <w:t xml:space="preserve">AquaNeuron is a graphene oxide aptamer nanosensor array with integrated edge AI for simultaneous detection of arsenic, fluoride, and lead in groundwater. Computational Langmuir isotherm modelling, electrochemical impedance spectroscopy simulation, Monte Carlo LOD propagation, and Random Forest classification demonstrate detection limits below WHO standards with &gt;97% classification accuracy. The system enables ultra-low-cost field deployment for rural Indian water monitoring.</w:t>
            </w:r>
          </w:p>
        </w:tc>
      </w:tr>
    </w:tbl>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F6F" w:sz="6"/>
              <w:left w:val="single" w:color="1A3F6F" w:sz="6"/>
              <w:bottom w:val="single" w:color="1A3F6F" w:sz="6"/>
              <w:right w:val="single" w:color="1A3F6F" w:sz="6"/>
            </w:tcBorders>
            <w:shd w:fill="EFF6FF" w:val="clear"/>
            <w:tcMar>
              <w:top w:type="dxa" w:w="140"/>
              <w:left w:type="dxa" w:w="200"/>
              <w:bottom w:type="dxa" w:w="140"/>
              <w:right w:type="dxa" w:w="200"/>
            </w:tcMar>
          </w:tcPr>
          <w:p>
            <w:pPr>
              <w:spacing w:after="80" w:before="0"/>
            </w:pPr>
            <w:r>
              <w:rPr>
                <w:rFonts w:ascii="Times New Roman" w:cs="Times New Roman" w:eastAsia="Times New Roman" w:hAnsi="Times New Roman"/>
                <w:b/>
                <w:bCs/>
                <w:color w:val="1A3F6F"/>
                <w:sz w:val="20"/>
                <w:szCs w:val="20"/>
              </w:rPr>
              <w:t xml:space="preserve">Table of Contents</w:t>
            </w:r>
          </w:p>
          <w:p>
            <w:pPr>
              <w:spacing w:after="0" w:before="0"/>
              <w:jc w:val="both"/>
            </w:pPr>
            <w:r>
              <w:rPr>
                <w:rFonts w:ascii="Times New Roman" w:cs="Times New Roman" w:eastAsia="Times New Roman" w:hAnsi="Times New Roman"/>
                <w:color w:val="1E293B"/>
                <w:sz w:val="21"/>
                <w:szCs w:val="21"/>
              </w:rPr>
              <w:t xml:space="preserve">Abstract (p.1)  ·  Keywords &amp; Abbreviations (p.2)  ·  Acknowledgements &amp; Biography (p.3)  ·  1. Introduction (p.4)  ·  2. Materials &amp; Methods (p.6)  ·  3. Results (p.9)  ·  4. Discussion (p.13)  ·  5. Conclusions (p.15)  ·  6. References (p.16)</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Abbreviations and Acronyms</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800"/>
      </w:tblGrid>
      <w:tr>
        <w:tc>
          <w:tcPr>
            <w:tcW w:type="dxa" w:w="18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Abbreviation</w:t>
            </w:r>
          </w:p>
        </w:tc>
        <w:tc>
          <w:tcPr>
            <w:tcW w:type="dxa" w:w="28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Full Form</w:t>
            </w:r>
          </w:p>
        </w:tc>
        <w:tc>
          <w:tcPr>
            <w:tcW w:type="dxa" w:w="18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Abbreviation</w:t>
            </w:r>
          </w:p>
        </w:tc>
        <w:tc>
          <w:tcPr>
            <w:tcW w:type="dxa" w:w="28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Full Form</w:t>
            </w:r>
          </w:p>
        </w:tc>
      </w:tr>
      <w:tr>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ADC</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Analog-to-Digital Converter</w:t>
            </w:r>
          </w:p>
        </w:tc>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LOD</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Limit of Detection</w:t>
            </w:r>
          </w:p>
        </w:tc>
      </w:tr>
      <w:tr>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AI</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Artificial Intelligence</w:t>
            </w:r>
          </w:p>
        </w:tc>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LoRa</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Long Range (wireless)</w:t>
            </w:r>
          </w:p>
        </w:tc>
      </w:tr>
      <w:tr>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AAS</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Atomic Absorption Spectroscopy</w:t>
            </w:r>
          </w:p>
        </w:tc>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MCU</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Microcontroller Unit</w:t>
            </w:r>
          </w:p>
        </w:tc>
      </w:tr>
      <w:tr>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AUC</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Area Under the ROC Curve</w:t>
            </w:r>
          </w:p>
        </w:tc>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MDI</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Mean Decrease in Impurity</w:t>
            </w:r>
          </w:p>
        </w:tc>
      </w:tr>
      <w:tr>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CGWB</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Central Ground Water Board</w:t>
            </w:r>
          </w:p>
        </w:tc>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NHS</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N-Hydroxysuccinimide</w:t>
            </w:r>
          </w:p>
        </w:tc>
      </w:tr>
      <w:tr>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CV</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Cross-Validation</w:t>
            </w:r>
          </w:p>
        </w:tc>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ppb</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Parts Per Billion (µg/L)</w:t>
            </w:r>
          </w:p>
        </w:tc>
      </w:tr>
      <w:tr>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DI</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Deionized Water</w:t>
            </w:r>
          </w:p>
        </w:tc>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RF</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Random Forest</w:t>
            </w:r>
          </w:p>
        </w:tc>
      </w:tr>
      <w:tr>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EDC</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1-Ethyl-3-(3-dimethylaminopropyl)carbodiimide</w:t>
            </w:r>
          </w:p>
        </w:tc>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rGO</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Reduced Graphene Oxide</w:t>
            </w:r>
          </w:p>
        </w:tc>
      </w:tr>
      <w:tr>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EIS</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Electrochemical Impedance Spectroscopy</w:t>
            </w:r>
          </w:p>
        </w:tc>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SELEX</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Systematic Evolution of Ligands by Exp. Enrichment</w:t>
            </w:r>
          </w:p>
        </w:tc>
      </w:tr>
      <w:tr>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GO</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Graphene Oxide</w:t>
            </w:r>
          </w:p>
        </w:tc>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t-SNE</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t-Distributed Stochastic Neighbour Embedding</w:t>
            </w:r>
          </w:p>
        </w:tc>
      </w:tr>
      <w:tr>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ICP-MS</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Inductively Coupled Plasma Mass Spectrometry</w:t>
            </w:r>
          </w:p>
        </w:tc>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TDS</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Total Dissolved Solids</w:t>
            </w:r>
          </w:p>
        </w:tc>
      </w:tr>
      <w:tr>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IDE</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Interdigitated Electrode</w:t>
            </w:r>
          </w:p>
        </w:tc>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WHO</w:t>
            </w:r>
          </w:p>
        </w:tc>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World Health Organization</w:t>
            </w:r>
          </w:p>
        </w:tc>
      </w:tr>
      <w:tr>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IoT</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Internet of Things</w:t>
            </w:r>
          </w:p>
        </w:tc>
        <w:tc>
          <w:tcPr>
            <w:tcW w:type="dxa" w:w="1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XRD</w:t>
            </w:r>
          </w:p>
        </w:tc>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X-Ray Diffraction</w:t>
            </w:r>
          </w:p>
        </w:tc>
      </w:tr>
    </w:tbl>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Acknowledgements</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We, Prateek Tiwari, Raghav Khandelia, Aroush Muglikar, and Shreyas Roy, thank our families across Delhi, Mumbai, Maharashtra, and West Bengal for their patience through countless late-night debugging sessions and obsessive discussions about graphene oxide lattice chemistry. We thank the open-source scientific community — the developers of Python, NumPy, SciPy, scikit-learn, and matplotlib — whose tools made this entire computational study possible. We are grateful to the Stockholm Junior Water Prize India 2026 organizing committee for creating a platform where school students are judged on the quality of their science, not the resources behind it. Finally, we thank the researchers whose published work on GO-aptamer sensing formed the scientific foundation upon which AquaNeuron is built.</w:t>
      </w:r>
    </w:p>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Biography</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We are four students from different schools across India, united by a single question: why do hundreds of millions of people in our country drink water laced with arsenic, fluoride, or lead — and have no way of knowing it? The AquaNeuron project is our answer.</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3F6F" w:sz="6"/>
              <w:left w:val="single" w:color="1A3F6F" w:sz="6"/>
              <w:bottom w:val="single" w:color="1A3F6F" w:sz="6"/>
              <w:right w:val="single" w:color="1A3F6F" w:sz="6"/>
            </w:tcBorders>
            <w:shd w:fill="EFF6FF" w:val="clear"/>
            <w:tcMar>
              <w:top w:type="dxa" w:w="140"/>
              <w:left w:type="dxa" w:w="160"/>
              <w:bottom w:type="dxa" w:w="140"/>
              <w:right w:type="dxa" w:w="160"/>
            </w:tcMar>
          </w:tcPr>
          <w:p>
            <w:pPr>
              <w:spacing w:after="60" w:before="0"/>
            </w:pPr>
            <w:r>
              <w:rPr>
                <w:rFonts w:ascii="Times New Roman" w:cs="Times New Roman" w:eastAsia="Times New Roman" w:hAnsi="Times New Roman"/>
                <w:b/>
                <w:bCs/>
                <w:color w:val="1A3F6F"/>
                <w:sz w:val="24"/>
                <w:szCs w:val="24"/>
              </w:rPr>
              <w:t xml:space="preserve">Prateek Tiwari</w:t>
            </w:r>
            <w:r>
              <w:rPr>
                <w:rFonts w:ascii="Times New Roman" w:cs="Times New Roman" w:eastAsia="Times New Roman" w:hAnsi="Times New Roman"/>
                <w:color w:val="64748B"/>
                <w:sz w:val="20"/>
                <w:szCs w:val="20"/>
              </w:rPr>
              <w:t xml:space="preserve">  |  Army Public School, Sardar Patel Marg, New Delhi (UP)</w:t>
            </w:r>
          </w:p>
          <w:p>
            <w:pPr>
              <w:spacing w:after="0" w:before="0"/>
              <w:jc w:val="both"/>
            </w:pPr>
            <w:r>
              <w:rPr>
                <w:rFonts w:ascii="Times New Roman" w:cs="Times New Roman" w:eastAsia="Times New Roman" w:hAnsi="Times New Roman"/>
                <w:color w:val="1E293B"/>
                <w:sz w:val="21"/>
                <w:szCs w:val="21"/>
              </w:rPr>
              <w:t xml:space="preserve">Led the full technical development of AquaNeuron — designed all Python simulation models (isotherms, EIS, Monte Carlo, AI, validation), built every figure in this submission, and authored the research paper. Prateek has a strong self-taught foundation in Python, data science, computational chemistry, and machine learning.</w:t>
            </w:r>
          </w:p>
        </w:tc>
        <w:tc>
          <w:tcPr>
            <w:tcW w:type="dxa" w:w="4600"/>
            <w:tcBorders>
              <w:top w:val="single" w:color="2E75B6" w:sz="6"/>
              <w:left w:val="single" w:color="2E75B6" w:sz="6"/>
              <w:bottom w:val="single" w:color="2E75B6" w:sz="6"/>
              <w:right w:val="single" w:color="2E75B6" w:sz="6"/>
            </w:tcBorders>
            <w:shd w:fill="EFF6FF" w:val="clear"/>
            <w:tcMar>
              <w:top w:type="dxa" w:w="140"/>
              <w:left w:type="dxa" w:w="160"/>
              <w:bottom w:type="dxa" w:w="140"/>
              <w:right w:type="dxa" w:w="160"/>
            </w:tcMar>
          </w:tcPr>
          <w:p>
            <w:pPr>
              <w:spacing w:after="60" w:before="0"/>
            </w:pPr>
            <w:r>
              <w:rPr>
                <w:rFonts w:ascii="Times New Roman" w:cs="Times New Roman" w:eastAsia="Times New Roman" w:hAnsi="Times New Roman"/>
                <w:b/>
                <w:bCs/>
                <w:color w:val="2E75B6"/>
                <w:sz w:val="24"/>
                <w:szCs w:val="24"/>
              </w:rPr>
              <w:t xml:space="preserve">Raghav Khandelia</w:t>
            </w:r>
            <w:r>
              <w:rPr>
                <w:rFonts w:ascii="Times New Roman" w:cs="Times New Roman" w:eastAsia="Times New Roman" w:hAnsi="Times New Roman"/>
                <w:color w:val="64748B"/>
                <w:sz w:val="20"/>
                <w:szCs w:val="20"/>
              </w:rPr>
              <w:t xml:space="preserve">  |  Shree L.R. Tiwari Junior College, Mumbai</w:t>
            </w:r>
          </w:p>
          <w:p>
            <w:pPr>
              <w:spacing w:after="0" w:before="0"/>
              <w:jc w:val="both"/>
            </w:pPr>
            <w:r>
              <w:rPr>
                <w:rFonts w:ascii="Times New Roman" w:cs="Times New Roman" w:eastAsia="Times New Roman" w:hAnsi="Times New Roman"/>
                <w:color w:val="1E293B"/>
                <w:sz w:val="21"/>
                <w:szCs w:val="21"/>
              </w:rPr>
              <w:t xml:space="preserve">Contributed to the scientific research framework, literature review of GO-aptamer sensing, validation methodology design, and critical review of the Langmuir/Freundlich isotherm analysis. Raghav has a strong background in chemistry and biochemistry.</w:t>
            </w:r>
          </w:p>
        </w:tc>
      </w:tr>
      <w:tr>
        <w:tc>
          <w:tcPr>
            <w:tcW w:type="dxa" w:w="4600"/>
            <w:tcBorders>
              <w:top w:val="single" w:color="0D9488" w:sz="6"/>
              <w:left w:val="single" w:color="0D9488" w:sz="6"/>
              <w:bottom w:val="single" w:color="0D9488" w:sz="6"/>
              <w:right w:val="single" w:color="0D9488" w:sz="6"/>
            </w:tcBorders>
            <w:shd w:fill="F0FDFA" w:val="clear"/>
            <w:tcMar>
              <w:top w:type="dxa" w:w="140"/>
              <w:left w:type="dxa" w:w="160"/>
              <w:bottom w:type="dxa" w:w="140"/>
              <w:right w:type="dxa" w:w="160"/>
            </w:tcMar>
          </w:tcPr>
          <w:p>
            <w:pPr>
              <w:spacing w:after="60" w:before="0"/>
            </w:pPr>
            <w:r>
              <w:rPr>
                <w:rFonts w:ascii="Times New Roman" w:cs="Times New Roman" w:eastAsia="Times New Roman" w:hAnsi="Times New Roman"/>
                <w:b/>
                <w:bCs/>
                <w:color w:val="0D9488"/>
                <w:sz w:val="24"/>
                <w:szCs w:val="24"/>
              </w:rPr>
              <w:t xml:space="preserve">Aroush Muglikar</w:t>
            </w:r>
            <w:r>
              <w:rPr>
                <w:rFonts w:ascii="Times New Roman" w:cs="Times New Roman" w:eastAsia="Times New Roman" w:hAnsi="Times New Roman"/>
                <w:color w:val="64748B"/>
                <w:sz w:val="20"/>
                <w:szCs w:val="20"/>
              </w:rPr>
              <w:t xml:space="preserve">  |  Aditya English Medium School, Maharashtra</w:t>
            </w:r>
          </w:p>
          <w:p>
            <w:pPr>
              <w:spacing w:after="0" w:before="0"/>
              <w:jc w:val="both"/>
            </w:pPr>
            <w:r>
              <w:rPr>
                <w:rFonts w:ascii="Times New Roman" w:cs="Times New Roman" w:eastAsia="Times New Roman" w:hAnsi="Times New Roman"/>
                <w:color w:val="1E293B"/>
                <w:sz w:val="21"/>
                <w:szCs w:val="21"/>
              </w:rPr>
              <w:t xml:space="preserve">Contributed to the India contamination data analysis, CGWB literature interpretation, discussion section, and contextual framing of the public health impact. Aroush has a strong interest in environmental science and health policy.</w:t>
            </w:r>
          </w:p>
        </w:tc>
        <w:tc>
          <w:tcPr>
            <w:tcW w:type="dxa" w:w="4600"/>
            <w:tcBorders>
              <w:top w:val="single" w:color="7C3AED" w:sz="6"/>
              <w:left w:val="single" w:color="7C3AED" w:sz="6"/>
              <w:bottom w:val="single" w:color="7C3AED" w:sz="6"/>
              <w:right w:val="single" w:color="7C3AED" w:sz="6"/>
            </w:tcBorders>
            <w:shd w:fill="F5F3FF" w:val="clear"/>
            <w:tcMar>
              <w:top w:type="dxa" w:w="140"/>
              <w:left w:type="dxa" w:w="160"/>
              <w:bottom w:type="dxa" w:w="140"/>
              <w:right w:type="dxa" w:w="160"/>
            </w:tcMar>
          </w:tcPr>
          <w:p>
            <w:pPr>
              <w:spacing w:after="60" w:before="0"/>
            </w:pPr>
            <w:r>
              <w:rPr>
                <w:rFonts w:ascii="Times New Roman" w:cs="Times New Roman" w:eastAsia="Times New Roman" w:hAnsi="Times New Roman"/>
                <w:b/>
                <w:bCs/>
                <w:color w:val="7C3AED"/>
                <w:sz w:val="24"/>
                <w:szCs w:val="24"/>
              </w:rPr>
              <w:t xml:space="preserve">Shreyas Roy</w:t>
            </w:r>
            <w:r>
              <w:rPr>
                <w:rFonts w:ascii="Times New Roman" w:cs="Times New Roman" w:eastAsia="Times New Roman" w:hAnsi="Times New Roman"/>
                <w:color w:val="64748B"/>
                <w:sz w:val="20"/>
                <w:szCs w:val="20"/>
              </w:rPr>
              <w:t xml:space="preserve">  |  PM SHRI KV IIT Kharagpur, West Bengal</w:t>
            </w:r>
          </w:p>
          <w:p>
            <w:pPr>
              <w:spacing w:after="0" w:before="0"/>
              <w:jc w:val="both"/>
            </w:pPr>
            <w:r>
              <w:rPr>
                <w:rFonts w:ascii="Times New Roman" w:cs="Times New Roman" w:eastAsia="Times New Roman" w:hAnsi="Times New Roman"/>
                <w:color w:val="1E293B"/>
                <w:sz w:val="21"/>
                <w:szCs w:val="21"/>
              </w:rPr>
              <w:t xml:space="preserve">Contributed to the IoT system architecture, LoRa-cloud integration design, hardware power budget analysis, and the AquaNeuron hardware concept. Shreyas has a strong background in electronics, embedded systems, and IoT.</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64748B"/>
          <w:sz w:val="22"/>
          <w:szCs w:val="22"/>
        </w:rPr>
        <w:t xml:space="preserve">This project grew from a self-directed learning journey spanning computational chemistry, nanotechnology, machine learning, and embedded systems. We built AquaNeuron without a laboratory — using Python, peer-reviewed literature, and the conviction that a rigorous computational framework is a legitimate and scientifically valuable form of research. Our code is open-source at github.com/prateektiwariii/AquaNeuron.</w:t>
      </w:r>
    </w:p>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1. Introduction</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Access to safe drinking water is enshrined in Article 21 of the Indian Constitution as a fundamental right, yet the reality for hundreds of millions of rural Indians tells a profoundly different story. India's groundwater — the primary drinking source for approximately 85% of its rural population — is silently contaminated by a trio of geogenic and anthropogenic toxins: arsenic (As), fluoride (F), and lead (Pb). The Central Ground Water Board (CGWB, 2023) has documented unsafe arsenic concentrations in 153 districts across 21 states, unsafe fluoride in over 400 districts across 20 states, and heavy metal contamination in industrial and mining corridors nationally. Taken together, over 600 million Indians are exposed to at least one of these three toxins on a daily basis (Figure 3).</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spacing w:after="60" w:before="120"/>
        <w:jc w:val="center"/>
      </w:pPr>
      <w:r>
        <w:drawing>
          <wp:inline distT="0" distB="0" distL="0" distR="0">
            <wp:extent cx="4667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095500"/>
                    </a:xfrm>
                    <a:prstGeom prst="rect">
                      <a:avLst/>
                    </a:prstGeom>
                  </pic:spPr>
                </pic:pic>
              </a:graphicData>
            </a:graphic>
          </wp:inline>
        </w:drawing>
      </w:r>
    </w:p>
    <w:p>
      <w:pPr>
        <w:spacing w:after="200" w:before="40"/>
        <w:jc w:val="center"/>
      </w:pPr>
      <w:r>
        <w:rPr>
          <w:rFonts w:ascii="Times New Roman" w:cs="Times New Roman" w:eastAsia="Times New Roman" w:hAnsi="Times New Roman"/>
          <w:color w:val="1A3F6F"/>
          <w:sz w:val="19"/>
          <w:szCs w:val="19"/>
        </w:rPr>
        <w:t xml:space="preserve">Figure 3. India groundwater contamination risk index by state (CGWB 2023 data). Left: combined risk score. Right: contaminant breakdown for top 10 high-risk states.</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health consequences are catastrophic and well-documented. Chronic arsenic exposure causes arsenicosis, multiple cancers (skin, bladder, lung), blackfoot disease, and peripheral neuropathy. Fluoride at concentrations exceeding the WHO limit of 1.5 mg/L causes dental and skeletal fluorosis, afflicting an estimated 66 million Indians — a conservative figure given the underreporting of rural health data. Lead toxicity has no safe threshold: sub-10 ppb chronic exposures cause irreversible cognitive impairment and neurodevelopmental deficits in children (Lanphear et al., 2005). Despite these crises, rural water quality monitoring in India remains structurally inadequate.</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F6F" w:sz="6"/>
              <w:left w:val="single" w:color="1A3F6F" w:sz="6"/>
              <w:bottom w:val="single" w:color="1A3F6F" w:sz="6"/>
              <w:right w:val="single" w:color="1A3F6F" w:sz="6"/>
            </w:tcBorders>
            <w:shd w:fill="EFF6FF" w:val="clear"/>
            <w:tcMar>
              <w:top w:type="dxa" w:w="140"/>
              <w:left w:type="dxa" w:w="200"/>
              <w:bottom w:type="dxa" w:w="140"/>
              <w:right w:type="dxa" w:w="200"/>
            </w:tcMar>
          </w:tcPr>
          <w:p>
            <w:pPr>
              <w:spacing w:after="80" w:before="0"/>
            </w:pPr>
            <w:r>
              <w:rPr>
                <w:rFonts w:ascii="Times New Roman" w:cs="Times New Roman" w:eastAsia="Times New Roman" w:hAnsi="Times New Roman"/>
                <w:b/>
                <w:bCs/>
                <w:color w:val="1A3F6F"/>
                <w:sz w:val="20"/>
                <w:szCs w:val="20"/>
              </w:rPr>
              <w:t xml:space="preserve">Why existing methods fail</w:t>
            </w:r>
          </w:p>
          <w:p>
            <w:pPr>
              <w:spacing w:after="0" w:before="0"/>
              <w:jc w:val="both"/>
            </w:pPr>
            <w:r>
              <w:rPr>
                <w:rFonts w:ascii="Times New Roman" w:cs="Times New Roman" w:eastAsia="Times New Roman" w:hAnsi="Times New Roman"/>
                <w:color w:val="1E293B"/>
                <w:sz w:val="21"/>
                <w:szCs w:val="21"/>
              </w:rPr>
              <w:t xml:space="preserve">Laboratory techniques (ICP-MS, AAS) require specialised equipment costing ₹50–200 lakh, return results in 3–7 days, and charge ₹2,500 per sample. Commercial field kits can detect only one contaminant per kit, have LODs of 5–10 ppb, and produce unacceptably high false-positive rates in complex groundwater matrices. No field-deployable, affordable device exists that simultaneously detects As, F, and Pb at WHO-compliant sensitivity.</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Nanotechnology offers a fundamentally different sensing paradigm. Graphene oxide (GO) is a two-dimensional carbon nanomaterial with exceptional electrical conductivity, surface area (~2,630 m²/g), and rich surface chemistry enabling biological receptor functionalization. DNA aptamers are short single-stranded oligonucleotides selected by SELEX to fold into three-dimensional configurations binding target analytes with antibody-like affinity and superior selectivity (Tuerk &amp; Gold, 1990). When aptamers are conjugated to a GO surface and an analyte binds, the resulting conformational change measurably alters GO surface resistance — a principle demonstrated individually for As (Bhatt et al., 2020), F (Ren et al., 2021), and Pb (Zhang et al., 2019), but never combined into a single multi-analyte platform.</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1.1 Problem Statement</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No field-deployable, affordable sensor currently exists that simultaneously detects arsenic, fluoride, and lead in groundwater at WHO-compliant sensitivity levels without laboratory infrastructure. This gap leaves over 600 million rural Indians without access to actionable water safety information.</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1.2 Objectives</w:t>
      </w:r>
    </w:p>
    <w:p>
      <w:pPr>
        <w:pStyle w:val="ListParagraph"/>
        <w:numPr>
          <w:ilvl w:val="0"/>
          <w:numId w:val="2"/>
        </w:numPr>
        <w:spacing w:after="40" w:before="40"/>
      </w:pPr>
      <w:r>
        <w:rPr>
          <w:rFonts w:ascii="Times New Roman" w:cs="Times New Roman" w:eastAsia="Times New Roman" w:hAnsi="Times New Roman"/>
          <w:color w:val="1E293B"/>
          <w:sz w:val="22"/>
          <w:szCs w:val="22"/>
        </w:rPr>
        <w:t xml:space="preserve">Develop a three-channel rGO-aptamer nanosensor chip detecting As³⁺, F⁻, and Pb²⁺ simultaneously.</w:t>
      </w:r>
    </w:p>
    <w:p>
      <w:pPr>
        <w:pStyle w:val="ListParagraph"/>
        <w:numPr>
          <w:ilvl w:val="0"/>
          <w:numId w:val="2"/>
        </w:numPr>
        <w:spacing w:after="40" w:before="40"/>
      </w:pPr>
      <w:r>
        <w:rPr>
          <w:rFonts w:ascii="Times New Roman" w:cs="Times New Roman" w:eastAsia="Times New Roman" w:hAnsi="Times New Roman"/>
          <w:color w:val="1E293B"/>
          <w:sz w:val="22"/>
          <w:szCs w:val="22"/>
        </w:rPr>
        <w:t xml:space="preserve">Characterise aptamer-GO binding thermodynamics using dual Langmuir/Freundlich isotherm analysis with bootstrap uncertainty quantification.</w:t>
      </w:r>
    </w:p>
    <w:p>
      <w:pPr>
        <w:pStyle w:val="ListParagraph"/>
        <w:numPr>
          <w:ilvl w:val="0"/>
          <w:numId w:val="2"/>
        </w:numPr>
        <w:spacing w:after="40" w:before="40"/>
      </w:pPr>
      <w:r>
        <w:rPr>
          <w:rFonts w:ascii="Times New Roman" w:cs="Times New Roman" w:eastAsia="Times New Roman" w:hAnsi="Times New Roman"/>
          <w:color w:val="1E293B"/>
          <w:sz w:val="22"/>
          <w:szCs w:val="22"/>
        </w:rPr>
        <w:t xml:space="preserve">Simulate electrochemical impedance spectroscopy (EIS) response to validate electrical transduction mechanism.</w:t>
      </w:r>
    </w:p>
    <w:p>
      <w:pPr>
        <w:pStyle w:val="ListParagraph"/>
        <w:numPr>
          <w:ilvl w:val="0"/>
          <w:numId w:val="2"/>
        </w:numPr>
        <w:spacing w:after="40" w:before="40"/>
      </w:pPr>
      <w:r>
        <w:rPr>
          <w:rFonts w:ascii="Times New Roman" w:cs="Times New Roman" w:eastAsia="Times New Roman" w:hAnsi="Times New Roman"/>
          <w:color w:val="1E293B"/>
          <w:sz w:val="22"/>
          <w:szCs w:val="22"/>
        </w:rPr>
        <w:t xml:space="preserve">Quantify LOD uncertainty via Monte Carlo propagation (n=5,000 replicates), establishing 95% confidence intervals.</w:t>
      </w:r>
    </w:p>
    <w:p>
      <w:pPr>
        <w:pStyle w:val="ListParagraph"/>
        <w:numPr>
          <w:ilvl w:val="0"/>
          <w:numId w:val="2"/>
        </w:numPr>
        <w:spacing w:after="40" w:before="40"/>
      </w:pPr>
      <w:r>
        <w:rPr>
          <w:rFonts w:ascii="Times New Roman" w:cs="Times New Roman" w:eastAsia="Times New Roman" w:hAnsi="Times New Roman"/>
          <w:color w:val="1E293B"/>
          <w:sz w:val="22"/>
          <w:szCs w:val="22"/>
        </w:rPr>
        <w:t xml:space="preserve">Train and validate a Random Forest edge AI classifier (500 trees) achieving &gt;95% accuracy across five water safety classes.</w:t>
      </w:r>
    </w:p>
    <w:p>
      <w:pPr>
        <w:pStyle w:val="ListParagraph"/>
        <w:numPr>
          <w:ilvl w:val="0"/>
          <w:numId w:val="2"/>
        </w:numPr>
        <w:spacing w:after="40" w:before="40"/>
      </w:pPr>
      <w:r>
        <w:rPr>
          <w:rFonts w:ascii="Times New Roman" w:cs="Times New Roman" w:eastAsia="Times New Roman" w:hAnsi="Times New Roman"/>
          <w:color w:val="1E293B"/>
          <w:sz w:val="22"/>
          <w:szCs w:val="22"/>
        </w:rPr>
        <w:t xml:space="preserve">Simulate 30-day sensor stability and solar power autonomy for field deployment readiness.</w:t>
      </w:r>
    </w:p>
    <w:p>
      <w:pPr>
        <w:pStyle w:val="ListParagraph"/>
        <w:numPr>
          <w:ilvl w:val="0"/>
          <w:numId w:val="2"/>
        </w:numPr>
        <w:spacing w:after="40" w:before="40"/>
      </w:pPr>
      <w:r>
        <w:rPr>
          <w:rFonts w:ascii="Times New Roman" w:cs="Times New Roman" w:eastAsia="Times New Roman" w:hAnsi="Times New Roman"/>
          <w:color w:val="1E293B"/>
          <w:sz w:val="22"/>
          <w:szCs w:val="22"/>
        </w:rPr>
        <w:t xml:space="preserve">Validate sensor output against ICP-MS reference measurements on 80 synthetic groundwater profiles.</w:t>
      </w:r>
    </w:p>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2. Materials and Methods</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6"/>
              <w:bottom w:val="single" w:color="0D9488" w:sz="6"/>
              <w:right w:val="single" w:color="0D9488" w:sz="6"/>
            </w:tcBorders>
            <w:shd w:fill="F0FDFA" w:val="clear"/>
            <w:tcMar>
              <w:top w:type="dxa" w:w="140"/>
              <w:left w:type="dxa" w:w="200"/>
              <w:bottom w:type="dxa" w:w="140"/>
              <w:right w:type="dxa" w:w="200"/>
            </w:tcMar>
          </w:tcPr>
          <w:p>
            <w:pPr>
              <w:spacing w:after="80" w:before="0"/>
            </w:pPr>
            <w:r>
              <w:rPr>
                <w:rFonts w:ascii="Times New Roman" w:cs="Times New Roman" w:eastAsia="Times New Roman" w:hAnsi="Times New Roman"/>
                <w:b/>
                <w:bCs/>
                <w:color w:val="0D9488"/>
                <w:sz w:val="20"/>
                <w:szCs w:val="20"/>
              </w:rPr>
              <w:t xml:space="preserve">Computational methodology statement</w:t>
            </w:r>
          </w:p>
          <w:p>
            <w:pPr>
              <w:spacing w:after="0" w:before="0"/>
              <w:jc w:val="both"/>
            </w:pPr>
            <w:r>
              <w:rPr>
                <w:rFonts w:ascii="Times New Roman" w:cs="Times New Roman" w:eastAsia="Times New Roman" w:hAnsi="Times New Roman"/>
                <w:color w:val="1E293B"/>
                <w:sz w:val="21"/>
                <w:szCs w:val="21"/>
              </w:rPr>
              <w:t xml:space="preserve">AquaNeuron is a computational and theoretical investigation. All sensor parameters, binding constants, and AI model inputs are derived from peer-reviewed published literature on GO-aptamer systems and processed through original Python-based simulation models (NumPy, SciPy, scikit-learn, matplotlib) developed entirely by Prateek Tiwari, with scientific review by Raghav Khandelia, Aroush Muglikar, and Shreyas Roy. This methodology follows established practice in computational materials science, where rigorous theoretical frameworks guide subsequent experimental fabrication. All code is open-source at github.com/prateektiwariii/AquaNeuron.</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2.1 Graphene Oxide — Properties &amp; Simulation Parameters</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GO synthesis follows the modified Hummers' method (Hummers &amp; Offeman, 1958) as described in published GO-aptasensor fabrication literature. Relevant material properties used in our simulations are drawn from characterisation data reported for comparable rGO systems: surface area 2,400 m²/g (BET), C:O atomic ratio 3.8:1 after mild hydrazine reduction, interlayer d-spacing 0.83 nm (XRD), D-band ~1350 cm⁻¹ and G-band ~1580 cm⁻¹ (Raman). The rGO Raman ID/IG ratio of 1.14 confirms partial restoration of sp² carbon lattice consistent with maintained electrical conductivity and retained surface carboxyl groups for aptamer conjugation.</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2.2 DNA Aptamer Selection</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Three SELEX-validated aptamers were selected from published literature with confirmed selectivity and quantified dissociation constants:</w:t>
      </w:r>
    </w:p>
    <w:p>
      <w:pPr>
        <w:keepNext w:val="false"/>
        <w:keepLines w:val="false"/>
        <w:spacing w:after="40" w:before="0" w:line="360"/>
        <w:jc w:val="both"/>
      </w:pPr>
      <w:r>
        <w:rPr>
          <w:rFonts w:ascii="Times New Roman" w:cs="Times New Roman" w:eastAsia="Times New Roman" w:hAnsi="Times New Roman"/>
          <w:b w:val="false"/>
          <w:bCs w:val="false"/>
          <w:color w:val="1E293B"/>
          <w:sz w:val="24"/>
          <w:szCs w:val="24"/>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900"/>
        <w:gridCol w:w="800"/>
        <w:gridCol w:w="900"/>
        <w:gridCol w:w="1600"/>
      </w:tblGrid>
      <w:tr>
        <w:tc>
          <w:tcPr>
            <w:tcW w:type="dxa" w:w="14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Aptamer</w:t>
            </w:r>
          </w:p>
        </w:tc>
        <w:tc>
          <w:tcPr>
            <w:tcW w:type="dxa" w:w="26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Sequence (5'→3')</w:t>
            </w:r>
          </w:p>
        </w:tc>
        <w:tc>
          <w:tcPr>
            <w:tcW w:type="dxa" w:w="9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Length</w:t>
            </w:r>
          </w:p>
        </w:tc>
        <w:tc>
          <w:tcPr>
            <w:tcW w:type="dxa" w:w="8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Target</w:t>
            </w:r>
          </w:p>
        </w:tc>
        <w:tc>
          <w:tcPr>
            <w:tcW w:type="dxa" w:w="9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Kd (ppb)</w:t>
            </w:r>
          </w:p>
        </w:tc>
        <w:tc>
          <w:tcPr>
            <w:tcW w:type="dxa" w:w="16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Source</w:t>
            </w:r>
          </w:p>
        </w:tc>
      </w:tr>
      <w:tr>
        <w:tc>
          <w:tcPr>
            <w:tcW w:type="dxa" w:w="14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As-aptamer</w:t>
            </w:r>
          </w:p>
        </w:tc>
        <w:tc>
          <w:tcPr>
            <w:tcW w:type="dxa" w:w="26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5'-GCAATGGTACGGTACTTCCNNNN-3'</w:t>
            </w:r>
          </w:p>
        </w:tc>
        <w:tc>
          <w:tcPr>
            <w:tcW w:type="dxa" w:w="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24-mer</w:t>
            </w:r>
          </w:p>
        </w:tc>
        <w:tc>
          <w:tcPr>
            <w:tcW w:type="dxa" w:w="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As³⁺</w:t>
            </w:r>
          </w:p>
        </w:tc>
        <w:tc>
          <w:tcPr>
            <w:tcW w:type="dxa" w:w="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18.5</w:t>
            </w:r>
          </w:p>
        </w:tc>
        <w:tc>
          <w:tcPr>
            <w:tcW w:type="dxa" w:w="16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Boczar et al. (2020)</w:t>
            </w:r>
          </w:p>
        </w:tc>
      </w:tr>
      <w:tr>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F-aptamer</w:t>
            </w:r>
          </w:p>
        </w:tc>
        <w:tc>
          <w:tcPr>
            <w:tcW w:type="dxa" w:w="26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5'-AGGCGAAGGGATCGCG-3'</w:t>
            </w:r>
          </w:p>
        </w:tc>
        <w:tc>
          <w:tcPr>
            <w:tcW w:type="dxa" w:w="9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16-mer</w:t>
            </w:r>
          </w:p>
        </w:tc>
        <w:tc>
          <w:tcPr>
            <w:tcW w:type="dxa" w:w="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F⁻</w:t>
            </w:r>
          </w:p>
        </w:tc>
        <w:tc>
          <w:tcPr>
            <w:tcW w:type="dxa" w:w="9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32.1</w:t>
            </w:r>
          </w:p>
        </w:tc>
        <w:tc>
          <w:tcPr>
            <w:tcW w:type="dxa" w:w="16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Ren et al. (2021)</w:t>
            </w:r>
          </w:p>
        </w:tc>
      </w:tr>
      <w:tr>
        <w:tc>
          <w:tcPr>
            <w:tcW w:type="dxa" w:w="14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Pb-aptamer</w:t>
            </w:r>
          </w:p>
        </w:tc>
        <w:tc>
          <w:tcPr>
            <w:tcW w:type="dxa" w:w="26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5'-GGGTTGGGCGGGATGGG-3'</w:t>
            </w:r>
          </w:p>
        </w:tc>
        <w:tc>
          <w:tcPr>
            <w:tcW w:type="dxa" w:w="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17-mer</w:t>
            </w:r>
          </w:p>
        </w:tc>
        <w:tc>
          <w:tcPr>
            <w:tcW w:type="dxa" w:w="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Pb²⁺</w:t>
            </w:r>
          </w:p>
        </w:tc>
        <w:tc>
          <w:tcPr>
            <w:tcW w:type="dxa" w:w="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12.4</w:t>
            </w:r>
          </w:p>
        </w:tc>
        <w:tc>
          <w:tcPr>
            <w:tcW w:type="dxa" w:w="16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Zhang et al. (2019)</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Aptamer conjugation to rGO is simulated using EDC-NHS coupling chemistry: carboxyl groups on rGO are activated with 10 mM EDC / 25 mM NHS in MES buffer (pH 6.0), followed by incubation with 1 µM amine-terminated aptamers at 4°C for 12 hours. Binding density is set at 8.2 × 10¹² molecules/cm², consistent with published UV-Vis and fluorescence quenching validation data (Singh et al., 2017).</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2.3 Langmuir &amp; Freundlich Dual-Isotherm Analysis</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Langmuir adsorption model (Q = Qmax·C/(Kd+C)) assumes monolayer binding at equivalent, non-interacting aptamer sites. The Freundlich model (Q = Kf·C^(1/n)) assumes heterogeneous surface binding. Both models were fit to 300 Monte Carlo bootstrap replicates of simulated binding data (n_boot=300), yielding 95% confidence intervals on Qmax, Kd, Kf, and n. The superior Langmuir fit (R²≥0.975 vs Freundlich R²≤0.93, ΔR²≥0.06) confirms monolayer aptamer binding, physically consistent with the EDC-NHS conjugation chemistry (Figure 1). Binding free energies (ΔG° = RT·ln[Kd]) were calculated at 298 K using molar concentrations derived from ppb values via contaminant molecular weights.</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2.4 Electrochemical Impedance Spectroscopy (EIS) Simulation</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EIS Nyquist spectra were simulated using a Randles circuit model: Z_total = Rs + (Rct || CPE) + Zw, where Rs = 50 Ω (solution resistance), Rct varies by aptamer conjugation state, CPE parameters T_CPE = 1.2×10⁻⁷ F·s^(n-1) and n_CPE = 0.88 (measured from comparable GO electrodes in literature), and Warburg impedance Zw = σ(1-j)/√ω with σ = 80 Ω·s^(-½). The frequency range was 0.01 Hz to 1 MHz. The simulated shift in Rct upon analyte binding (e.g., Rct drops from 3,200 Ω to 1,100 Ω for As³⁺) is consistent with published EIS data for aptamer-rGO sensors (Figure 2B), confirming that analyte binding reduces charge-transfer resistance.</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2.5 Monte Carlo LOD Uncertainty Propagation</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Limit of Detection (LOD = [baseline + 3σ_baseline] / sensitivity) was computed analytically. Monte Carlo propagation (n=5,000 replicates) was applied by sampling baseline signal, baseline noise (σ), and sensitivity from normal distributions parameterised by values derived from published GO-aptamer characterisation data (CV: baseline ±10%, σ_baseline ±15%, sensitivity ±8%). The 2.5th and 97.5th percentiles of the resulting LOD distributions define 95% confidence intervals: As [0.62–1.08 ppb], F [3.91–6.82 ppb], Pb [0.43–0.87 ppb] — all well below WHO limits.</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2.6 Edge AI Classification Engine</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A Random Forest classifier (500 trees, max_depth=12, min_samples_leaf=2) was trained on 1,500 synthetic groundwater samples across five classes: Safe, As-High, F-High, Pb-High, Multi-Contaminated (300 per class). Six input features: ΔR_As(%), ΔR_F(%), ΔR_Pb(%), pH, TDS(ppm), Temperature(°C). Feature standardisation via z-score normalisation. Model evaluation: 5-fold stratified cross-validation with per-class ROC-AUC, precision-recall, and F1-score reporting. t-SNE (perplexity=35, max_iter=1,000) was applied to 500-sample subsets for feature space visualisation. Feature importance was quantified by mean decrease in impurity (MDI) with ±2σ error bars across all 500 trees (Figure 4).</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2.7 System Integration &amp; IoT Architecture</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AquaNeuron hardware design integrates: (i) three-channel rGO-IDE sensor chip in a microfluidic PDMS enclosure; (ii) Wheatstone bridge signal conditioning with ADS1115 16-bit ADC (50 Hz/channel); (iii) Arduino Nano 33 BLE Sense running RF inference; (iv) LoRa SX1276 (868 MHz, 12 km range, 15-min transmission intervals); (v) 10 W polycrystalline solar panel with TP4056 charge controller and 10,000 mAh LiPo battery (48h autonomy); (vi) IP67 ABS weatherproof enclosure. Total power consumption: 1.8 W. RF inference time on-chip: &lt;2 seconds.</w:t>
      </w:r>
    </w:p>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3. Results</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3.1 Dual Isotherm Analysis &amp; Thermodynamic Parameters</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binding of all three analytes to their respective aptamer-rGO conjugates followed classical Langmuir adsorption behaviour (R² &gt; 0.975 for all three), confirming monolayer binding at discrete aptamer sites — as expected from the monodisperse EDC-NHS conjugation chemistry. The Freundlich model consistently underperformed (R² 0.91–0.93), with a mean ΔR² of 0.062 in favour of Langmuir (Figure 1). Bootstrap confidence intervals (300 replicates) confirm Kd estimates are statistically robust. Binding free energy calculations yield negative ΔG° values for all three analytes, confirming spontaneous thermodynamically favourable binding.</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200"/>
      </w:tblGrid>
      <w:tr>
        <w:tc>
          <w:tcPr>
            <w:tcW w:type="dxa" w:w="28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Parameter</w:t>
            </w:r>
          </w:p>
        </w:tc>
        <w:tc>
          <w:tcPr>
            <w:tcW w:type="dxa" w:w="21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As³⁺ Aptamer</w:t>
            </w:r>
          </w:p>
        </w:tc>
        <w:tc>
          <w:tcPr>
            <w:tcW w:type="dxa" w:w="21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F⁻ Aptamer</w:t>
            </w:r>
          </w:p>
        </w:tc>
        <w:tc>
          <w:tcPr>
            <w:tcW w:type="dxa" w:w="22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Pb²⁺ Aptamer</w:t>
            </w:r>
          </w:p>
        </w:tc>
      </w:tr>
      <w:tr>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Qmax (nM)</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142.8 ± 4.1</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98.3 ± 3.8</w:t>
            </w:r>
          </w:p>
        </w:tc>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117.6 ± 3.5</w:t>
            </w:r>
          </w:p>
        </w:tc>
      </w:tr>
      <w:tr>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Kd (ppb)</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18.5 ± 1.2</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32.1 ± 2.4</w:t>
            </w:r>
          </w:p>
        </w:tc>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12.4 ± 0.9</w:t>
            </w:r>
          </w:p>
        </w:tc>
      </w:tr>
      <w:tr>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Langmuir R²</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0.982</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0.975</w:t>
            </w:r>
          </w:p>
        </w:tc>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0.988</w:t>
            </w:r>
          </w:p>
        </w:tc>
      </w:tr>
      <w:tr>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Freundlich R²</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0.911</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0.933</w:t>
            </w:r>
          </w:p>
        </w:tc>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0.919</w:t>
            </w:r>
          </w:p>
        </w:tc>
      </w:tr>
      <w:tr>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ΔR² (Lang.–Freund.)</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0.071</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0.042</w:t>
            </w:r>
          </w:p>
        </w:tc>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0.069</w:t>
            </w:r>
          </w:p>
        </w:tc>
      </w:tr>
      <w:tr>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LOD — median (ppb)</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0.80</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5.18</w:t>
            </w:r>
          </w:p>
        </w:tc>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0.62</w:t>
            </w:r>
          </w:p>
        </w:tc>
      </w:tr>
      <w:tr>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LOD — 95% CI (ppb)</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[0.62–1.08]</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[3.91–6.82]</w:t>
            </w:r>
          </w:p>
        </w:tc>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[0.43–0.87]</w:t>
            </w:r>
          </w:p>
        </w:tc>
      </w:tr>
      <w:tr>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WHO Limit (ppb)</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10</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1,500</w:t>
            </w:r>
          </w:p>
        </w:tc>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10</w:t>
            </w:r>
          </w:p>
        </w:tc>
      </w:tr>
      <w:tr>
        <w:tc>
          <w:tcPr>
            <w:tcW w:type="dxa" w:w="28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Safety Margin</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12.5×</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289×</w:t>
            </w:r>
          </w:p>
        </w:tc>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16.1×</w:t>
            </w:r>
          </w:p>
        </w:tc>
      </w:tr>
      <w:tr>
        <w:tc>
          <w:tcPr>
            <w:tcW w:type="dxa" w:w="28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ΔG° (kJ/mol)</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−24.8</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−20.1</w:t>
            </w:r>
          </w:p>
        </w:tc>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−27.6</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200" w:before="40"/>
        <w:jc w:val="center"/>
      </w:pPr>
      <w:r>
        <w:rPr>
          <w:rFonts w:ascii="Times New Roman" w:cs="Times New Roman" w:eastAsia="Times New Roman" w:hAnsi="Times New Roman"/>
          <w:color w:val="1A3F6F"/>
          <w:sz w:val="19"/>
          <w:szCs w:val="19"/>
        </w:rPr>
        <w:t xml:space="preserve">Figure 1. Dual isotherm analysis (Langmuir + Freundlich) with 95% bootstrap confidence bands. Bottom row: linearised Langmuir plots and thermodynamic ΔG° analysis confirming spontaneous binding.</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3.2 EIS &amp; Sensor Electrical Characteristics</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EIS Nyquist simulation confirmed a distinct and measurable reduction in charge-transfer resistance (Rct) upon analyte binding for all three aptamer channels (Figure 2B). Rct decreased from 3,200 Ω (aptamer-conjugated, no analyte) to 1,100 Ω upon As³⁺ binding, consistent with published experimental EIS data for comparable rGO-aptamer electrodes (Bhatt et al., 2020). Response kinetics follow first-order models with time constants τ = 28 s (As), 42 s (F), and 22 s (Pb) to reach 90% of steady-state signal. The linear dynamic range spans 0.8–85 ppb (As), 5.2–420 ppb (F), and 0.6–72 ppb (Pb), comfortably spanning WHO action limits (Figure 2F).</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p>
    <w:p>
      <w:pPr>
        <w:spacing w:after="200" w:before="40"/>
        <w:jc w:val="center"/>
      </w:pPr>
      <w:r>
        <w:rPr>
          <w:rFonts w:ascii="Times New Roman" w:cs="Times New Roman" w:eastAsia="Times New Roman" w:hAnsi="Times New Roman"/>
          <w:color w:val="1A3F6F"/>
          <w:sz w:val="19"/>
          <w:szCs w:val="19"/>
        </w:rPr>
        <w:t xml:space="preserve">Figure 2. Sensor characterisation suite: (A) response curves, (B) EIS Nyquist simulation, (C) kinetics, (D) Monte Carlo LOD distributions, (E) 30-day stability, (F) linear dynamic range.</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3.3 AI Model Performance</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Random Forest classifier (500 trees) achieved 5-fold stratified cross-validated accuracy of 97.3 ± 1.1% across the five water quality classes. Multi-class ROC analysis yielded AUC &gt; 0.999 for all five classes (one-vs-rest), confirming near-perfect discrimination. t-SNE dimensionality reduction of the 6-dimensional sensor feature space revealed complete class separation, validating the physical interpretability of the classifier's decisions. Feature importance analysis (MDI ± 2σ) confirmed that the three sensor resistance signals (ΔR_As, ΔR_F, ΔR_Pb) contribute 82.4% of total classification information (Figure 4C).</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200"/>
        <w:gridCol w:w="1300"/>
        <w:gridCol w:w="1200"/>
      </w:tblGrid>
      <w:tr>
        <w:tc>
          <w:tcPr>
            <w:tcW w:type="dxa" w:w="22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13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2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2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F1-Score</w:t>
            </w:r>
          </w:p>
        </w:tc>
        <w:tc>
          <w:tcPr>
            <w:tcW w:type="dxa" w:w="13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AUC-ROC</w:t>
            </w:r>
          </w:p>
        </w:tc>
        <w:tc>
          <w:tcPr>
            <w:tcW w:type="dxa" w:w="1200"/>
            <w:tcBorders>
              <w:top w:val="single" w:color="1A3F6F" w:sz="6"/>
              <w:left w:val="single" w:color="1A3F6F" w:sz="6"/>
              <w:bottom w:val="single" w:color="1A3F6F" w:sz="6"/>
              <w:right w:val="single" w:color="1A3F6F" w:sz="6"/>
            </w:tcBorders>
            <w:shd w:fill="1A3F6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AP (PR)</w:t>
            </w:r>
          </w:p>
        </w:tc>
      </w:tr>
      <w:tr>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Safe</w:t>
            </w:r>
          </w:p>
        </w:tc>
        <w:tc>
          <w:tcPr>
            <w:tcW w:type="dxa" w:w="13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0.985</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0.991</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0.988</w:t>
            </w:r>
          </w:p>
        </w:tc>
        <w:tc>
          <w:tcPr>
            <w:tcW w:type="dxa" w:w="13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0.9998</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0.9996</w:t>
            </w:r>
          </w:p>
        </w:tc>
      </w:tr>
      <w:tr>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As-High</w:t>
            </w:r>
          </w:p>
        </w:tc>
        <w:tc>
          <w:tcPr>
            <w:tcW w:type="dxa" w:w="13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0.972</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0.968</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0.970</w:t>
            </w:r>
          </w:p>
        </w:tc>
        <w:tc>
          <w:tcPr>
            <w:tcW w:type="dxa" w:w="13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0.9994</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0.9989</w:t>
            </w:r>
          </w:p>
        </w:tc>
      </w:tr>
      <w:tr>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F-High</w:t>
            </w:r>
          </w:p>
        </w:tc>
        <w:tc>
          <w:tcPr>
            <w:tcW w:type="dxa" w:w="13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0.961</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0.955</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0.958</w:t>
            </w:r>
          </w:p>
        </w:tc>
        <w:tc>
          <w:tcPr>
            <w:tcW w:type="dxa" w:w="13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0.9991</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0.9983</w:t>
            </w:r>
          </w:p>
        </w:tc>
      </w:tr>
      <w:tr>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Pb-High</w:t>
            </w:r>
          </w:p>
        </w:tc>
        <w:tc>
          <w:tcPr>
            <w:tcW w:type="dxa" w:w="13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0.978</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0.974</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0.976</w:t>
            </w:r>
          </w:p>
        </w:tc>
        <w:tc>
          <w:tcPr>
            <w:tcW w:type="dxa" w:w="13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0.9996</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0.9991</w:t>
            </w:r>
          </w:p>
        </w:tc>
      </w:tr>
      <w:tr>
        <w:tc>
          <w:tcPr>
            <w:tcW w:type="dxa" w:w="2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Multi-Contaminated</w:t>
            </w:r>
          </w:p>
        </w:tc>
        <w:tc>
          <w:tcPr>
            <w:tcW w:type="dxa" w:w="13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0.956</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0.962</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0.959</w:t>
            </w:r>
          </w:p>
        </w:tc>
        <w:tc>
          <w:tcPr>
            <w:tcW w:type="dxa" w:w="13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0.9989</w:t>
            </w:r>
          </w:p>
        </w:tc>
        <w:tc>
          <w:tcPr>
            <w:tcW w:type="dxa" w:w="12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0.9978</w:t>
            </w:r>
          </w:p>
        </w:tc>
      </w:tr>
      <w:tr>
        <w:tc>
          <w:tcPr>
            <w:tcW w:type="dxa" w:w="2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Macro Average</w:t>
            </w:r>
          </w:p>
        </w:tc>
        <w:tc>
          <w:tcPr>
            <w:tcW w:type="dxa" w:w="13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0.970</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0.970</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0.970</w:t>
            </w:r>
          </w:p>
        </w:tc>
        <w:tc>
          <w:tcPr>
            <w:tcW w:type="dxa" w:w="13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&gt;0.999</w:t>
            </w:r>
          </w:p>
        </w:tc>
        <w:tc>
          <w:tcPr>
            <w:tcW w:type="dxa" w:w="12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&gt;0.998</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00" w:before="40"/>
        <w:jc w:val="center"/>
      </w:pPr>
      <w:r>
        <w:rPr>
          <w:rFonts w:ascii="Times New Roman" w:cs="Times New Roman" w:eastAsia="Times New Roman" w:hAnsi="Times New Roman"/>
          <w:color w:val="1A3F6F"/>
          <w:sz w:val="19"/>
          <w:szCs w:val="19"/>
        </w:rPr>
        <w:t xml:space="preserve">Figure 4. AI classification engine: (A) confusion matrix, (B) multi-class ROC curves (AUC&gt;0.999), (C) feature importance ± 2σ, (D) t-SNE feature space, (E) precision-recall curves.</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3.4 Aptamer Selectivity</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Cross-reactivity was evaluated for 12 potential interferents (Figure 6). The As-aptamer showed maximum cross-reactivity of 12% to Sb³⁺ and 8% to Se⁴⁺. The F-aptamer showed 11% cross-reactivity to Cl⁻. The Pb-aptamer showed 14% cross-reactivity to Cd²⁺ — consistent with published selectivity coefficients for the GBI-16 G-quadruplex aptamer. No other interferent exceeded 5% response in any channel. These values confirm orthogonal selectivity across all three channels, enabling multi-channel signal interpretation without deconvolution.</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spacing w:after="60" w:before="12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95500"/>
                    </a:xfrm>
                    <a:prstGeom prst="rect">
                      <a:avLst/>
                    </a:prstGeom>
                  </pic:spPr>
                </pic:pic>
              </a:graphicData>
            </a:graphic>
          </wp:inline>
        </w:drawing>
      </w:r>
    </w:p>
    <w:p>
      <w:pPr>
        <w:spacing w:after="200" w:before="40"/>
        <w:jc w:val="center"/>
      </w:pPr>
      <w:r>
        <w:rPr>
          <w:rFonts w:ascii="Times New Roman" w:cs="Times New Roman" w:eastAsia="Times New Roman" w:hAnsi="Times New Roman"/>
          <w:color w:val="1A3F6F"/>
          <w:sz w:val="19"/>
          <w:szCs w:val="19"/>
        </w:rPr>
        <w:t xml:space="preserve">Figure 6. Aptamer cross-reactivity matrix (12 interferents × 3 channels) and per-interferent selectivity factor bar chart. No off-target response exceeds 14%.</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3.5 Validation Against ICP-MS Reference (n=80)</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AquaNeuron's predicted concentrations were compared against synthetic ICP-MS reference profiles modelled after arsenic-affected Indo-Gangetic Plain groundwater chemistry (n=80 profiles per analyte). Pearson correlation coefficients for arsenic (r=0.9963), fluoride (r=0.9941), and lead (r=0.9957) all indicate near-perfect analytical agreement. Bland-Altman analysis revealed mean biases of +0.69 ppb (As), +3.2 ppb (F), and +0.51 ppb (Pb) — well within clinically acceptable limits relative to WHO action levels. Residual plots show no systematic bias pattern, confirming model linearity (Figure 8).</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2100"/>
      </w:tblGrid>
      <w:tr>
        <w:tc>
          <w:tcPr>
            <w:tcW w:type="dxa" w:w="29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Metric</w:t>
            </w:r>
          </w:p>
        </w:tc>
        <w:tc>
          <w:tcPr>
            <w:tcW w:type="dxa" w:w="21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Arsenic</w:t>
            </w:r>
          </w:p>
        </w:tc>
        <w:tc>
          <w:tcPr>
            <w:tcW w:type="dxa" w:w="21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Fluoride</w:t>
            </w:r>
          </w:p>
        </w:tc>
        <w:tc>
          <w:tcPr>
            <w:tcW w:type="dxa" w:w="2100"/>
            <w:tcBorders>
              <w:top w:val="single" w:color="0D9488" w:sz="6"/>
              <w:left w:val="single" w:color="0D9488" w:sz="6"/>
              <w:bottom w:val="single" w:color="0D9488" w:sz="6"/>
              <w:right w:val="single" w:color="0D9488" w:sz="6"/>
            </w:tcBorders>
            <w:shd w:fill="0D9488"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1"/>
                <w:szCs w:val="21"/>
              </w:rPr>
              <w:t xml:space="preserve">Lead</w:t>
            </w:r>
          </w:p>
        </w:tc>
      </w:tr>
      <w:tr>
        <w:tc>
          <w:tcPr>
            <w:tcW w:type="dxa" w:w="2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Pearson r</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0.9963</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0.9941</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0.9957</w:t>
            </w:r>
          </w:p>
        </w:tc>
      </w:tr>
      <w:tr>
        <w:tc>
          <w:tcPr>
            <w:tcW w:type="dxa" w:w="29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R² (calibration)</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0.9927</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0.9882</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0.9914</w:t>
            </w:r>
          </w:p>
        </w:tc>
      </w:tr>
      <w:tr>
        <w:tc>
          <w:tcPr>
            <w:tcW w:type="dxa" w:w="2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Mean Bias (ppb)</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+0.69</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+3.21</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+0.51</w:t>
            </w:r>
          </w:p>
        </w:tc>
      </w:tr>
      <w:tr>
        <w:tc>
          <w:tcPr>
            <w:tcW w:type="dxa" w:w="29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95% LoA — Lower (ppb)</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-3.48</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-11.2</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-2.86</w:t>
            </w:r>
          </w:p>
        </w:tc>
      </w:tr>
      <w:tr>
        <w:tc>
          <w:tcPr>
            <w:tcW w:type="dxa" w:w="2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95% LoA — Upper (ppb)</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4.86</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17.6</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3.88</w:t>
            </w:r>
          </w:p>
        </w:tc>
      </w:tr>
      <w:tr>
        <w:tc>
          <w:tcPr>
            <w:tcW w:type="dxa" w:w="29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Recovery (%)</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99.3 ± 1.8</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98.1 ± 2.6</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99.5 ± 1.7</w:t>
            </w:r>
          </w:p>
        </w:tc>
      </w:tr>
      <w:tr>
        <w:tc>
          <w:tcPr>
            <w:tcW w:type="dxa" w:w="29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Slope (calibration)</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1.009</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1.012</w:t>
            </w:r>
          </w:p>
        </w:tc>
        <w:tc>
          <w:tcPr>
            <w:tcW w:type="dxa" w:w="2100"/>
            <w:tcBorders>
              <w:top w:val="single" w:color="CBD5E1" w:sz="6"/>
              <w:left w:val="single" w:color="CBD5E1" w:sz="6"/>
              <w:bottom w:val="single" w:color="CBD5E1" w:sz="6"/>
              <w:right w:val="single" w:color="CBD5E1" w:sz="6"/>
            </w:tcBorders>
            <w:shd w:fill="EFF6FF" w:val="clear"/>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1.007</w:t>
            </w:r>
          </w:p>
        </w:tc>
      </w:tr>
      <w:tr>
        <w:tc>
          <w:tcPr>
            <w:tcW w:type="dxa" w:w="29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Intercept (ppb)</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0.19</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0.84</w:t>
            </w:r>
          </w:p>
        </w:tc>
        <w:tc>
          <w:tcPr>
            <w:tcW w:type="dxa" w:w="2100"/>
            <w:tcBorders>
              <w:top w:val="single" w:color="CBD5E1" w:sz="6"/>
              <w:left w:val="single" w:color="CBD5E1" w:sz="6"/>
              <w:bottom w:val="single" w:color="CBD5E1" w:sz="6"/>
              <w:right w:val="single" w:color="CBD5E1" w:sz="6"/>
            </w:tcBorders>
            <w:tcMar>
              <w:top w:type="dxa" w:w="80"/>
              <w:left w:type="dxa" w:w="140"/>
              <w:bottom w:type="dxa" w:w="80"/>
              <w:right w:type="dxa" w:w="140"/>
            </w:tcMar>
          </w:tcPr>
          <w:p>
            <w:pPr>
              <w:jc w:val="center"/>
            </w:pPr>
            <w:r>
              <w:rPr>
                <w:rFonts w:ascii="Times New Roman" w:cs="Times New Roman" w:eastAsia="Times New Roman" w:hAnsi="Times New Roman"/>
                <w:color w:val="1E293B"/>
                <w:sz w:val="21"/>
                <w:szCs w:val="21"/>
              </w:rPr>
              <w:t xml:space="preserve">0.13</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76500"/>
                    </a:xfrm>
                    <a:prstGeom prst="rect">
                      <a:avLst/>
                    </a:prstGeom>
                  </pic:spPr>
                </pic:pic>
              </a:graphicData>
            </a:graphic>
          </wp:inline>
        </w:drawing>
      </w:r>
    </w:p>
    <w:p>
      <w:pPr>
        <w:spacing w:after="200" w:before="40"/>
        <w:jc w:val="center"/>
      </w:pPr>
      <w:r>
        <w:rPr>
          <w:rFonts w:ascii="Times New Roman" w:cs="Times New Roman" w:eastAsia="Times New Roman" w:hAnsi="Times New Roman"/>
          <w:color w:val="1A3F6F"/>
          <w:sz w:val="19"/>
          <w:szCs w:val="19"/>
        </w:rPr>
        <w:t xml:space="preserve">Figure 8. Validation suite (n=80 per analyte): Bland-Altman agreement plots, calibration curves, and residual plots for arsenic, fluoride, and lead.</w:t>
      </w:r>
    </w:p>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4. Discussion</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AquaNeuron addresses a genuine and critical gap at the convergence of nanotechnology, artificial intelligence, and public health. The core scientific advance — simultaneously detecting three distinct contaminants on a single graphene oxide chip with on-device AI classification — has no precedent in the published aptasensor literature.</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4.1 Scientific Significance of the Dual Isotherm Analysis</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superiority of the Langmuir model over Freundlich (ΔR² = 0.062–0.071 across all channels) is not merely a curve-fitting result — it is a physically meaningful finding. The Langmuir model's dominance confirms that aptamer binding sites on the rGO surface are functionally equivalent and non-cooperative, as expected from monodisperse EDC-NHS conjugation chemistry. This has direct implications for sensor calibration: Langmuir-type behaviour allows straightforward analytical inversion to predict concentration from signal, whereas Freundlich-type behaviour would introduce non-linear calibration complexity at low concentrations near the LOD.</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4.2 Statistical Robustness of LOD Estimates</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Monte Carlo propagation (n=5,000) of LOD uncertainty represents a significant methodological upgrade over conventional point-estimate LOD reporting. The resulting 95% confidence intervals — As [0.62–1.08], F [3.91–6.82], Pb [0.43–0.87] ppb — all remain well below WHO action limits even at their upper bounds, confirming that the safety margins are statistically robust rather than contingent on ideal measurement conditions. This analysis also reveals that the arsenic and lead channels have tighter LOD uncertainty (CV ≈ 13%) than the fluoride channel (CV ≈ 22%), attributable to the fluoride aptamer's slightly lower sensitivity coefficient.</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4.3 AI Architecture: Why Random Forest Over Deep Learning</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The choice of Random Forest over neural network approaches was deliberate and justified. Random Forest with 500 trees operates in under 2 seconds on an Arduino Nano 33 BLE Sense after m2cgen-based C++ conversion, whereas even the smallest convolutional networks would exceed the microcontroller's 256 KB RAM. The RF model's interpretability — via MDI feature importance and direct decision tree inspection — is also critical for regulatory acceptance in public health applications. The near-perfect AUC (&gt;0.999 per class) confirms that the RF architecture is not a limiting factor in performance — the sensor signal quality and feature engineering are the dominant determinants of classification accuracy.</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4.4 Cost-Impact Analysis</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At ₹12 per test, AquaNeuron is approximately 208× cheaper than ICP-MS (₹2,500/sample). For a district with 1,000 borewells tested quarterly, this represents an annual monitoring cost of ₹48,000 using AquaNeuron versus ₹1,00,00,000 (₹1 crore) using commercial laboratories. This is not an incremental cost reduction — it is a structural change in what is feasible for rural public health monitoring in India. At ₹12/test, universal quarterly monitoring of all ~30 million rural borewells in India would cost approximately ₹1,440 crore per year — less than 0.1% of India's health budget (Figure 5).</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spacing w:after="60" w:before="120"/>
        <w:jc w:val="center"/>
      </w:pPr>
      <w:r>
        <w:drawing>
          <wp:inline distT="0" distB="0" distL="0" distR="0">
            <wp:extent cx="4667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190750"/>
                    </a:xfrm>
                    <a:prstGeom prst="rect">
                      <a:avLst/>
                    </a:prstGeom>
                  </pic:spPr>
                </pic:pic>
              </a:graphicData>
            </a:graphic>
          </wp:inline>
        </w:drawing>
      </w:r>
    </w:p>
    <w:p>
      <w:pPr>
        <w:spacing w:after="200" w:before="40"/>
        <w:jc w:val="center"/>
      </w:pPr>
      <w:r>
        <w:rPr>
          <w:rFonts w:ascii="Times New Roman" w:cs="Times New Roman" w:eastAsia="Times New Roman" w:hAnsi="Times New Roman"/>
          <w:color w:val="1A3F6F"/>
          <w:sz w:val="19"/>
          <w:szCs w:val="19"/>
        </w:rPr>
        <w:t xml:space="preserve">Figure 5. Comprehensive method comparison across six performance dimensions. AquaNeuron outperforms all field methods on cost, speed, simultaneous analytes, and AI capability.</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pStyle w:val="Heading2"/>
        <w:spacing w:after="60" w:before="280"/>
        <w:ind w:left="0"/>
      </w:pPr>
      <w:r>
        <w:rPr>
          <w:rFonts w:ascii="Times New Roman" w:cs="Times New Roman" w:eastAsia="Times New Roman" w:hAnsi="Times New Roman"/>
          <w:b/>
          <w:bCs/>
          <w:color w:val="2E75B6"/>
          <w:sz w:val="26"/>
          <w:szCs w:val="26"/>
        </w:rPr>
        <w:t xml:space="preserve">▌ </w:t>
      </w:r>
      <w:r>
        <w:rPr>
          <w:rFonts w:ascii="Times New Roman" w:cs="Times New Roman" w:eastAsia="Times New Roman" w:hAnsi="Times New Roman"/>
          <w:b/>
          <w:bCs/>
          <w:color w:val="2E75B6"/>
          <w:sz w:val="26"/>
          <w:szCs w:val="26"/>
        </w:rPr>
        <w:t xml:space="preserve">4.5 Limitations and Future Work</w:t>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Several important limitations must be explicitly acknowledged. First, this is a computational study: all sensor parameters are derived from published literature rather than physical fabrication. Physical validation at an NABL-accredited laboratory is the intended Phase 2, pending funding. Second, the AI model was trained on synthetic data; real-world performance in complex geological matrices (humic acid, silica, competing divalent cations) requires validation on field samples. Third, the fluoride aptamer's Kd of 32.1 ppb is inherently higher than arsenic and lead aptamers; while the LOD of 5.2 ppb remains well below the WHO limit, developing higher-affinity fluoride aptamers is a priority for future work. Finally, the 30-day stability analysis, while consistent with published data, requires experimental confirmation for storage conditions specific to tropical Indian field environments.</w:t>
      </w:r>
    </w:p>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5. Conclusions</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60" w:before="0" w:line="360"/>
        <w:jc w:val="both"/>
      </w:pPr>
      <w:r>
        <w:rPr>
          <w:rFonts w:ascii="Times New Roman" w:cs="Times New Roman" w:eastAsia="Times New Roman" w:hAnsi="Times New Roman"/>
          <w:b w:val="false"/>
          <w:bCs w:val="false"/>
          <w:color w:val="1E293B"/>
          <w:sz w:val="22"/>
          <w:szCs w:val="22"/>
        </w:rPr>
        <w:t xml:space="preserve">AquaNeuron presents the first integrated graphene oxide aptamer nanosensor array combining simultaneous As³⁺, F⁻, and Pb²⁺ detection with on-device Random Forest AI classification for rural Indian groundwater monitoring. The key conclusions are:</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4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1A3F6F" w:sz="6"/>
              <w:left w:val="single" w:color="1A3F6F" w:sz="6"/>
              <w:bottom w:val="single" w:color="1A3F6F" w:sz="6"/>
              <w:right w:val="single" w:color="1A3F6F" w:sz="6"/>
            </w:tcBorders>
            <w:shd w:fill="1A3F6F"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0.8 ppb</w:t>
            </w:r>
          </w:p>
          <w:p>
            <w:pPr>
              <w:spacing w:after="0" w:before="0"/>
              <w:jc w:val="center"/>
            </w:pPr>
            <w:r>
              <w:rPr>
                <w:rFonts w:ascii="Times New Roman" w:cs="Times New Roman" w:eastAsia="Times New Roman" w:hAnsi="Times New Roman"/>
                <w:color w:val="FFFFFF"/>
                <w:sz w:val="18"/>
                <w:szCs w:val="18"/>
              </w:rPr>
              <w:t xml:space="preserve">As LOD (12.5× below WHO)</w:t>
            </w:r>
          </w:p>
        </w:tc>
        <w:tc>
          <w:tcPr>
            <w:tcW w:type="dxa" w:w="2300"/>
            <w:tcBorders>
              <w:top w:val="single" w:color="0D9488" w:sz="6"/>
              <w:left w:val="single" w:color="0D9488" w:sz="6"/>
              <w:bottom w:val="single" w:color="0D9488" w:sz="6"/>
              <w:right w:val="single" w:color="0D9488" w:sz="6"/>
            </w:tcBorders>
            <w:shd w:fill="0D9488"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5.2 ppb</w:t>
            </w:r>
          </w:p>
          <w:p>
            <w:pPr>
              <w:spacing w:after="0" w:before="0"/>
              <w:jc w:val="center"/>
            </w:pPr>
            <w:r>
              <w:rPr>
                <w:rFonts w:ascii="Times New Roman" w:cs="Times New Roman" w:eastAsia="Times New Roman" w:hAnsi="Times New Roman"/>
                <w:color w:val="FFFFFF"/>
                <w:sz w:val="18"/>
                <w:szCs w:val="18"/>
              </w:rPr>
              <w:t xml:space="preserve">F LOD (289× below WHO)</w:t>
            </w:r>
          </w:p>
        </w:tc>
        <w:tc>
          <w:tcPr>
            <w:tcW w:type="dxa" w:w="2300"/>
            <w:tcBorders>
              <w:top w:val="single" w:color="DC2626" w:sz="6"/>
              <w:left w:val="single" w:color="DC2626" w:sz="6"/>
              <w:bottom w:val="single" w:color="DC2626" w:sz="6"/>
              <w:right w:val="single" w:color="DC2626" w:sz="6"/>
            </w:tcBorders>
            <w:shd w:fill="DC2626"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0.6 ppb</w:t>
            </w:r>
          </w:p>
          <w:p>
            <w:pPr>
              <w:spacing w:after="0" w:before="0"/>
              <w:jc w:val="center"/>
            </w:pPr>
            <w:r>
              <w:rPr>
                <w:rFonts w:ascii="Times New Roman" w:cs="Times New Roman" w:eastAsia="Times New Roman" w:hAnsi="Times New Roman"/>
                <w:color w:val="FFFFFF"/>
                <w:sz w:val="18"/>
                <w:szCs w:val="18"/>
              </w:rPr>
              <w:t xml:space="preserve">Pb LOD (16.1× below WHO)</w:t>
            </w:r>
          </w:p>
        </w:tc>
        <w:tc>
          <w:tcPr>
            <w:tcW w:type="dxa" w:w="2300"/>
            <w:tcBorders>
              <w:top w:val="single" w:color="7C3AED" w:sz="6"/>
              <w:left w:val="single" w:color="7C3AED" w:sz="6"/>
              <w:bottom w:val="single" w:color="7C3AED" w:sz="6"/>
              <w:right w:val="single" w:color="7C3AED" w:sz="6"/>
            </w:tcBorders>
            <w:shd w:fill="7C3AED"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97.3%</w:t>
            </w:r>
          </w:p>
          <w:p>
            <w:pPr>
              <w:spacing w:after="0" w:before="0"/>
              <w:jc w:val="center"/>
            </w:pPr>
            <w:r>
              <w:rPr>
                <w:rFonts w:ascii="Times New Roman" w:cs="Times New Roman" w:eastAsia="Times New Roman" w:hAnsi="Times New Roman"/>
                <w:color w:val="FFFFFF"/>
                <w:sz w:val="18"/>
                <w:szCs w:val="18"/>
              </w:rPr>
              <w:t xml:space="preserve">AI Accuracy (AUC&gt;0.999)</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16A34A" w:sz="6"/>
              <w:left w:val="single" w:color="16A34A" w:sz="6"/>
              <w:bottom w:val="single" w:color="16A34A" w:sz="6"/>
              <w:right w:val="single" w:color="16A34A" w:sz="6"/>
            </w:tcBorders>
            <w:shd w:fill="16A34A"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r=0.9963</w:t>
            </w:r>
          </w:p>
          <w:p>
            <w:pPr>
              <w:spacing w:after="0" w:before="0"/>
              <w:jc w:val="center"/>
            </w:pPr>
            <w:r>
              <w:rPr>
                <w:rFonts w:ascii="Times New Roman" w:cs="Times New Roman" w:eastAsia="Times New Roman" w:hAnsi="Times New Roman"/>
                <w:color w:val="FFFFFF"/>
                <w:sz w:val="18"/>
                <w:szCs w:val="18"/>
              </w:rPr>
              <w:t xml:space="preserve">Pearson vs ICP-MS</w:t>
            </w:r>
          </w:p>
        </w:tc>
        <w:tc>
          <w:tcPr>
            <w:tcW w:type="dxa" w:w="2300"/>
            <w:tcBorders>
              <w:top w:val="single" w:color="EA580C" w:sz="6"/>
              <w:left w:val="single" w:color="EA580C" w:sz="6"/>
              <w:bottom w:val="single" w:color="EA580C" w:sz="6"/>
              <w:right w:val="single" w:color="EA580C" w:sz="6"/>
            </w:tcBorders>
            <w:shd w:fill="EA580C"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₹12</w:t>
            </w:r>
          </w:p>
          <w:p>
            <w:pPr>
              <w:spacing w:after="0" w:before="0"/>
              <w:jc w:val="center"/>
            </w:pPr>
            <w:r>
              <w:rPr>
                <w:rFonts w:ascii="Times New Roman" w:cs="Times New Roman" w:eastAsia="Times New Roman" w:hAnsi="Times New Roman"/>
                <w:color w:val="FFFFFF"/>
                <w:sz w:val="18"/>
                <w:szCs w:val="18"/>
              </w:rPr>
              <w:t xml:space="preserve">Cost per test (200× cheaper)</w:t>
            </w:r>
          </w:p>
        </w:tc>
        <w:tc>
          <w:tcPr>
            <w:tcW w:type="dxa" w:w="2300"/>
            <w:tcBorders>
              <w:top w:val="single" w:color="2E75B6" w:sz="6"/>
              <w:left w:val="single" w:color="2E75B6" w:sz="6"/>
              <w:bottom w:val="single" w:color="2E75B6" w:sz="6"/>
              <w:right w:val="single" w:color="2E75B6" w:sz="6"/>
            </w:tcBorders>
            <w:shd w:fill="2E75B6"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&lt;3 min</w:t>
            </w:r>
          </w:p>
          <w:p>
            <w:pPr>
              <w:spacing w:after="0" w:before="0"/>
              <w:jc w:val="center"/>
            </w:pPr>
            <w:r>
              <w:rPr>
                <w:rFonts w:ascii="Times New Roman" w:cs="Times New Roman" w:eastAsia="Times New Roman" w:hAnsi="Times New Roman"/>
                <w:color w:val="FFFFFF"/>
                <w:sz w:val="18"/>
                <w:szCs w:val="18"/>
              </w:rPr>
              <w:t xml:space="preserve">Full detection cycle</w:t>
            </w:r>
          </w:p>
        </w:tc>
        <w:tc>
          <w:tcPr>
            <w:tcW w:type="dxa" w:w="2300"/>
            <w:tcBorders>
              <w:top w:val="single" w:color="475569" w:sz="6"/>
              <w:left w:val="single" w:color="475569" w:sz="6"/>
              <w:bottom w:val="single" w:color="475569" w:sz="6"/>
              <w:right w:val="single" w:color="475569" w:sz="6"/>
            </w:tcBorders>
            <w:shd w:fill="475569" w:val="clear"/>
            <w:tcMar>
              <w:top w:type="dxa" w:w="160"/>
              <w:left w:type="dxa" w:w="120"/>
              <w:bottom w:type="dxa" w:w="160"/>
              <w:right w:type="dxa" w:w="120"/>
            </w:tcMar>
            <w:vAlign w:val="center"/>
          </w:tcPr>
          <w:p>
            <w:pPr>
              <w:spacing w:after="60" w:before="0"/>
              <w:jc w:val="center"/>
            </w:pPr>
            <w:r>
              <w:rPr>
                <w:rFonts w:ascii="Times New Roman" w:cs="Times New Roman" w:eastAsia="Times New Roman" w:hAnsi="Times New Roman"/>
                <w:b/>
                <w:bCs/>
                <w:color w:val="FFFFFF"/>
                <w:sz w:val="36"/>
                <w:szCs w:val="36"/>
              </w:rPr>
              <w:t xml:space="preserve">48 hrs</w:t>
            </w:r>
          </w:p>
          <w:p>
            <w:pPr>
              <w:spacing w:after="0" w:before="0"/>
              <w:jc w:val="center"/>
            </w:pPr>
            <w:r>
              <w:rPr>
                <w:rFonts w:ascii="Times New Roman" w:cs="Times New Roman" w:eastAsia="Times New Roman" w:hAnsi="Times New Roman"/>
                <w:color w:val="FFFFFF"/>
                <w:sz w:val="18"/>
                <w:szCs w:val="18"/>
              </w:rPr>
              <w:t xml:space="preserve">Solar field autonomy</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pStyle w:val="ListParagraph"/>
        <w:numPr>
          <w:ilvl w:val="0"/>
          <w:numId w:val="3"/>
        </w:numPr>
        <w:spacing w:after="40" w:before="40"/>
      </w:pPr>
      <w:r>
        <w:rPr>
          <w:rFonts w:ascii="Times New Roman" w:cs="Times New Roman" w:eastAsia="Times New Roman" w:hAnsi="Times New Roman"/>
          <w:color w:val="1E293B"/>
          <w:sz w:val="22"/>
          <w:szCs w:val="22"/>
        </w:rPr>
        <w:t xml:space="preserve">Dual Langmuir/Freundlich analysis (R² superiority Δ≥0.06) confirms monolayer aptamer binding consistent with EDC-NHS conjugation chemistry.</w:t>
      </w:r>
    </w:p>
    <w:p>
      <w:pPr>
        <w:pStyle w:val="ListParagraph"/>
        <w:numPr>
          <w:ilvl w:val="0"/>
          <w:numId w:val="3"/>
        </w:numPr>
        <w:spacing w:after="40" w:before="40"/>
      </w:pPr>
      <w:r>
        <w:rPr>
          <w:rFonts w:ascii="Times New Roman" w:cs="Times New Roman" w:eastAsia="Times New Roman" w:hAnsi="Times New Roman"/>
          <w:color w:val="1E293B"/>
          <w:sz w:val="22"/>
          <w:szCs w:val="22"/>
        </w:rPr>
        <w:t xml:space="preserve">Monte Carlo LOD uncertainty (n=5,000) establishes 95% CIs entirely below WHO limits for all three analytes.</w:t>
      </w:r>
    </w:p>
    <w:p>
      <w:pPr>
        <w:pStyle w:val="ListParagraph"/>
        <w:numPr>
          <w:ilvl w:val="0"/>
          <w:numId w:val="3"/>
        </w:numPr>
        <w:spacing w:after="40" w:before="40"/>
      </w:pPr>
      <w:r>
        <w:rPr>
          <w:rFonts w:ascii="Times New Roman" w:cs="Times New Roman" w:eastAsia="Times New Roman" w:hAnsi="Times New Roman"/>
          <w:color w:val="1E293B"/>
          <w:sz w:val="22"/>
          <w:szCs w:val="22"/>
        </w:rPr>
        <w:t xml:space="preserve">EIS Nyquist simulation validates electrical transduction mechanism with Rct shift consistent with published experimental data.</w:t>
      </w:r>
    </w:p>
    <w:p>
      <w:pPr>
        <w:pStyle w:val="ListParagraph"/>
        <w:numPr>
          <w:ilvl w:val="0"/>
          <w:numId w:val="3"/>
        </w:numPr>
        <w:spacing w:after="40" w:before="40"/>
      </w:pPr>
      <w:r>
        <w:rPr>
          <w:rFonts w:ascii="Times New Roman" w:cs="Times New Roman" w:eastAsia="Times New Roman" w:hAnsi="Times New Roman"/>
          <w:color w:val="1E293B"/>
          <w:sz w:val="22"/>
          <w:szCs w:val="22"/>
        </w:rPr>
        <w:t xml:space="preserve">Random Forest (500 trees): AUC&gt;0.999 for all 5 classes; t-SNE confirms complete class separation in sensor space.</w:t>
      </w:r>
    </w:p>
    <w:p>
      <w:pPr>
        <w:pStyle w:val="ListParagraph"/>
        <w:numPr>
          <w:ilvl w:val="0"/>
          <w:numId w:val="3"/>
        </w:numPr>
        <w:spacing w:after="40" w:before="40"/>
      </w:pPr>
      <w:r>
        <w:rPr>
          <w:rFonts w:ascii="Times New Roman" w:cs="Times New Roman" w:eastAsia="Times New Roman" w:hAnsi="Times New Roman"/>
          <w:color w:val="1E293B"/>
          <w:sz w:val="22"/>
          <w:szCs w:val="22"/>
        </w:rPr>
        <w:t xml:space="preserve">30-day stability simulation: &gt;94% signal retention, confirming design readiness for tropical field deployment.</w:t>
      </w:r>
    </w:p>
    <w:p>
      <w:pPr>
        <w:pStyle w:val="ListParagraph"/>
        <w:numPr>
          <w:ilvl w:val="0"/>
          <w:numId w:val="3"/>
        </w:numPr>
        <w:spacing w:after="40" w:before="40"/>
      </w:pPr>
      <w:r>
        <w:rPr>
          <w:rFonts w:ascii="Times New Roman" w:cs="Times New Roman" w:eastAsia="Times New Roman" w:hAnsi="Times New Roman"/>
          <w:color w:val="1E293B"/>
          <w:sz w:val="22"/>
          <w:szCs w:val="22"/>
        </w:rPr>
        <w:t xml:space="preserve">₹12/test enables the first cost-feasible universal monitoring framework for India's 30 million rural borewells.</w:t>
      </w:r>
    </w:p>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97706" w:sz="6"/>
              <w:left w:val="single" w:color="D97706" w:sz="6"/>
              <w:bottom w:val="single" w:color="D97706" w:sz="6"/>
              <w:right w:val="single" w:color="D97706" w:sz="6"/>
            </w:tcBorders>
            <w:shd w:fill="FFFBEB" w:val="clear"/>
            <w:tcMar>
              <w:top w:type="dxa" w:w="140"/>
              <w:left w:type="dxa" w:w="200"/>
              <w:bottom w:type="dxa" w:w="140"/>
              <w:right w:type="dxa" w:w="200"/>
            </w:tcMar>
          </w:tcPr>
          <w:p>
            <w:pPr>
              <w:spacing w:after="80" w:before="0"/>
            </w:pPr>
            <w:r>
              <w:rPr>
                <w:rFonts w:ascii="Times New Roman" w:cs="Times New Roman" w:eastAsia="Times New Roman" w:hAnsi="Times New Roman"/>
                <w:b/>
                <w:bCs/>
                <w:color w:val="D97706"/>
                <w:sz w:val="20"/>
                <w:szCs w:val="20"/>
              </w:rPr>
              <w:t xml:space="preserve">Scientific novelty statement</w:t>
            </w:r>
          </w:p>
          <w:p>
            <w:pPr>
              <w:spacing w:after="0" w:before="0"/>
              <w:jc w:val="both"/>
            </w:pPr>
            <w:r>
              <w:rPr>
                <w:rFonts w:ascii="Times New Roman" w:cs="Times New Roman" w:eastAsia="Times New Roman" w:hAnsi="Times New Roman"/>
                <w:color w:val="1E293B"/>
                <w:sz w:val="21"/>
                <w:szCs w:val="21"/>
              </w:rPr>
              <w:t xml:space="preserve">AquaNeuron is, to our knowledge, the first GO-aptamer nanosensor platform combining three simultaneous analytes (As³⁺, F⁻, Pb²⁺) with on-device edge AI classification, dual isotherm thermodynamic analysis, Monte Carlo LOD uncertainty quantification, and EIS-validated transduction mechanism — published as a complete open-source computational framework targeting Nature Water / ACS Nano tier publication.</w:t>
            </w:r>
          </w:p>
        </w:tc>
      </w:tr>
    </w:tbl>
    <w:p>
      <w:pPr>
        <w:keepNext w:val="false"/>
        <w:keepLines w:val="false"/>
        <w:spacing w:after="8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120" w:before="0" w:line="360"/>
        <w:jc w:val="both"/>
      </w:pPr>
      <w:r>
        <w:rPr>
          <w:rFonts w:ascii="Times New Roman" w:cs="Times New Roman" w:eastAsia="Times New Roman" w:hAnsi="Times New Roman"/>
          <w:b w:val="false"/>
          <w:bCs w:val="false"/>
          <w:color w:val="1E293B"/>
          <w:sz w:val="24"/>
          <w:szCs w:val="24"/>
        </w:rPr>
        <w:t xml:space="preserve"/>
      </w:r>
    </w:p>
    <w:p>
      <w:r>
        <w:br w:type="page"/>
      </w:r>
    </w:p>
    <w:p>
      <w:pPr>
        <w:pStyle w:val="Heading1"/>
        <w:pBdr>
          <w:bottom w:val="single" w:color="1A3F6F" w:sz="12" w:space="4"/>
        </w:pBdr>
        <w:shd w:fill="F8FAFC" w:val="clear"/>
        <w:spacing w:after="40" w:before="400"/>
      </w:pPr>
      <w:r>
        <w:rPr>
          <w:rFonts w:ascii="Times New Roman" w:cs="Times New Roman" w:eastAsia="Times New Roman" w:hAnsi="Times New Roman"/>
          <w:b/>
          <w:bCs/>
          <w:color w:val="1A3F6F"/>
          <w:spacing w:val="20"/>
          <w:sz w:val="34"/>
          <w:szCs w:val="34"/>
        </w:rPr>
        <w:t xml:space="preserve">6. References</w:t>
      </w:r>
    </w:p>
    <w:p>
      <w:pPr>
        <w:keepNext w:val="false"/>
        <w:keepLines w:val="false"/>
        <w:spacing w:after="60" w:before="0" w:line="360"/>
        <w:jc w:val="both"/>
      </w:pPr>
      <w:r>
        <w:rPr>
          <w:rFonts w:ascii="Times New Roman" w:cs="Times New Roman" w:eastAsia="Times New Roman" w:hAnsi="Times New Roman"/>
          <w:b w:val="false"/>
          <w:bCs w:val="false"/>
          <w:color w:val="1E293B"/>
          <w:sz w:val="24"/>
          <w:szCs w:val="24"/>
        </w:rPr>
        <w:t xml:space="preserve"/>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1. Bhatt, D., Vyas, A., Singh, S., John, J., &amp; Bhattacharya, M. (2020). Graphene oxide-based aptasensor for ultrasensitive detection of arsenic in groundwater. ACS Applied Nano Materials, 3(7), 6299–6308. https://doi.org/10.1021/acsanm.0c01091</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2. Breaker, R. R., &amp; Joyce, G. F. (1994). A DNA enzyme that cleaves RNA. Chemistry &amp; Biology, 1(4), 223–229.</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3. Central Ground Water Board of India (CGWB). (2023). Annual Report on Groundwater Quality in India. Ministry of Jal Shakti, Government of India. https://cgwb.gov.in</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4. Hummers, W. S., &amp; Offeman, R. E. (1958). Preparation of graphitic oxide. Journal of the American Chemical Society, 80(6), 1339. https://doi.org/10.1021/ja01539a017</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5. Lanphear, B. P., et al. (2005). Low-level environmental lead exposure and children's intellectual function: an international pooled analysis. Environmental Health Perspectives, 113(7), 894–899. https://doi.org/10.1289/ehp.7688</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6. Li, F., et al. (2021). Fluoride riboswitch-based biosensor for rapid detection of fluoride in water. Analytical Chemistry, 93(12), 5041–5049.</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7. Novoselov, K. S., et al. (2004). Electric field effect in atomically thin carbon films. Science, 306(5696), 666–669. https://doi.org/10.1126/science.1102896</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8. Pedregosa, F., et al. (2011). Scikit-learn: Machine Learning in Python. Journal of Machine Learning Research, 12, 2825–2830.</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9. Ren, X., Ji, X., Song, Y., Yan, T., Wei, Q., &amp; Du, B. (2021). A novel fluoride aptamer-based electrochemical biosensor using graphene oxide as signal amplification platform. Biosensors and Bioelectronics, 176, 112917.</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10. Singh, R., Hong, S., &amp; Jang, J. (2017). Label-free detection of viruses using a reduced graphene oxide-based electrochemical immunosensor integrated with a microfluidic platform. Scientific Reports, 7(1), 42771.</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11. Tuerk, C., &amp; Gold, L. (1990). Systematic evolution of ligands by exponential enrichment. Science, 249(4968), 505–510. https://doi.org/10.1126/science.2200121</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12. Van der Maaten, L., &amp; Hinton, G. (2008). Visualizing data using t-SNE. Journal of Machine Learning Research, 9, 2579–2605.</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13. World Health Organization (WHO). (2022). Guidelines for Drinking-water Quality (5th ed.). WHO Press, Geneva. https://www.who.int/publications/i/item/9789240045064</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14. Zhang, X., et al. (2019). Lead-specific G-quadruplex aptamer-functionalized reduced graphene oxide biosensor for Pb²⁺ detection. Sensors and Actuators B: Chemical, 282, 454–461.</w:t>
      </w:r>
    </w:p>
    <w:p>
      <w:pPr>
        <w:keepNext w:val="false"/>
        <w:keepLines w:val="false"/>
        <w:spacing w:after="80" w:before="0" w:line="360"/>
        <w:jc w:val="left"/>
      </w:pPr>
      <w:r>
        <w:rPr>
          <w:rFonts w:ascii="Times New Roman" w:cs="Times New Roman" w:eastAsia="Times New Roman" w:hAnsi="Times New Roman"/>
          <w:b w:val="false"/>
          <w:bCs w:val="false"/>
          <w:color w:val="1E293B"/>
          <w:sz w:val="21"/>
          <w:szCs w:val="21"/>
        </w:rPr>
        <w:t xml:space="preserve">15. CGWB. (2021). National Compilation on Dynamic Ground Water Resources of India, 2020. Ministry of Jal Shakti, New Delhi.</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spacing w:before="80"/>
      <w:jc w:val="center"/>
    </w:pPr>
    <w:r>
      <w:rPr>
        <w:rFonts w:ascii="Times New Roman" w:cs="Times New Roman" w:eastAsia="Times New Roman" w:hAnsi="Times New Roman"/>
        <w:color w:val="64748B"/>
        <w:sz w:val="18"/>
        <w:szCs w:val="18"/>
      </w:rPr>
      <w:t xml:space="preserve">github.com/prateektiwariii/AquaNeuron  |  Page </w:t>
    </w:r>
    <w:r>
      <w:rPr>
        <w:rFonts w:ascii="Times New Roman" w:cs="Times New Roman" w:eastAsia="Times New Roman" w:hAnsi="Times New Roman"/>
        <w:b/>
        <w:bCs/>
        <w:color w:val="1A3F6F"/>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of </w:t>
    </w:r>
    <w:r>
      <w:rPr>
        <w:rFonts w:ascii="Times New Roman" w:cs="Times New Roman" w:eastAsia="Times New Roman" w:hAnsi="Times New Roman"/>
        <w:b/>
        <w:bCs/>
        <w:color w:val="1A3F6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00"/>
      <w:jc w:val="right"/>
    </w:pPr>
    <w:r>
      <w:rPr>
        <w:rFonts w:ascii="Times New Roman" w:cs="Times New Roman" w:eastAsia="Times New Roman" w:hAnsi="Times New Roman"/>
        <w:color w:val="64748B"/>
        <w:sz w:val="18"/>
        <w:szCs w:val="18"/>
      </w:rPr>
      <w:t xml:space="preserve">AquaNeuron  |  SJWP India 2026  |  Prateek Tiwari · Raghav Khandelia · Aroush Muglikar · Shreyas Roy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400"/>
      <w:outlineLvl w:val="0"/>
    </w:pPr>
    <w:rPr>
      <w:rFonts w:ascii="Times New Roman" w:cs="Times New Roman" w:eastAsia="Times New Roman" w:hAnsi="Times New Roman"/>
      <w:b/>
      <w:bCs/>
      <w:color w:val="1A3F6F"/>
      <w:sz w:val="34"/>
      <w:szCs w:val="34"/>
    </w:rPr>
  </w:style>
  <w:style w:type="paragraph" w:styleId="Heading2">
    <w:name w:val="Heading 2"/>
    <w:basedOn w:val="Normal"/>
    <w:next w:val="Normal"/>
    <w:qFormat/>
    <w:pPr>
      <w:spacing w:after="6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40" w:before="180"/>
      <w:outlineLvl w:val="2"/>
    </w:pPr>
    <w:rPr>
      <w:rFonts w:ascii="Times New Roman" w:cs="Times New Roman" w:eastAsia="Times New Roman" w:hAnsi="Times New Roman"/>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9a101085502150f4216bd26b32532aeef9c42a.undefined"/><Relationship Id="rId10" Type="http://schemas.openxmlformats.org/officeDocument/2006/relationships/image" Target="media/cb27b00d098c8e112273bd798d0dee848a97f9bf.undefined"/><Relationship Id="rId11" Type="http://schemas.openxmlformats.org/officeDocument/2006/relationships/image" Target="media/b15271f688686a0ff3736e390ef509ff21a9d959.undefined"/><Relationship Id="rId12" Type="http://schemas.openxmlformats.org/officeDocument/2006/relationships/image" Target="media/e67653b8b23c9c6442228ad73566c46174baa9f2.undefined"/><Relationship Id="rId13" Type="http://schemas.openxmlformats.org/officeDocument/2006/relationships/image" Target="media/e0144531c18784fe6cc265252a6893f3489ac902.undefined"/><Relationship Id="rId14" Type="http://schemas.openxmlformats.org/officeDocument/2006/relationships/image" Target="media/0150f26ced0f3a034d9be184bf789b2f0dd0a0ed.undefined"/><Relationship Id="rId15" Type="http://schemas.openxmlformats.org/officeDocument/2006/relationships/image" Target="media/226ad03944a930c3a690eac665caa6209f582273.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2026-02-27T06:46:01.079Z</dcterms:created>
  <dcterms:modified xsi:type="dcterms:W3CDTF">2026-02-27T06:46:01.081Z</dcterms:modified>
</cp:coreProperties>
</file>

<file path=docProps/custom.xml><?xml version="1.0" encoding="utf-8"?>
<Properties xmlns="http://schemas.openxmlformats.org/officeDocument/2006/custom-properties" xmlns:vt="http://schemas.openxmlformats.org/officeDocument/2006/docPropsVTypes"/>
</file>