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20" w:before="0"/>
        <w:jc w:val="center"/>
      </w:pPr>
      <w:r>
        <w:rPr>
          <w:rFonts w:ascii="Arial" w:cs="Arial" w:eastAsia="Arial" w:hAnsi="Arial"/>
          <w:b/>
          <w:bCs/>
          <w:color w:val="1F3864"/>
          <w:sz w:val="56"/>
          <w:szCs w:val="56"/>
        </w:rPr>
        <w:t xml:space="preserve">Kubernetes Scheduling Optimization</w:t>
      </w:r>
    </w:p>
    <w:p>
      <w:pPr>
        <w:spacing w:after="200" w:before="0"/>
        <w:jc w:val="center"/>
      </w:pPr>
      <w:r>
        <w:rPr>
          <w:rFonts w:ascii="Arial" w:cs="Arial" w:eastAsia="Arial" w:hAnsi="Arial"/>
          <w:b/>
          <w:bCs/>
          <w:color w:val="2E75B6"/>
          <w:sz w:val="32"/>
          <w:szCs w:val="32"/>
        </w:rPr>
        <w:t xml:space="preserve">A Comprehensive Research Survey</w:t>
      </w:r>
    </w:p>
    <w:p>
      <w:pPr>
        <w:pBdr>
          <w:bottom w:val="single" w:color="2E75B6" w:sz="12" w:space="6"/>
        </w:pBdr>
        <w:spacing w:after="400" w:before="0"/>
        <w:jc w:val="center"/>
      </w:pPr>
      <w:r>
        <w:rPr>
          <w:sz w:val="22"/>
          <w:szCs w:val="22"/>
        </w:rPr>
        <w:t xml:space="preserve"> </w:t>
      </w:r>
    </w:p>
    <w:p>
      <w:pPr>
        <w:spacing w:after="80" w:before="200"/>
        <w:jc w:val="center"/>
      </w:pPr>
      <w:r>
        <w:rPr>
          <w:rFonts w:ascii="Arial" w:cs="Arial" w:eastAsia="Arial" w:hAnsi="Arial"/>
          <w:i/>
          <w:iCs/>
          <w:color w:val="595959"/>
          <w:sz w:val="22"/>
          <w:szCs w:val="22"/>
        </w:rPr>
        <w:t xml:space="preserve">Version 1.0  |  June 2026</w:t>
      </w:r>
    </w:p>
    <w:p>
      <w:pPr>
        <w:spacing w:after="80" w:before="0"/>
        <w:jc w:val="center"/>
      </w:pPr>
      <w:r>
        <w:rPr>
          <w:rFonts w:ascii="Arial" w:cs="Arial" w:eastAsia="Arial" w:hAnsi="Arial"/>
          <w:color w:val="595959"/>
          <w:sz w:val="20"/>
          <w:szCs w:val="20"/>
        </w:rPr>
        <w:t xml:space="preserve">Keywords: Kubernetes, Container Orchestration, Scheduling, Resource Optimization, Cloud Computing</w:t>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Abstract</w:t>
      </w:r>
    </w:p>
    <w:p>
      <w:pPr>
        <w:spacing w:after="80" w:before="80" w:line="320"/>
        <w:jc w:val="both"/>
      </w:pPr>
      <w:r>
        <w:rPr>
          <w:rFonts w:ascii="Arial" w:cs="Arial" w:eastAsia="Arial" w:hAnsi="Arial"/>
          <w:sz w:val="22"/>
          <w:szCs w:val="22"/>
        </w:rPr>
        <w:t xml:space="preserve">Container orchestration has emerged as a foundational layer of modern cloud-native infrastructure. Kubernetes, the de facto standard for container orchestration, relies heavily on its scheduling subsystem to place workloads across heterogeneous cluster nodes. Inefficient scheduling leads to resource fragmentation, increased operational costs, higher latency, and degraded quality of service. This paper presents a comprehensive survey of scheduling optimization techniques in Kubernetes, covering the default kube-scheduler architecture, custom and extended scheduling frameworks, resource-aware policies, machine-learning-driven approaches, topology-aware placement, gang scheduling for distributed training, preemption and priority mechanisms, and emerging trends such as serverless scheduling and carbon-aware placement. We analyze trade-offs, highlight gaps in existing literature, and propose a unified taxonomy for future research. Our survey draws on over 60 primary studies and industry benchmarks to synthesize actionable insights for practitioners and researchers alike.</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 Introduction</w:t>
      </w:r>
    </w:p>
    <w:p>
      <w:pPr>
        <w:spacing w:after="80" w:before="80" w:line="320"/>
        <w:jc w:val="both"/>
      </w:pPr>
      <w:r>
        <w:rPr>
          <w:rFonts w:ascii="Arial" w:cs="Arial" w:eastAsia="Arial" w:hAnsi="Arial"/>
          <w:sz w:val="22"/>
          <w:szCs w:val="22"/>
        </w:rPr>
        <w:t xml:space="preserve">The proliferation of microservice architectures, coupled with exponential growth in data center workloads, has made efficient resource management a central concern in cloud computing. Kubernetes (K8s), originally developed at Google and open-sourced in 2014, has become the dominant container orchestration platform, commanding a deployment share exceeding 85% among organizations adopting containerization as of 2024 (CNCF Annual Survey, 2024). The platform's scheduling subsystem — responsible for assigning pods (the smallest deployable unit) to nodes — is arguably the most performance-sensitive component of the control plane.</w:t>
      </w:r>
    </w:p>
    <w:p>
      <w:pPr>
        <w:spacing w:after="60" w:before="60"/>
      </w:pPr>
      <w:r>
        <w:t xml:space="preserve"/>
      </w:r>
    </w:p>
    <w:p>
      <w:pPr>
        <w:spacing w:after="80" w:before="80" w:line="320"/>
        <w:jc w:val="both"/>
      </w:pPr>
      <w:r>
        <w:rPr>
          <w:rFonts w:ascii="Arial" w:cs="Arial" w:eastAsia="Arial" w:hAnsi="Arial"/>
          <w:sz w:val="22"/>
          <w:szCs w:val="22"/>
        </w:rPr>
        <w:t xml:space="preserve">Suboptimal scheduling decisions have documented, measurable consequences. A misplaced pod can starve a node of memory while adjacent nodes remain underutilized. Latency-sensitive services co-located with CPU-intensive batch jobs suffer interference that violates service-level objectives (SLOs). In large-scale deployments with thousands of nodes and tens of thousands of pods, even marginal improvements in scheduling efficiency translate into millions of dollars in annual infrastructure savings.</w:t>
      </w:r>
    </w:p>
    <w:p>
      <w:pPr>
        <w:spacing w:after="60" w:before="60"/>
      </w:pPr>
      <w:r>
        <w:t xml:space="preserve"/>
      </w:r>
    </w:p>
    <w:p>
      <w:pPr>
        <w:spacing w:after="80" w:before="80" w:line="320"/>
        <w:jc w:val="both"/>
      </w:pPr>
      <w:r>
        <w:rPr>
          <w:rFonts w:ascii="Arial" w:cs="Arial" w:eastAsia="Arial" w:hAnsi="Arial"/>
          <w:sz w:val="22"/>
          <w:szCs w:val="22"/>
        </w:rPr>
        <w:t xml:space="preserve">Despite the maturity of the Kubernetes ecosystem, scheduling optimization remains an active and evolving research frontier. The default scheduler implements a fixed two-phase pipeline — filtering ineligible nodes and scoring the remainder — that, while robust, is not designed to adapt to dynamic workload patterns, heterogeneous hardware, or multi-dimensional resource contention. This limitation has spurred a rich body of work spanning heuristic extensions, machine learning surrogates, and domain-specific schedulers.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1.1 Motivation</w:t>
      </w:r>
    </w:p>
    <w:p>
      <w:pPr>
        <w:spacing w:after="80" w:before="80" w:line="320"/>
        <w:jc w:val="both"/>
      </w:pPr>
      <w:r>
        <w:rPr>
          <w:rFonts w:ascii="Arial" w:cs="Arial" w:eastAsia="Arial" w:hAnsi="Arial"/>
          <w:sz w:val="22"/>
          <w:szCs w:val="22"/>
        </w:rPr>
        <w:t xml:space="preserve">This survey is motivated by three observations. First, the academic literature on Kubernetes scheduling is fragmented across systems, machine learning, and networking venues, making it difficult to obtain a holistic view. Second, practitioners frequently encounter production scheduling pathologies — node hotspots, pending pod queues, priority inversions — without a systematic reference to guide mitigation strategies. Third, emerging workloads such as large language model (LLM) training, edge computing, and serverless functions impose qualitatively new scheduling constraints that existing surveys do not adequately address.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1.2 Contributions</w:t>
      </w:r>
    </w:p>
    <w:p>
      <w:pPr>
        <w:pStyle w:val="ListParagraph"/>
        <w:numPr>
          <w:ilvl w:val="0"/>
          <w:numId w:val="2"/>
        </w:numPr>
        <w:spacing w:after="40" w:before="40"/>
      </w:pPr>
      <w:r>
        <w:rPr>
          <w:rFonts w:ascii="Arial" w:cs="Arial" w:eastAsia="Arial" w:hAnsi="Arial"/>
          <w:sz w:val="22"/>
          <w:szCs w:val="22"/>
        </w:rPr>
        <w:t xml:space="preserve">A structured taxonomy of Kubernetes scheduling optimization strategies across six dimensions: resource awareness, topology awareness, workload-type specificity, adaptivity, multi-cluster scope, and sustainability.</w:t>
      </w:r>
    </w:p>
    <w:p>
      <w:pPr>
        <w:pStyle w:val="ListParagraph"/>
        <w:numPr>
          <w:ilvl w:val="0"/>
          <w:numId w:val="2"/>
        </w:numPr>
        <w:spacing w:after="40" w:before="40"/>
      </w:pPr>
      <w:r>
        <w:rPr>
          <w:rFonts w:ascii="Arial" w:cs="Arial" w:eastAsia="Arial" w:hAnsi="Arial"/>
          <w:sz w:val="22"/>
          <w:szCs w:val="22"/>
        </w:rPr>
        <w:t xml:space="preserve">A critical comparative analysis of the default scheduler, extended frameworks (Scheduler Extender, Scheduling Framework), and custom schedulers.</w:t>
      </w:r>
    </w:p>
    <w:p>
      <w:pPr>
        <w:pStyle w:val="ListParagraph"/>
        <w:numPr>
          <w:ilvl w:val="0"/>
          <w:numId w:val="2"/>
        </w:numPr>
        <w:spacing w:after="40" w:before="40"/>
      </w:pPr>
      <w:r>
        <w:rPr>
          <w:rFonts w:ascii="Arial" w:cs="Arial" w:eastAsia="Arial" w:hAnsi="Arial"/>
          <w:sz w:val="22"/>
          <w:szCs w:val="22"/>
        </w:rPr>
        <w:t xml:space="preserve">A review of ML-based scheduling approaches including reinforcement learning, supervised prediction, and neural combinatorial optimization.</w:t>
      </w:r>
    </w:p>
    <w:p>
      <w:pPr>
        <w:pStyle w:val="ListParagraph"/>
        <w:numPr>
          <w:ilvl w:val="0"/>
          <w:numId w:val="2"/>
        </w:numPr>
        <w:spacing w:after="40" w:before="40"/>
      </w:pPr>
      <w:r>
        <w:rPr>
          <w:rFonts w:ascii="Arial" w:cs="Arial" w:eastAsia="Arial" w:hAnsi="Arial"/>
          <w:sz w:val="22"/>
          <w:szCs w:val="22"/>
        </w:rPr>
        <w:t xml:space="preserve">Discussion of open challenges in heterogeneous hardware scheduling, real-time guarantees, and carbon-aware placement.</w:t>
      </w:r>
    </w:p>
    <w:p>
      <w:pPr>
        <w:pStyle w:val="ListParagraph"/>
        <w:numPr>
          <w:ilvl w:val="0"/>
          <w:numId w:val="2"/>
        </w:numPr>
        <w:spacing w:after="40" w:before="40"/>
      </w:pPr>
      <w:r>
        <w:rPr>
          <w:rFonts w:ascii="Arial" w:cs="Arial" w:eastAsia="Arial" w:hAnsi="Arial"/>
          <w:sz w:val="22"/>
          <w:szCs w:val="22"/>
        </w:rPr>
        <w:t xml:space="preserve">A research roadmap identifying high-impact directions for future work.</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1.3 Paper Organization</w:t>
      </w:r>
    </w:p>
    <w:p>
      <w:pPr>
        <w:spacing w:after="80" w:before="80" w:line="320"/>
        <w:jc w:val="both"/>
      </w:pPr>
      <w:r>
        <w:rPr>
          <w:rFonts w:ascii="Arial" w:cs="Arial" w:eastAsia="Arial" w:hAnsi="Arial"/>
          <w:sz w:val="22"/>
          <w:szCs w:val="22"/>
        </w:rPr>
        <w:t xml:space="preserve">The remainder of the paper is structured as follows. Section 2 provides background on Kubernetes architecture. Section 3 surveys resource-aware scheduling. Section 4 covers topology and locality-aware techniques. Section 5 examines ML-driven approaches. Section 6 addresses gang scheduling and distributed workloads. Section 7 discusses multi-cluster and federation scheduling. Section 8 reviews emerging directions. Section 9 presents a comparative taxonomy. Section 10 discusses open challenges and Section 11 concludes the paper.</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2. Background and Architecture</w:t>
      </w:r>
    </w:p>
    <w:p>
      <w:pPr>
        <w:pStyle w:val="Heading2"/>
        <w:spacing w:after="80" w:before="240"/>
      </w:pPr>
      <w:r>
        <w:rPr>
          <w:rFonts w:ascii="Arial" w:cs="Arial" w:eastAsia="Arial" w:hAnsi="Arial"/>
          <w:b/>
          <w:bCs/>
          <w:color w:val="2E75B6"/>
          <w:sz w:val="28"/>
          <w:szCs w:val="28"/>
        </w:rPr>
        <w:t xml:space="preserve">2.1 Kubernetes Control Plane</w:t>
      </w:r>
    </w:p>
    <w:p>
      <w:pPr>
        <w:spacing w:after="80" w:before="80" w:line="320"/>
        <w:jc w:val="both"/>
      </w:pPr>
      <w:r>
        <w:rPr>
          <w:rFonts w:ascii="Arial" w:cs="Arial" w:eastAsia="Arial" w:hAnsi="Arial"/>
          <w:sz w:val="22"/>
          <w:szCs w:val="22"/>
        </w:rPr>
        <w:t xml:space="preserve">Kubernetes follows a master-worker architecture. The control plane consists of the API server (the central entry point for all operations), etcd (a distributed key-value store for cluster state), the controller manager (which reconciles desired versus actual state), and the scheduler. Worker nodes run the kubelet (node-level agent), kube-proxy (network rules), and a container runtime such as containerd or CRI-O.</w:t>
      </w:r>
    </w:p>
    <w:p>
      <w:pPr>
        <w:spacing w:after="60" w:before="60"/>
      </w:pPr>
      <w:r>
        <w:t xml:space="preserve"/>
      </w:r>
    </w:p>
    <w:p>
      <w:pPr>
        <w:spacing w:after="80" w:before="80" w:line="320"/>
        <w:jc w:val="both"/>
      </w:pPr>
      <w:r>
        <w:rPr>
          <w:rFonts w:ascii="Arial" w:cs="Arial" w:eastAsia="Arial" w:hAnsi="Arial"/>
          <w:sz w:val="22"/>
          <w:szCs w:val="22"/>
        </w:rPr>
        <w:t xml:space="preserve">Pods, the atomic scheduling unit, encapsulate one or more containers with shared networking and storage namespaces. Each pod is described by a PodSpec, which may specify resource requests and limits, node affinity rules, toleration for node taints, priority classes, and topology spread constraints — all of which serve as inputs to the scheduling decision.</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2.2 The Default Scheduler (kube-scheduler)</w:t>
      </w:r>
    </w:p>
    <w:p>
      <w:pPr>
        <w:spacing w:after="80" w:before="80" w:line="320"/>
        <w:jc w:val="both"/>
      </w:pPr>
      <w:r>
        <w:rPr>
          <w:rFonts w:ascii="Arial" w:cs="Arial" w:eastAsia="Arial" w:hAnsi="Arial"/>
          <w:sz w:val="22"/>
          <w:szCs w:val="22"/>
        </w:rPr>
        <w:t xml:space="preserve">The default kube-scheduler operates as an independent control-plane component that watches for unscheduled pods via the API server. Its pipeline proceeds through two main phases: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Filtering Phase: The scheduler evaluates every node against a set of predicates (filters). Standard predicates check resource sufficiency (CPU, memory, ephemeral storage), port availability, node selector and affinity, taints and tolerations, and volume topology constraints. Nodes that fail any predicate are eliminated from consideration.</w:t>
      </w:r>
    </w:p>
    <w:p>
      <w:pPr>
        <w:pStyle w:val="ListParagraph"/>
        <w:numPr>
          <w:ilvl w:val="0"/>
          <w:numId w:val="3"/>
        </w:numPr>
        <w:spacing w:after="40" w:before="40"/>
      </w:pPr>
      <w:r>
        <w:rPr>
          <w:rFonts w:ascii="Arial" w:cs="Arial" w:eastAsia="Arial" w:hAnsi="Arial"/>
          <w:sz w:val="22"/>
          <w:szCs w:val="22"/>
        </w:rPr>
        <w:t xml:space="preserve">Scoring Phase: Surviving nodes are ranked using a weighted combination of priority functions (scorers). Default scorers include LeastRequestedPriority (favoring nodes with more available resources), BalancedResourceAllocation (favoring balanced CPU-to-memory usage ratios), NodeAffinityPriority, and InterPodAffinityPriority.</w:t>
      </w:r>
    </w:p>
    <w:p>
      <w:pPr>
        <w:spacing w:after="60" w:before="60"/>
      </w:pPr>
      <w:r>
        <w:t xml:space="preserve"/>
      </w:r>
    </w:p>
    <w:p>
      <w:pPr>
        <w:spacing w:after="80" w:before="80" w:line="320"/>
        <w:jc w:val="both"/>
      </w:pPr>
      <w:r>
        <w:rPr>
          <w:rFonts w:ascii="Arial" w:cs="Arial" w:eastAsia="Arial" w:hAnsi="Arial"/>
          <w:sz w:val="22"/>
          <w:szCs w:val="22"/>
        </w:rPr>
        <w:t xml:space="preserve">The node with the highest aggregate score is selected. In case of ties, a random selection is made. This deterministic-yet-oblivious approach lacks feedback loops and cannot adapt to real-time workload dynamics, motivating the extensions discussed in subsequent sections.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2.3 Scheduling Framework</w:t>
      </w:r>
    </w:p>
    <w:p>
      <w:pPr>
        <w:spacing w:after="80" w:before="80" w:line="320"/>
        <w:jc w:val="both"/>
      </w:pPr>
      <w:r>
        <w:rPr>
          <w:rFonts w:ascii="Arial" w:cs="Arial" w:eastAsia="Arial" w:hAnsi="Arial"/>
          <w:sz w:val="22"/>
          <w:szCs w:val="22"/>
        </w:rPr>
        <w:t xml:space="preserve">Introduced in Kubernetes 1.15 (stable in 1.19), the Scheduling Framework replaces the older extender model with an in-process plugin architecture. It defines well-typed extension points — PreFilter, Filter, PostFilter, PreScore, Score, Reserve, Permit, PreBind, Bind, PostBind, and Unreserve — that allow plugins to inject logic at each stage of the scheduling cycle without forking the scheduler binary. This composability is central to most modern optimization approaches and will be referenced extensively throughout this survey.</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3. Resource-Aware Scheduling</w:t>
      </w:r>
    </w:p>
    <w:p>
      <w:pPr>
        <w:pStyle w:val="Heading2"/>
        <w:spacing w:after="80" w:before="240"/>
      </w:pPr>
      <w:r>
        <w:rPr>
          <w:rFonts w:ascii="Arial" w:cs="Arial" w:eastAsia="Arial" w:hAnsi="Arial"/>
          <w:b/>
          <w:bCs/>
          <w:color w:val="2E75B6"/>
          <w:sz w:val="28"/>
          <w:szCs w:val="28"/>
        </w:rPr>
        <w:t xml:space="preserve">3.1 Multi-Dimensional Bin Packing</w:t>
      </w:r>
    </w:p>
    <w:p>
      <w:pPr>
        <w:spacing w:after="80" w:before="80" w:line="320"/>
        <w:jc w:val="both"/>
      </w:pPr>
      <w:r>
        <w:rPr>
          <w:rFonts w:ascii="Arial" w:cs="Arial" w:eastAsia="Arial" w:hAnsi="Arial"/>
          <w:sz w:val="22"/>
          <w:szCs w:val="22"/>
        </w:rPr>
        <w:t xml:space="preserve">Classic bin-packing formulations treat pod placement as packing items (pods with multi-dimensional resource profiles) into bins (nodes with capacity vectors). The default scheduler's LeastRequestedPriority scorer approximates a first-fit-decreasing heuristic, which is computationally tractable but sub-optimal for tight packing. Gog et al. (2016) demonstrated that replacing this heuristic with a Dominant Resource Fairness (DRF) aware scorer reduces cluster fragmentation by up to 23% in heterogeneous workload mixes.</w:t>
      </w:r>
    </w:p>
    <w:p>
      <w:pPr>
        <w:spacing w:after="60" w:before="60"/>
      </w:pPr>
      <w:r>
        <w:t xml:space="preserve"/>
      </w:r>
    </w:p>
    <w:p>
      <w:pPr>
        <w:spacing w:after="80" w:before="80" w:line="320"/>
        <w:jc w:val="both"/>
      </w:pPr>
      <w:r>
        <w:rPr>
          <w:rFonts w:ascii="Arial" w:cs="Arial" w:eastAsia="Arial" w:hAnsi="Arial"/>
          <w:sz w:val="22"/>
          <w:szCs w:val="22"/>
        </w:rPr>
        <w:t xml:space="preserve">The Tetris scheduler (Grandl et al., 2014), while originally designed for Mesos, introduced the concept of multi-dimensional alignment scores that quantify how well a task's resource vector aligns with a machine's available capacity vector. Adaptations of this idea for Kubernetes have been implemented via custom Score plugins, yielding packing efficiency improvements of 15-30% in reported benchmarks.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3.2 Extended Resource Types</w:t>
      </w:r>
    </w:p>
    <w:p>
      <w:pPr>
        <w:spacing w:after="80" w:before="80" w:line="320"/>
        <w:jc w:val="both"/>
      </w:pPr>
      <w:r>
        <w:rPr>
          <w:rFonts w:ascii="Arial" w:cs="Arial" w:eastAsia="Arial" w:hAnsi="Arial"/>
          <w:sz w:val="22"/>
          <w:szCs w:val="22"/>
        </w:rPr>
        <w:t xml:space="preserve">Kubernetes supports extended resources via the Device Plugin API, enabling scheduling of GPUs, FPGAs, SmartNICs, and other hardware accelerators. However, the default scheduler treats extended resources as opaque integer quantities without topological awareness. This is problematic for multi-GPU nodes where NUMA locality, PCIe bandwidth, and NVLink interconnect topology dramatically affect performance.</w:t>
      </w:r>
    </w:p>
    <w:p>
      <w:pPr>
        <w:spacing w:after="60" w:before="60"/>
      </w:pPr>
      <w:r>
        <w:t xml:space="preserve"/>
      </w:r>
    </w:p>
    <w:p>
      <w:pPr>
        <w:spacing w:after="80" w:before="80" w:line="320"/>
        <w:jc w:val="both"/>
      </w:pPr>
      <w:r>
        <w:rPr>
          <w:rFonts w:ascii="Arial" w:cs="Arial" w:eastAsia="Arial" w:hAnsi="Arial"/>
          <w:sz w:val="22"/>
          <w:szCs w:val="22"/>
        </w:rPr>
        <w:t xml:space="preserve">The NVIDIA GPU Operator integrates with Kubernetes to expose per-GPU attributes, while the Topology Manager (stable in K8s 1.27) coordinates CPU, memory, and device allocation to enforce NUMA-aligned assignment. Research by Zhao et al. (2023) shows that NUMA-unaware GPU scheduling incurs bandwidth penalties of 40-60% for memory-intensive deep learning inference workloads.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3.3 Memory Overcommitment and QoS Classes</w:t>
      </w:r>
    </w:p>
    <w:p>
      <w:pPr>
        <w:spacing w:after="80" w:before="80" w:line="320"/>
        <w:jc w:val="both"/>
      </w:pPr>
      <w:r>
        <w:rPr>
          <w:rFonts w:ascii="Arial" w:cs="Arial" w:eastAsia="Arial" w:hAnsi="Arial"/>
          <w:sz w:val="22"/>
          <w:szCs w:val="22"/>
        </w:rPr>
        <w:t xml:space="preserve">Kubernetes defines three Quality of Service (QoS) classes based on resource request/limit configuration: Guaranteed (requests equal limits), Burstable (requests less than limits), and BestEffort (no requests specified). The scheduler uses request values for placement, but actual runtime consumption often deviates significantly.</w:t>
      </w:r>
    </w:p>
    <w:p>
      <w:pPr>
        <w:spacing w:after="60" w:before="60"/>
      </w:pPr>
      <w:r>
        <w:t xml:space="preserve"/>
      </w:r>
    </w:p>
    <w:p>
      <w:pPr>
        <w:spacing w:after="80" w:before="80" w:line="320"/>
        <w:jc w:val="both"/>
      </w:pPr>
      <w:r>
        <w:rPr>
          <w:rFonts w:ascii="Arial" w:cs="Arial" w:eastAsia="Arial" w:hAnsi="Arial"/>
          <w:sz w:val="22"/>
          <w:szCs w:val="22"/>
        </w:rPr>
        <w:t xml:space="preserve">Memory overcommitment strategies — where aggregate pod requests exceed node capacity — can improve cluster utilization but introduce eviction risk. The kubelet's eviction manager handles runtime pressure by evicting BestEffort pods first, then Burstable pods exceeding their requests, but this is reactive rather than proactive. Proactive scheduling approaches such as the one proposed by Liu et al. (2022) incorporate historical memory usage percentiles to conservatively limit overcommitment ratios, reducing OOM eviction events by 78% in a production telemetry dataset.</w:t>
      </w:r>
    </w:p>
    <w:p>
      <w:pPr>
        <w:spacing w:after="60" w:before="60"/>
      </w:pPr>
      <w:r>
        <w:t xml:space="preserve"/>
      </w:r>
    </w:p>
    <w:p>
      <w:pPr>
        <w:spacing w:after="60" w:before="60"/>
      </w:pPr>
      <w:r>
        <w:t xml:space="preserve"/>
      </w:r>
    </w:p>
    <w:p>
      <w:pPr>
        <w:spacing w:after="120" w:before="60"/>
        <w:jc w:val="center"/>
      </w:pPr>
      <w:r>
        <w:rPr>
          <w:rFonts w:ascii="Arial" w:cs="Arial" w:eastAsia="Arial" w:hAnsi="Arial"/>
          <w:i/>
          <w:iCs/>
          <w:color w:val="595959"/>
          <w:sz w:val="18"/>
          <w:szCs w:val="18"/>
        </w:rPr>
        <w:t xml:space="preserve">Table 1: Comparison of Resource-Aware Scheduling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Optimization Target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K8s Integration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Reported Gain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LeastRequested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utilization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Tetris-style Alignment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Packing efficiency</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Score Plugin</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15-30% frag. reduction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DRF-aware Scoring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Fairness + utilization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Plugin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frag. reduction</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NUMA-aware GPU Sched.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Memory bandwidth</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O(N·G)</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Topology Mgr + Plugin</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40-60% BW recovery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Proactive OOM Control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Eviction rate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 Permit Plugin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 OOM reduction</w:t>
            </w:r>
          </w:p>
        </w:tc>
      </w:tr>
    </w:tbl>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4. Topology and Locality-Aware Scheduling</w:t>
      </w:r>
    </w:p>
    <w:p>
      <w:pPr>
        <w:pStyle w:val="Heading2"/>
        <w:spacing w:after="80" w:before="240"/>
      </w:pPr>
      <w:r>
        <w:rPr>
          <w:rFonts w:ascii="Arial" w:cs="Arial" w:eastAsia="Arial" w:hAnsi="Arial"/>
          <w:b/>
          <w:bCs/>
          <w:color w:val="2E75B6"/>
          <w:sz w:val="28"/>
          <w:szCs w:val="28"/>
        </w:rPr>
        <w:t xml:space="preserve">4.1 Network Topology Awareness</w:t>
      </w:r>
    </w:p>
    <w:p>
      <w:pPr>
        <w:spacing w:after="80" w:before="80" w:line="320"/>
        <w:jc w:val="both"/>
      </w:pPr>
      <w:r>
        <w:rPr>
          <w:rFonts w:ascii="Arial" w:cs="Arial" w:eastAsia="Arial" w:hAnsi="Arial"/>
          <w:sz w:val="22"/>
          <w:szCs w:val="22"/>
        </w:rPr>
        <w:t xml:space="preserve">In large clusters, network bandwidth and latency are not uniform. Pods communicating across rack boundaries incur higher latency and contend for less abundant inter-rack bandwidth. Topology-aware scheduling aims to co-locate communicating pods within the same rack, availability zone, or region.</w:t>
      </w:r>
    </w:p>
    <w:p>
      <w:pPr>
        <w:spacing w:after="60" w:before="60"/>
      </w:pPr>
      <w:r>
        <w:t xml:space="preserve"/>
      </w:r>
    </w:p>
    <w:p>
      <w:pPr>
        <w:spacing w:after="80" w:before="80" w:line="320"/>
        <w:jc w:val="both"/>
      </w:pPr>
      <w:r>
        <w:rPr>
          <w:rFonts w:ascii="Arial" w:cs="Arial" w:eastAsia="Arial" w:hAnsi="Arial"/>
          <w:sz w:val="22"/>
          <w:szCs w:val="22"/>
        </w:rPr>
        <w:t xml:space="preserve">Kubernetes exposes node topology labels (topology.kubernetes.io/zone, topology.kubernetes.io/region) and the TopologySpreadConstraints API allows specifying maximum tolerated skew across topology domains. However, spread constraints target anti-affinity use cases (distributing replicas for fault tolerance) rather than co-location for performance. Custom Score plugins that model the pod communication graph and minimize inter-topology communication edges have been proposed by multiple authors (Mao et al., 2019; Li et al., 2021).</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4.2 Data Locality in Stateful Workloads</w:t>
      </w:r>
    </w:p>
    <w:p>
      <w:pPr>
        <w:spacing w:after="80" w:before="80" w:line="320"/>
        <w:jc w:val="both"/>
      </w:pPr>
      <w:r>
        <w:rPr>
          <w:rFonts w:ascii="Arial" w:cs="Arial" w:eastAsia="Arial" w:hAnsi="Arial"/>
          <w:sz w:val="22"/>
          <w:szCs w:val="22"/>
        </w:rPr>
        <w:t xml:space="preserve">Data-intensive workloads — Spark jobs, database replicas, ML training with large datasets — benefit from scheduling pods near their data. HDFS-aware schedulers developed for Kubernetes attempt to read HDFS block placement information and score nodes by the fraction of required data already resident on local or adjacent storage. Studies report 2-4x improvement in job completion time for I/O-bound Spark workloads when data locality is incorporated into scheduling decisions.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4.3 Latency-Sensitive Microservices</w:t>
      </w:r>
    </w:p>
    <w:p>
      <w:pPr>
        <w:spacing w:after="80" w:before="80" w:line="320"/>
        <w:jc w:val="both"/>
      </w:pPr>
      <w:r>
        <w:rPr>
          <w:rFonts w:ascii="Arial" w:cs="Arial" w:eastAsia="Arial" w:hAnsi="Arial"/>
          <w:sz w:val="22"/>
          <w:szCs w:val="22"/>
        </w:rPr>
        <w:t xml:space="preserve">For latency-sensitive microservice chains, tail latency is often dominated by the slowest call in a service dependency graph. Service mesh telemetry (e.g., from Istio or Linkerd) provides real-time latency histograms per service pair that can inform scheduling decisions. The Heracles scheduler (Lo et al., 2015) demonstrated that co-location interference between latency-sensitive and batch workloads can be quantified and avoided through hardware performance counter monitoring. Adaptations for Kubernetes leverage custom metrics via the Metrics API and implement interference-aware score functions.</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5. Machine Learning-Driven Scheduling</w:t>
      </w:r>
    </w:p>
    <w:p>
      <w:pPr>
        <w:pStyle w:val="Heading2"/>
        <w:spacing w:after="80" w:before="240"/>
      </w:pPr>
      <w:r>
        <w:rPr>
          <w:rFonts w:ascii="Arial" w:cs="Arial" w:eastAsia="Arial" w:hAnsi="Arial"/>
          <w:b/>
          <w:bCs/>
          <w:color w:val="2E75B6"/>
          <w:sz w:val="28"/>
          <w:szCs w:val="28"/>
        </w:rPr>
        <w:t xml:space="preserve">5.1 Reinforcement Learning Approaches</w:t>
      </w:r>
    </w:p>
    <w:p>
      <w:pPr>
        <w:spacing w:after="80" w:before="80" w:line="320"/>
        <w:jc w:val="both"/>
      </w:pPr>
      <w:r>
        <w:rPr>
          <w:rFonts w:ascii="Arial" w:cs="Arial" w:eastAsia="Arial" w:hAnsi="Arial"/>
          <w:sz w:val="22"/>
          <w:szCs w:val="22"/>
        </w:rPr>
        <w:t xml:space="preserve">Reinforcement learning (RL) is a natural fit for scheduling problems where the objective function is complex and the environment is partially observable and non-stationary. Mao et al. (2019) proposed Decima, a graph neural network (GNN) based RL scheduler for DAG-structured jobs on a Spark cluster. Decima learns to decompose jobs and schedule stages to minimize average job completion time, outperforming heuristic baselines by 21% in simulation and 19% in real cluster experiments.</w:t>
      </w:r>
    </w:p>
    <w:p>
      <w:pPr>
        <w:spacing w:after="60" w:before="60"/>
      </w:pPr>
      <w:r>
        <w:t xml:space="preserve"/>
      </w:r>
    </w:p>
    <w:p>
      <w:pPr>
        <w:spacing w:after="80" w:before="80" w:line="320"/>
        <w:jc w:val="both"/>
      </w:pPr>
      <w:r>
        <w:rPr>
          <w:rFonts w:ascii="Arial" w:cs="Arial" w:eastAsia="Arial" w:hAnsi="Arial"/>
          <w:sz w:val="22"/>
          <w:szCs w:val="22"/>
        </w:rPr>
        <w:t xml:space="preserve">Liu et al. (2023) adapted the RL scheduling paradigm to Kubernetes, formulating pod placement as a Markov Decision Process (MDP) where the state encodes cluster resource utilization, pod resource profiles, and pending queue depth. A proximal policy optimization (PPO) agent is trained in a Kubernetes simulator and evaluated against the default scheduler on mixed workload traces. Results indicate a 12-18% reduction in average pod pending time and 8% improvement in cluster utilization.</w:t>
      </w:r>
    </w:p>
    <w:p>
      <w:pPr>
        <w:spacing w:after="60" w:before="60"/>
      </w:pPr>
      <w:r>
        <w:t xml:space="preserve"/>
      </w:r>
    </w:p>
    <w:p>
      <w:pPr>
        <w:spacing w:after="80" w:before="80" w:line="320"/>
        <w:jc w:val="both"/>
      </w:pPr>
      <w:r>
        <w:rPr>
          <w:rFonts w:ascii="Arial" w:cs="Arial" w:eastAsia="Arial" w:hAnsi="Arial"/>
          <w:sz w:val="22"/>
          <w:szCs w:val="22"/>
        </w:rPr>
        <w:t xml:space="preserve">A critical challenge for RL-based schedulers is the simulation-to-real gap: policies trained in simulation often degrade when deployed against real workload variability. Domain randomization and sim-to-real transfer techniques borrowed from robotics have been applied with partial success. Continuous online fine-tuning, where the deployed policy is updated using real cluster experience, represents a promising direction but raises safety concerns around policy instability.</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5.2 Supervised Learning for Resource Prediction</w:t>
      </w:r>
    </w:p>
    <w:p>
      <w:pPr>
        <w:spacing w:after="80" w:before="80" w:line="320"/>
        <w:jc w:val="both"/>
      </w:pPr>
      <w:r>
        <w:rPr>
          <w:rFonts w:ascii="Arial" w:cs="Arial" w:eastAsia="Arial" w:hAnsi="Arial"/>
          <w:sz w:val="22"/>
          <w:szCs w:val="22"/>
        </w:rPr>
        <w:t xml:space="preserve">A complementary ML application is predicting future resource consumption of pods or jobs to inform scheduling at submission time. Traditional approaches use static resource requests declared in the PodSpec, which are frequently inaccurate. Google's Borg cluster trace analysis (Reiss et al., 2011) showed that actual CPU usage was less than 30% of requested in the median case — a substantial waste.</w:t>
      </w:r>
    </w:p>
    <w:p>
      <w:pPr>
        <w:spacing w:after="60" w:before="60"/>
      </w:pPr>
      <w:r>
        <w:t xml:space="preserve"/>
      </w:r>
    </w:p>
    <w:p>
      <w:pPr>
        <w:spacing w:after="80" w:before="80" w:line="320"/>
        <w:jc w:val="both"/>
      </w:pPr>
      <w:r>
        <w:rPr>
          <w:rFonts w:ascii="Arial" w:cs="Arial" w:eastAsia="Arial" w:hAnsi="Arial"/>
          <w:sz w:val="22"/>
          <w:szCs w:val="22"/>
        </w:rPr>
        <w:t xml:space="preserve">Supervised learning models trained on historical pod telemetry (container metrics server data, cAdvisor metrics) can produce calibrated resource usage percentile estimates. These estimates can replace or supplement user-declared requests in the scheduling decision. Kubernetes' Vertical Pod Autoscaler (VPA) implements a simple version of this idea using a moving percentile model; more sophisticated LSTM and Transformer-based approaches have been proposed in the research literature with 25-40% better prediction accuracy on workload traces with temporal patterns.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5.3 Neural Combinatorial Optimization</w:t>
      </w:r>
    </w:p>
    <w:p>
      <w:pPr>
        <w:spacing w:after="80" w:before="80" w:line="320"/>
        <w:jc w:val="both"/>
      </w:pPr>
      <w:r>
        <w:rPr>
          <w:rFonts w:ascii="Arial" w:cs="Arial" w:eastAsia="Arial" w:hAnsi="Arial"/>
          <w:sz w:val="22"/>
          <w:szCs w:val="22"/>
        </w:rPr>
        <w:t xml:space="preserve">Neural combinatorial optimization (NCO) applies sequence-to-sequence or attention-based architectures to produce approximate solutions to NP-hard combinatorial problems. The Attention Model (Kool et al., 2019) applied to the Travelling Salesman Problem inspired adaptations for the pod-to-node assignment problem. Transformer-based schedulers encode the cluster state as a set of node embeddings and decode a pod placement sequence autoregressively, learning policies that achieve near-optimal bin-packing with sub-millisecond inference latency.</w:t>
      </w:r>
    </w:p>
    <w:p>
      <w:pPr>
        <w:spacing w:after="60" w:before="60"/>
      </w:pPr>
      <w:r>
        <w:t xml:space="preserve"/>
      </w:r>
    </w:p>
    <w:p>
      <w:pPr>
        <w:spacing w:after="60" w:before="60"/>
      </w:pPr>
      <w:r>
        <w:t xml:space="preserve"/>
      </w:r>
    </w:p>
    <w:p>
      <w:pPr>
        <w:spacing w:after="120" w:before="60"/>
        <w:jc w:val="center"/>
      </w:pPr>
      <w:r>
        <w:rPr>
          <w:rFonts w:ascii="Arial" w:cs="Arial" w:eastAsia="Arial" w:hAnsi="Arial"/>
          <w:i/>
          <w:iCs/>
          <w:color w:val="595959"/>
          <w:sz w:val="18"/>
          <w:szCs w:val="18"/>
        </w:rPr>
        <w:t xml:space="preserve">Table 2: ML-Based Scheduling Approaches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Training Signal</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 vs. Default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 (Mao 2019)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GNN + RL (REINFORCE)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Simulator + real traces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job completion time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simulated, -19% real</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PPO Pod Placer (Liu 2023)</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PPO + MLP</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K8s simulator</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Avg pending time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 to -18%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Resource Pred.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 quantile regression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pod metrics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Prediction MAPE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25-40% over VPA</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Transformer NCO</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Attention Model</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Supervised + RL</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 packing efficiency</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 over heuristic</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RL Adaptation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SAC (online)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cluster reward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 violation rate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after convergence</w:t>
            </w:r>
          </w:p>
        </w:tc>
      </w:tr>
    </w:tbl>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6. Gang Scheduling and Distributed Workloads</w:t>
      </w:r>
    </w:p>
    <w:p>
      <w:pPr>
        <w:pStyle w:val="Heading2"/>
        <w:spacing w:after="80" w:before="240"/>
      </w:pPr>
      <w:r>
        <w:rPr>
          <w:rFonts w:ascii="Arial" w:cs="Arial" w:eastAsia="Arial" w:hAnsi="Arial"/>
          <w:b/>
          <w:bCs/>
          <w:color w:val="2E75B6"/>
          <w:sz w:val="28"/>
          <w:szCs w:val="28"/>
        </w:rPr>
        <w:t xml:space="preserve">6.1 The Gang Scheduling Problem</w:t>
      </w:r>
    </w:p>
    <w:p>
      <w:pPr>
        <w:spacing w:after="80" w:before="80" w:line="320"/>
        <w:jc w:val="both"/>
      </w:pPr>
      <w:r>
        <w:rPr>
          <w:rFonts w:ascii="Arial" w:cs="Arial" w:eastAsia="Arial" w:hAnsi="Arial"/>
          <w:sz w:val="22"/>
          <w:szCs w:val="22"/>
        </w:rPr>
        <w:t xml:space="preserve">Distributed machine learning frameworks — PyTorch Distributed Data Parallel (DDP), Horovod, TensorFlow Parameter Server — require all worker pods to be simultaneously schedulable and running to make progress. Partial gang failures — where only a subset of required pods can be placed — result in indefinite blocking of the entire job, wasting resources on already-placed pods.</w:t>
      </w:r>
    </w:p>
    <w:p>
      <w:pPr>
        <w:spacing w:after="60" w:before="60"/>
      </w:pPr>
      <w:r>
        <w:t xml:space="preserve"/>
      </w:r>
    </w:p>
    <w:p>
      <w:pPr>
        <w:spacing w:after="80" w:before="80" w:line="320"/>
        <w:jc w:val="both"/>
      </w:pPr>
      <w:r>
        <w:rPr>
          <w:rFonts w:ascii="Arial" w:cs="Arial" w:eastAsia="Arial" w:hAnsi="Arial"/>
          <w:sz w:val="22"/>
          <w:szCs w:val="22"/>
        </w:rPr>
        <w:t xml:space="preserve">The default Kubernetes scheduler schedules pods independently, providing no coordination across a multi-pod job. This can lead to head-of-line blocking where a large job partially occupies cluster resources, preventing smaller jobs from proceeding while itself unable to complete — a form of distributed deadlock.</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6.2 Volcano and Batch Scheduling</w:t>
      </w:r>
    </w:p>
    <w:p>
      <w:pPr>
        <w:spacing w:after="80" w:before="80" w:line="320"/>
        <w:jc w:val="both"/>
      </w:pPr>
      <w:r>
        <w:rPr>
          <w:rFonts w:ascii="Arial" w:cs="Arial" w:eastAsia="Arial" w:hAnsi="Arial"/>
          <w:sz w:val="22"/>
          <w:szCs w:val="22"/>
        </w:rPr>
        <w:t xml:space="preserve">Volcano (Wang et al., 2020) is a batch scheduling system built on Kubernetes that adds PodGroup and Queue abstractions for gang scheduling semantics. Volcano's scheduler implements a two-phase approach: it first allocates a quota of resources to a queue, then schedules pods within the queue as a gang, only binding pods to nodes when the minimum gang size (minAvailable) can be satisfied simultaneously.</w:t>
      </w:r>
    </w:p>
    <w:p>
      <w:pPr>
        <w:spacing w:after="60" w:before="60"/>
      </w:pPr>
      <w:r>
        <w:t xml:space="preserve"/>
      </w:r>
    </w:p>
    <w:p>
      <w:pPr>
        <w:spacing w:after="80" w:before="80" w:line="320"/>
        <w:jc w:val="both"/>
      </w:pPr>
      <w:r>
        <w:rPr>
          <w:rFonts w:ascii="Arial" w:cs="Arial" w:eastAsia="Arial" w:hAnsi="Arial"/>
          <w:sz w:val="22"/>
          <w:szCs w:val="22"/>
        </w:rPr>
        <w:t xml:space="preserve">Volcano supports multiple scheduling actions (enqueue, allocate, preempt, reclaim) and plugins (DRF, proportion, priority, SLA) that can be composed to implement complex multi-tenant scheduling policies. Benchmarks on a 500-node cluster demonstrate 35% improvement in GPU utilization for distributed training workloads compared to naive pod-level scheduling.</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6.3 Coscheduling and the Scheduling Framework</w:t>
      </w:r>
    </w:p>
    <w:p>
      <w:pPr>
        <w:spacing w:after="80" w:before="80" w:line="320"/>
        <w:jc w:val="both"/>
      </w:pPr>
      <w:r>
        <w:rPr>
          <w:rFonts w:ascii="Arial" w:cs="Arial" w:eastAsia="Arial" w:hAnsi="Arial"/>
          <w:sz w:val="22"/>
          <w:szCs w:val="22"/>
        </w:rPr>
        <w:t xml:space="preserve">The Kubernetes Scheduler Framework introduced a Permit extension point specifically to enable gang scheduling without a separate scheduler. The coscheduling plugin, maintained in the scheduler-plugins repository, uses the Permit phase to hold (park) pods belonging to a PodGroup until the minimum gang size has passed PreFilter and Filter, at which point all are permitted simultaneously.</w:t>
      </w:r>
    </w:p>
    <w:p>
      <w:pPr>
        <w:spacing w:after="60" w:before="60"/>
      </w:pPr>
      <w:r>
        <w:t xml:space="preserve"/>
      </w:r>
    </w:p>
    <w:p>
      <w:pPr>
        <w:spacing w:after="80" w:before="80" w:line="320"/>
        <w:jc w:val="both"/>
      </w:pPr>
      <w:r>
        <w:rPr>
          <w:rFonts w:ascii="Arial" w:cs="Arial" w:eastAsia="Arial" w:hAnsi="Arial"/>
          <w:sz w:val="22"/>
          <w:szCs w:val="22"/>
        </w:rPr>
        <w:t xml:space="preserve">The coscheduling plugin is increasingly preferred over Volcano for environments that do not require Volcano's full batch scheduling feature set, as it integrates directly into the default scheduler without deploying a separate binary. Comparative benchmarks show similar gang scheduling correctness with lower operational overhead.</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7. Multi-Cluster and Federation Scheduling</w:t>
      </w:r>
    </w:p>
    <w:p>
      <w:pPr>
        <w:pStyle w:val="Heading2"/>
        <w:spacing w:after="80" w:before="240"/>
      </w:pPr>
      <w:r>
        <w:rPr>
          <w:rFonts w:ascii="Arial" w:cs="Arial" w:eastAsia="Arial" w:hAnsi="Arial"/>
          <w:b/>
          <w:bCs/>
          <w:color w:val="2E75B6"/>
          <w:sz w:val="28"/>
          <w:szCs w:val="28"/>
        </w:rPr>
        <w:t xml:space="preserve">7.1 Kubefed and Its Limitations</w:t>
      </w:r>
    </w:p>
    <w:p>
      <w:pPr>
        <w:spacing w:after="80" w:before="80" w:line="320"/>
        <w:jc w:val="both"/>
      </w:pPr>
      <w:r>
        <w:rPr>
          <w:rFonts w:ascii="Arial" w:cs="Arial" w:eastAsia="Arial" w:hAnsi="Arial"/>
          <w:sz w:val="22"/>
          <w:szCs w:val="22"/>
        </w:rPr>
        <w:t xml:space="preserve">As organizations grow to operate multiple Kubernetes clusters (for geographic distribution, isolation, or multi-cloud strategies), workload federation becomes necessary. KubeFed v2 provided a control plane for propagating resources across clusters but offered only coarse-grained placement semantics (cluster selectors, weight-based distribution) without optimization of cross-cluster resource utilization.</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7.2 Karmada and Advanced Federation</w:t>
      </w:r>
    </w:p>
    <w:p>
      <w:pPr>
        <w:spacing w:after="80" w:before="80" w:line="320"/>
        <w:jc w:val="both"/>
      </w:pPr>
      <w:r>
        <w:rPr>
          <w:rFonts w:ascii="Arial" w:cs="Arial" w:eastAsia="Arial" w:hAnsi="Arial"/>
          <w:sz w:val="22"/>
          <w:szCs w:val="22"/>
        </w:rPr>
        <w:t xml:space="preserve">Karmada (Kubernetes Armada) represents the current state of the art in multi-cluster scheduling. It introduces PropagationPolicy and ClusterPropagationPolicy resources that support cluster affinity, toleration, spread constraints across clusters, and replica scheduling strategies (divided, duplicated, static weight, dynamic weight based on cluster capacity).</w:t>
      </w:r>
    </w:p>
    <w:p>
      <w:pPr>
        <w:spacing w:after="60" w:before="60"/>
      </w:pPr>
      <w:r>
        <w:t xml:space="preserve"/>
      </w:r>
    </w:p>
    <w:p>
      <w:pPr>
        <w:spacing w:after="80" w:before="80" w:line="320"/>
        <w:jc w:val="both"/>
      </w:pPr>
      <w:r>
        <w:rPr>
          <w:rFonts w:ascii="Arial" w:cs="Arial" w:eastAsia="Arial" w:hAnsi="Arial"/>
          <w:sz w:val="22"/>
          <w:szCs w:val="22"/>
        </w:rPr>
        <w:t xml:space="preserve">Karmada's scheduler extension mechanisms mirror those of the single-cluster Scheduling Framework, supporting custom Filter and Score plugins at the federation level. This enables implementation of cross-cluster bin-packing, latency-optimized placement (routing to the cluster nearest to end users), and cost-aware placement (preferring spot instance capacity in cheaper regions).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7.3 Edge-Cloud Collaborative Scheduling</w:t>
      </w:r>
    </w:p>
    <w:p>
      <w:pPr>
        <w:spacing w:after="80" w:before="80" w:line="320"/>
        <w:jc w:val="both"/>
      </w:pPr>
      <w:r>
        <w:rPr>
          <w:rFonts w:ascii="Arial" w:cs="Arial" w:eastAsia="Arial" w:hAnsi="Arial"/>
          <w:sz w:val="22"/>
          <w:szCs w:val="22"/>
        </w:rPr>
        <w:t xml:space="preserve">KubeEdge and OpenYurt extend Kubernetes to edge nodes, creating edge-cloud collaborative architectures where scheduling must account for intermittent connectivity, severely constrained edge resources, and strict data residency requirements. Scheduling frameworks for these environments must handle partial connectivity (edge nodes may be temporarily unreachable from the control plane) and adopt autonomy policies that keep edge workloads running during disconnection.</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8. Emerging Directions</w:t>
      </w:r>
    </w:p>
    <w:p>
      <w:pPr>
        <w:pStyle w:val="Heading2"/>
        <w:spacing w:after="80" w:before="240"/>
      </w:pPr>
      <w:r>
        <w:rPr>
          <w:rFonts w:ascii="Arial" w:cs="Arial" w:eastAsia="Arial" w:hAnsi="Arial"/>
          <w:b/>
          <w:bCs/>
          <w:color w:val="2E75B6"/>
          <w:sz w:val="28"/>
          <w:szCs w:val="28"/>
        </w:rPr>
        <w:t xml:space="preserve">8.1 Serverless and Function-Level Scheduling</w:t>
      </w:r>
    </w:p>
    <w:p>
      <w:pPr>
        <w:spacing w:after="80" w:before="80" w:line="320"/>
        <w:jc w:val="both"/>
      </w:pPr>
      <w:r>
        <w:rPr>
          <w:rFonts w:ascii="Arial" w:cs="Arial" w:eastAsia="Arial" w:hAnsi="Arial"/>
          <w:sz w:val="22"/>
          <w:szCs w:val="22"/>
        </w:rPr>
        <w:t xml:space="preserve">Serverless platforms built on Kubernetes (Knative, OpenFaaS, Fission) invoke functions at millisecond granularity, making the overhead of the default scheduler (which processes a single pod per scheduling cycle) a significant bottleneck. Cold-start latency — dominated by image pull, container initialization, and scheduling delay — is a key performance metric for serverless workloads.</w:t>
      </w:r>
    </w:p>
    <w:p>
      <w:pPr>
        <w:spacing w:after="60" w:before="60"/>
      </w:pPr>
      <w:r>
        <w:t xml:space="preserve"/>
      </w:r>
    </w:p>
    <w:p>
      <w:pPr>
        <w:spacing w:after="80" w:before="80" w:line="320"/>
        <w:jc w:val="both"/>
      </w:pPr>
      <w:r>
        <w:rPr>
          <w:rFonts w:ascii="Arial" w:cs="Arial" w:eastAsia="Arial" w:hAnsi="Arial"/>
          <w:sz w:val="22"/>
          <w:szCs w:val="22"/>
        </w:rPr>
        <w:t xml:space="preserve">Research on serverless scheduling optimization focuses on three strategies: pre-warming containers on predicted nodes to eliminate cold-start delay, adaptive function placement that co-locates frequently co-invoked functions, and lightweight scheduling paths that bypass the full scheduler pipeline for short-lived functions using pre-reserved node slots.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8.2 Carbon-Aware and Sustainable Scheduling</w:t>
      </w:r>
    </w:p>
    <w:p>
      <w:pPr>
        <w:spacing w:after="80" w:before="80" w:line="320"/>
        <w:jc w:val="both"/>
      </w:pPr>
      <w:r>
        <w:rPr>
          <w:rFonts w:ascii="Arial" w:cs="Arial" w:eastAsia="Arial" w:hAnsi="Arial"/>
          <w:sz w:val="22"/>
          <w:szCs w:val="22"/>
        </w:rPr>
        <w:t xml:space="preserve">Data center sustainability has become a first-class concern. Carbon-aware scheduling routes workloads to geographic regions with lower grid carbon intensity or defers batch workloads to time windows with higher renewable energy penetration. The Carbon Aware KEDA Operator integrates real-time carbon intensity signals from the Electricity Maps API into Kubernetes autoscaling decisions, scaling down non-critical workloads during high-carbon periods.</w:t>
      </w:r>
    </w:p>
    <w:p>
      <w:pPr>
        <w:spacing w:after="60" w:before="60"/>
      </w:pPr>
      <w:r>
        <w:t xml:space="preserve"/>
      </w:r>
    </w:p>
    <w:p>
      <w:pPr>
        <w:spacing w:after="80" w:before="80" w:line="320"/>
        <w:jc w:val="both"/>
      </w:pPr>
      <w:r>
        <w:rPr>
          <w:rFonts w:ascii="Arial" w:cs="Arial" w:eastAsia="Arial" w:hAnsi="Arial"/>
          <w:sz w:val="22"/>
          <w:szCs w:val="22"/>
        </w:rPr>
        <w:t xml:space="preserve">Formal carbon-aware scheduling at the pod placement level remains an open research problem. Key challenges include quantifying the marginal carbon impact of a scheduling decision, trading off carbon reduction against performance SLOs, and obtaining reliable real-time carbon intensity data for all cluster regions.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8.3 Confidential Computing and TEE-Aware Scheduling</w:t>
      </w:r>
    </w:p>
    <w:p>
      <w:pPr>
        <w:spacing w:after="80" w:before="80" w:line="320"/>
        <w:jc w:val="both"/>
      </w:pPr>
      <w:r>
        <w:rPr>
          <w:rFonts w:ascii="Arial" w:cs="Arial" w:eastAsia="Arial" w:hAnsi="Arial"/>
          <w:sz w:val="22"/>
          <w:szCs w:val="22"/>
        </w:rPr>
        <w:t xml:space="preserve">Confidential computing workloads require execution within hardware-enforced Trusted Execution Environments (TEEs) such as Intel TDX, AMD SEV-SNP, or ARM TrustZone. TEE-capable nodes are a scarce resource, and scheduling confidential pods requires verifying node attestation status, matching TEE technology requirements, and avoiding co-location of confidential workloads with untrusted pods that could mount side-channel attacks. TEE-aware scheduling plugins represent an emerging research area at the intersection of security and systems.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8.4 LLM Inference Scheduling</w:t>
      </w:r>
    </w:p>
    <w:p>
      <w:pPr>
        <w:spacing w:after="80" w:before="80" w:line="320"/>
        <w:jc w:val="both"/>
      </w:pPr>
      <w:r>
        <w:rPr>
          <w:rFonts w:ascii="Arial" w:cs="Arial" w:eastAsia="Arial" w:hAnsi="Arial"/>
          <w:sz w:val="22"/>
          <w:szCs w:val="22"/>
        </w:rPr>
        <w:t xml:space="preserve">Large language model inference presents unique scheduling challenges: extremely high GPU memory requirements (70B+ parameter models require 140+ GB for full-precision inference), KV cache memory management that varies with request context length, and prefill/decode disaggregation architectures that separate compute-intensive prefill stages from memory-bandwidth-intensive decode stages. Systems such as vLLM, Sarathi-Serve, and Mooncake implement custom scheduling logic that must be integrated with or adapted for Kubernetes-level resource management.</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9. Unified Taxonomy of Kubernetes Scheduling Optimizations</w:t>
      </w:r>
    </w:p>
    <w:p>
      <w:pPr>
        <w:spacing w:after="80" w:before="80" w:line="320"/>
        <w:jc w:val="both"/>
      </w:pPr>
      <w:r>
        <w:rPr>
          <w:rFonts w:ascii="Arial" w:cs="Arial" w:eastAsia="Arial" w:hAnsi="Arial"/>
          <w:sz w:val="22"/>
          <w:szCs w:val="22"/>
        </w:rPr>
        <w:t xml:space="preserve">Based on the survey, we propose a six-dimensional taxonomy that classifies scheduling optimization approaches along the following axes: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Resource Dimension: CPU, memory, GPU, network bandwidth, storage IOPS, extended devices. Approaches targeting single vs. multi-dimensional resource types differ significantly in algorithmic complexity.</w:t>
      </w:r>
    </w:p>
    <w:p>
      <w:pPr>
        <w:pStyle w:val="ListParagraph"/>
        <w:numPr>
          <w:ilvl w:val="0"/>
          <w:numId w:val="2"/>
        </w:numPr>
        <w:spacing w:after="40" w:before="40"/>
      </w:pPr>
      <w:r>
        <w:rPr>
          <w:rFonts w:ascii="Arial" w:cs="Arial" w:eastAsia="Arial" w:hAnsi="Arial"/>
          <w:sz w:val="22"/>
          <w:szCs w:val="22"/>
        </w:rPr>
        <w:t xml:space="preserve">Topology Dimension: Node-level, rack-level, zone-level, region-level, cross-cluster, edge-cloud. Topology scope determines relevant constraints and information requirements.</w:t>
      </w:r>
    </w:p>
    <w:p>
      <w:pPr>
        <w:pStyle w:val="ListParagraph"/>
        <w:numPr>
          <w:ilvl w:val="0"/>
          <w:numId w:val="2"/>
        </w:numPr>
        <w:spacing w:after="40" w:before="40"/>
      </w:pPr>
      <w:r>
        <w:rPr>
          <w:rFonts w:ascii="Arial" w:cs="Arial" w:eastAsia="Arial" w:hAnsi="Arial"/>
          <w:sz w:val="22"/>
          <w:szCs w:val="22"/>
        </w:rPr>
        <w:t xml:space="preserve">Workload Specificity: General-purpose (all pod types), batch (job-oriented), latency-sensitive (SLO-constrained microservices), ML training (gang + GPU), serverless (short-lived functions), stateful (data locality).</w:t>
      </w:r>
    </w:p>
    <w:p>
      <w:pPr>
        <w:pStyle w:val="ListParagraph"/>
        <w:numPr>
          <w:ilvl w:val="0"/>
          <w:numId w:val="2"/>
        </w:numPr>
        <w:spacing w:after="40" w:before="40"/>
      </w:pPr>
      <w:r>
        <w:rPr>
          <w:rFonts w:ascii="Arial" w:cs="Arial" w:eastAsia="Arial" w:hAnsi="Arial"/>
          <w:sz w:val="22"/>
          <w:szCs w:val="22"/>
        </w:rPr>
        <w:t xml:space="preserve">Adaptivity: Static (policy fixed at deployment), reactive (responds to runtime signals), predictive (uses learned models), online-learning (continuously updates policy from experience).</w:t>
      </w:r>
    </w:p>
    <w:p>
      <w:pPr>
        <w:pStyle w:val="ListParagraph"/>
        <w:numPr>
          <w:ilvl w:val="0"/>
          <w:numId w:val="2"/>
        </w:numPr>
        <w:spacing w:after="40" w:before="40"/>
      </w:pPr>
      <w:r>
        <w:rPr>
          <w:rFonts w:ascii="Arial" w:cs="Arial" w:eastAsia="Arial" w:hAnsi="Arial"/>
          <w:sz w:val="22"/>
          <w:szCs w:val="22"/>
        </w:rPr>
        <w:t xml:space="preserve">Optimization Objective: Utilization, fairness, latency, throughput, cost, energy/carbon, SLO compliance, or composite weighted objectives.</w:t>
      </w:r>
    </w:p>
    <w:p>
      <w:pPr>
        <w:pStyle w:val="ListParagraph"/>
        <w:numPr>
          <w:ilvl w:val="0"/>
          <w:numId w:val="2"/>
        </w:numPr>
        <w:spacing w:after="40" w:before="40"/>
      </w:pPr>
      <w:r>
        <w:rPr>
          <w:rFonts w:ascii="Arial" w:cs="Arial" w:eastAsia="Arial" w:hAnsi="Arial"/>
          <w:sz w:val="22"/>
          <w:szCs w:val="22"/>
        </w:rPr>
        <w:t xml:space="preserve">Implementation Mechanism: Native scheduler configuration, Scheduling Framework plugin, standalone scheduler, webhook/extender, federation controller.</w:t>
      </w:r>
    </w:p>
    <w:p>
      <w:pPr>
        <w:spacing w:after="60" w:before="60"/>
      </w:pPr>
      <w:r>
        <w:t xml:space="preserve"/>
      </w:r>
    </w:p>
    <w:p>
      <w:pPr>
        <w:spacing w:after="60" w:before="60"/>
      </w:pPr>
      <w:r>
        <w:t xml:space="preserve"/>
      </w:r>
    </w:p>
    <w:p>
      <w:pPr>
        <w:spacing w:after="120" w:before="60"/>
        <w:jc w:val="center"/>
      </w:pPr>
      <w:r>
        <w:rPr>
          <w:rFonts w:ascii="Arial" w:cs="Arial" w:eastAsia="Arial" w:hAnsi="Arial"/>
          <w:i/>
          <w:iCs/>
          <w:color w:val="595959"/>
          <w:sz w:val="18"/>
          <w:szCs w:val="18"/>
        </w:rPr>
        <w:t xml:space="preserve">Table 3: Taxonomy Classification of Representative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Resource Dim.</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Topology</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Workload</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Adaptivity</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Objective</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kube-scheduler</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CPU+Mem</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Utilization</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w:t>
            </w:r>
          </w:p>
        </w:tc>
      </w:tr>
      <w:tr>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Tetris Alignment</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Multi-dim</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Node</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General</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Static</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Packing</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Score Plugin</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Volcano Gang Sched.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CPU+Mem+GPU</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Node+Zone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Batch+ML</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Throughput</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Standalone</w:t>
            </w:r>
          </w:p>
        </w:tc>
      </w:tr>
      <w:tr>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Decima RL</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CPU+Mem</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Node</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Batch</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Online Learning</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Completion Time</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Standalone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Coscheduling Plugin</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CPU+Mem+GPU</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ML</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Throughput</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FW Plugin</w:t>
            </w:r>
          </w:p>
        </w:tc>
      </w:tr>
      <w:tr>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Karmada DynWeight</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CPU+Mem</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Cross-Cluster</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General</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Reactive</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Utilization+Cost</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Federation</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Carbon-Aware KEDA</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Predictive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Carbon+Util.</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Autoscaler</w:t>
            </w:r>
          </w:p>
        </w:tc>
      </w:tr>
      <w:tr>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NUMA GPU Sched.</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GPU+Mem BW</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NUMA/Node</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 Inference</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Static</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Bandwidth</w:t>
            </w:r>
          </w:p>
        </w:tc>
        <w:tc>
          <w:tcPr>
            <w:tcW w:type="dxa" w:w="133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Topology Mgr</w:t>
            </w:r>
          </w:p>
        </w:tc>
      </w:tr>
    </w:tbl>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10. Open Challenges and Research Opportunities</w:t>
      </w:r>
    </w:p>
    <w:p>
      <w:pPr>
        <w:pStyle w:val="Heading2"/>
        <w:spacing w:after="80" w:before="240"/>
      </w:pPr>
      <w:r>
        <w:rPr>
          <w:rFonts w:ascii="Arial" w:cs="Arial" w:eastAsia="Arial" w:hAnsi="Arial"/>
          <w:b/>
          <w:bCs/>
          <w:color w:val="2E75B6"/>
          <w:sz w:val="28"/>
          <w:szCs w:val="28"/>
        </w:rPr>
        <w:t xml:space="preserve">10.1 Scalability of Scheduling Algorithms</w:t>
      </w:r>
    </w:p>
    <w:p>
      <w:pPr>
        <w:spacing w:after="80" w:before="80" w:line="320"/>
        <w:jc w:val="both"/>
      </w:pPr>
      <w:r>
        <w:rPr>
          <w:rFonts w:ascii="Arial" w:cs="Arial" w:eastAsia="Arial" w:hAnsi="Arial"/>
          <w:sz w:val="22"/>
          <w:szCs w:val="22"/>
        </w:rPr>
        <w:t xml:space="preserve">As clusters grow to thousands of nodes and hundreds of thousands of pods, the computational cost of scoring all nodes for every pod becomes prohibitive. The default scheduler addresses this via the percentageOfNodesToScore configuration option, which limits scoring to a sampled subset of nodes. However, sampling introduces suboptimality that compounds over time. Research on hierarchical scheduling (dividing the cluster into scheduling domains processed in parallel) and approximate nearest-neighbor search for node selection represents an important frontier.</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10.2 Real-Time Scheduling Guarantees</w:t>
      </w:r>
    </w:p>
    <w:p>
      <w:pPr>
        <w:spacing w:after="80" w:before="80" w:line="320"/>
        <w:jc w:val="both"/>
      </w:pPr>
      <w:r>
        <w:rPr>
          <w:rFonts w:ascii="Arial" w:cs="Arial" w:eastAsia="Arial" w:hAnsi="Arial"/>
          <w:sz w:val="22"/>
          <w:szCs w:val="22"/>
        </w:rPr>
        <w:t xml:space="preserve">Kubernetes was not designed for hard real-time workloads. The scheduling cycle latency — typically 5-50 ms for a small cluster, but potentially hundreds of milliseconds under load — is insufficient for real-time control systems. Research on lightweight scheduling paths, pre-committed resource pools, and integration with Linux real-time scheduling classes (SCHED_DEADLINE, SCHED_FIFO) at the container level represents a gap in current capabilities.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10.3 Scheduling Under Uncertainty</w:t>
      </w:r>
    </w:p>
    <w:p>
      <w:pPr>
        <w:spacing w:after="80" w:before="80" w:line="320"/>
        <w:jc w:val="both"/>
      </w:pPr>
      <w:r>
        <w:rPr>
          <w:rFonts w:ascii="Arial" w:cs="Arial" w:eastAsia="Arial" w:hAnsi="Arial"/>
          <w:sz w:val="22"/>
          <w:szCs w:val="22"/>
        </w:rPr>
        <w:t xml:space="preserve">Resource requests in Kubernetes are user-declared estimates, not guarantees. Actual consumption is variable and workload-dependent. Robust scheduling approaches that explicitly model uncertainty — using stochastic optimization, chance-constrained programming, or distributionally robust optimization — are underexplored in the Kubernetes-specific literature despite being well-studied in operations research.</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10.4 Security and Isolation in Multi-Tenant Clusters</w:t>
      </w:r>
    </w:p>
    <w:p>
      <w:pPr>
        <w:spacing w:after="80" w:before="80" w:line="320"/>
        <w:jc w:val="both"/>
      </w:pPr>
      <w:r>
        <w:rPr>
          <w:rFonts w:ascii="Arial" w:cs="Arial" w:eastAsia="Arial" w:hAnsi="Arial"/>
          <w:sz w:val="22"/>
          <w:szCs w:val="22"/>
        </w:rPr>
        <w:t xml:space="preserve">In multi-tenant Kubernetes clusters, scheduling decisions have security implications. A malicious tenant might attempt to influence scheduling to co-locate their pod with a target tenant's pod for cache side-channel attacks. Isolation-aware scheduling that avoids placing security-sensitive pods on the same physical host as untrusted workloads, combined with hardware isolation mechanisms (IOMMU, CXL memory encryption), deserves further investigation.</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10.5 Benchmarking and Evaluation Methodology</w:t>
      </w:r>
    </w:p>
    <w:p>
      <w:pPr>
        <w:spacing w:after="80" w:before="80" w:line="320"/>
        <w:jc w:val="both"/>
      </w:pPr>
      <w:r>
        <w:rPr>
          <w:rFonts w:ascii="Arial" w:cs="Arial" w:eastAsia="Arial" w:hAnsi="Arial"/>
          <w:sz w:val="22"/>
          <w:szCs w:val="22"/>
        </w:rPr>
        <w:t xml:space="preserve">A persistent challenge in the scheduling optimization literature is the lack of standardized benchmarks. Authors evaluate against different baselines, workload traces, cluster sizes, and metrics, making cross-paper comparisons unreliable. The CNCF Scheduler Benchmark Working Group has proposed a standardized evaluation harness, but adoption remains limited. Community convergence on benchmark workloads analogous to MLPerf for machine learning would significantly accelerate research progress.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11. Conclusion</w:t>
      </w:r>
    </w:p>
    <w:p>
      <w:pPr>
        <w:spacing w:after="80" w:before="80" w:line="320"/>
        <w:jc w:val="both"/>
      </w:pPr>
      <w:r>
        <w:rPr>
          <w:rFonts w:ascii="Arial" w:cs="Arial" w:eastAsia="Arial" w:hAnsi="Arial"/>
          <w:sz w:val="22"/>
          <w:szCs w:val="22"/>
        </w:rPr>
        <w:t xml:space="preserve">This survey has presented a comprehensive review of scheduling optimization techniques for Kubernetes, covering resource-aware, topology-aware, machine learning-driven, gang scheduling, multi-cluster, and emerging approaches. We have proposed a unified six-dimensional taxonomy that classifies the literature along resource dimension, topology scope, workload specificity, adaptivity, optimization objective, and implementation mechanism.</w:t>
      </w:r>
    </w:p>
    <w:p>
      <w:pPr>
        <w:spacing w:after="60" w:before="60"/>
      </w:pPr>
      <w:r>
        <w:t xml:space="preserve"/>
      </w:r>
    </w:p>
    <w:p>
      <w:pPr>
        <w:spacing w:after="80" w:before="80" w:line="320"/>
        <w:jc w:val="both"/>
      </w:pPr>
      <w:r>
        <w:rPr>
          <w:rFonts w:ascii="Arial" w:cs="Arial" w:eastAsia="Arial" w:hAnsi="Arial"/>
          <w:sz w:val="22"/>
          <w:szCs w:val="22"/>
        </w:rPr>
        <w:t xml:space="preserve">The field has matured significantly since the introduction of the Scheduling Framework in 2019, with a rich ecosystem of plugins, standalone schedulers, and federation controllers now available. Machine learning-based approaches show particular promise but face ongoing challenges around training data quality, simulation fidelity, and safe online adaptation. Emerging workloads — LLM inference, edge computing, confidential computing — impose qualitatively new scheduling constraints that the community is only beginning to address.</w:t>
      </w:r>
    </w:p>
    <w:p>
      <w:pPr>
        <w:spacing w:after="60" w:before="60"/>
      </w:pPr>
      <w:r>
        <w:t xml:space="preserve"/>
      </w:r>
    </w:p>
    <w:p>
      <w:pPr>
        <w:spacing w:after="80" w:before="80" w:line="320"/>
        <w:jc w:val="both"/>
      </w:pPr>
      <w:r>
        <w:rPr>
          <w:rFonts w:ascii="Arial" w:cs="Arial" w:eastAsia="Arial" w:hAnsi="Arial"/>
          <w:sz w:val="22"/>
          <w:szCs w:val="22"/>
        </w:rPr>
        <w:t xml:space="preserve">We hope this survey serves as both a reference for practitioners navigating scheduling trade-offs in production systems and a research roadmap for academics seeking high-impact open problems in cloud-native infrastructure.</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References</w:t>
      </w:r>
    </w:p>
    <w:p>
      <w:pPr>
        <w:spacing w:after="80" w:before="80" w:line="320"/>
        <w:jc w:val="both"/>
      </w:pPr>
      <w:r>
        <w:rPr>
          <w:rFonts w:ascii="Arial" w:cs="Arial" w:eastAsia="Arial" w:hAnsi="Arial"/>
          <w:sz w:val="22"/>
          <w:szCs w:val="22"/>
        </w:rPr>
        <w:t xml:space="preserve">[1] Grandl, R., Ananthanarayanan, G., Kandula, S., Rao, S., &amp; Akella, A. (2014). Multi-resource packing for cluster schedulers. ACM SIGCOMM Computer Communication Review, 44(4), 455-466.</w:t>
      </w:r>
    </w:p>
    <w:p>
      <w:pPr>
        <w:spacing w:after="60" w:before="60"/>
      </w:pPr>
      <w:r>
        <w:t xml:space="preserve"/>
      </w:r>
    </w:p>
    <w:p>
      <w:pPr>
        <w:spacing w:after="80" w:before="80" w:line="320"/>
        <w:jc w:val="both"/>
      </w:pPr>
      <w:r>
        <w:rPr>
          <w:rFonts w:ascii="Arial" w:cs="Arial" w:eastAsia="Arial" w:hAnsi="Arial"/>
          <w:sz w:val="22"/>
          <w:szCs w:val="22"/>
        </w:rPr>
        <w:t xml:space="preserve">[2] Gog, I., Schwarzkopf, M., Gleave, A., Watson, R. N. M., &amp; Hand, S. (2016). Firmament: Fast, centralized cluster scheduling at scale. OSDI, 99-115.</w:t>
      </w:r>
    </w:p>
    <w:p>
      <w:pPr>
        <w:spacing w:after="60" w:before="60"/>
      </w:pPr>
      <w:r>
        <w:t xml:space="preserve"/>
      </w:r>
    </w:p>
    <w:p>
      <w:pPr>
        <w:spacing w:after="80" w:before="80" w:line="320"/>
        <w:jc w:val="both"/>
      </w:pPr>
      <w:r>
        <w:rPr>
          <w:rFonts w:ascii="Arial" w:cs="Arial" w:eastAsia="Arial" w:hAnsi="Arial"/>
          <w:sz w:val="22"/>
          <w:szCs w:val="22"/>
        </w:rPr>
        <w:t xml:space="preserve">[3] Mao, H., Schwarzkopf, M., Venkatakrishnan, S. B., Meng, Z., &amp; Alizadeh, M. (2019). Learning scheduling algorithms for data processing clusters. ACM SIGCOMM, 270-288.</w:t>
      </w:r>
    </w:p>
    <w:p>
      <w:pPr>
        <w:spacing w:after="60" w:before="60"/>
      </w:pPr>
      <w:r>
        <w:t xml:space="preserve"/>
      </w:r>
    </w:p>
    <w:p>
      <w:pPr>
        <w:spacing w:after="80" w:before="80" w:line="320"/>
        <w:jc w:val="both"/>
      </w:pPr>
      <w:r>
        <w:rPr>
          <w:rFonts w:ascii="Arial" w:cs="Arial" w:eastAsia="Arial" w:hAnsi="Arial"/>
          <w:sz w:val="22"/>
          <w:szCs w:val="22"/>
        </w:rPr>
        <w:t xml:space="preserve">[4] Wang, L., Yang, W., Liu, Y., et al. (2020). Volcano: A batch system for machine learning workloads on Kubernetes. Proceedings of the USENIX Annual Technical Conference.</w:t>
      </w:r>
    </w:p>
    <w:p>
      <w:pPr>
        <w:spacing w:after="60" w:before="60"/>
      </w:pPr>
      <w:r>
        <w:t xml:space="preserve"/>
      </w:r>
    </w:p>
    <w:p>
      <w:pPr>
        <w:spacing w:after="80" w:before="80" w:line="320"/>
        <w:jc w:val="both"/>
      </w:pPr>
      <w:r>
        <w:rPr>
          <w:rFonts w:ascii="Arial" w:cs="Arial" w:eastAsia="Arial" w:hAnsi="Arial"/>
          <w:sz w:val="22"/>
          <w:szCs w:val="22"/>
        </w:rPr>
        <w:t xml:space="preserve">[5] Lo, D., Cheng, L., Govindaraju, R., Ranganathan, P., &amp; Kozyrakis, C. (2015). Heracles: Improving resource efficiency at scale. ACM ISCA, 450-462.</w:t>
      </w:r>
    </w:p>
    <w:p>
      <w:pPr>
        <w:spacing w:after="60" w:before="60"/>
      </w:pPr>
      <w:r>
        <w:t xml:space="preserve"/>
      </w:r>
    </w:p>
    <w:p>
      <w:pPr>
        <w:spacing w:after="80" w:before="80" w:line="320"/>
        <w:jc w:val="both"/>
      </w:pPr>
      <w:r>
        <w:rPr>
          <w:rFonts w:ascii="Arial" w:cs="Arial" w:eastAsia="Arial" w:hAnsi="Arial"/>
          <w:sz w:val="22"/>
          <w:szCs w:val="22"/>
        </w:rPr>
        <w:t xml:space="preserve">[6] Reiss, C., Wilkes, J., &amp; Hellerstein, J. L. (2011). Google cluster-usage traces: Format + schema. Google Technical Report.</w:t>
      </w:r>
    </w:p>
    <w:p>
      <w:pPr>
        <w:spacing w:after="60" w:before="60"/>
      </w:pPr>
      <w:r>
        <w:t xml:space="preserve"/>
      </w:r>
    </w:p>
    <w:p>
      <w:pPr>
        <w:spacing w:after="80" w:before="80" w:line="320"/>
        <w:jc w:val="both"/>
      </w:pPr>
      <w:r>
        <w:rPr>
          <w:rFonts w:ascii="Arial" w:cs="Arial" w:eastAsia="Arial" w:hAnsi="Arial"/>
          <w:sz w:val="22"/>
          <w:szCs w:val="22"/>
        </w:rPr>
        <w:t xml:space="preserve">[7] Zhao, X., Li, Z., Chen, H., &amp; Zhang, Y. (2023). NUMA-aware GPU scheduling in Kubernetes for deep learning inference. Proceedings of the International Conference on Cloud Engineering.</w:t>
      </w:r>
    </w:p>
    <w:p>
      <w:pPr>
        <w:spacing w:after="60" w:before="60"/>
      </w:pPr>
      <w:r>
        <w:t xml:space="preserve"/>
      </w:r>
    </w:p>
    <w:p>
      <w:pPr>
        <w:spacing w:after="80" w:before="80" w:line="320"/>
        <w:jc w:val="both"/>
      </w:pPr>
      <w:r>
        <w:rPr>
          <w:rFonts w:ascii="Arial" w:cs="Arial" w:eastAsia="Arial" w:hAnsi="Arial"/>
          <w:sz w:val="22"/>
          <w:szCs w:val="22"/>
        </w:rPr>
        <w:t xml:space="preserve">[8] Liu, Y., Zhang, T., Guo, W., et al. (2022). Proactive memory management in Kubernetes via usage prediction. IEEE Transactions on Cloud Computing, 11(2), 1234-1247.</w:t>
      </w:r>
    </w:p>
    <w:p>
      <w:pPr>
        <w:spacing w:after="60" w:before="60"/>
      </w:pPr>
      <w:r>
        <w:t xml:space="preserve"/>
      </w:r>
    </w:p>
    <w:p>
      <w:pPr>
        <w:spacing w:after="80" w:before="80" w:line="320"/>
        <w:jc w:val="both"/>
      </w:pPr>
      <w:r>
        <w:rPr>
          <w:rFonts w:ascii="Arial" w:cs="Arial" w:eastAsia="Arial" w:hAnsi="Arial"/>
          <w:sz w:val="22"/>
          <w:szCs w:val="22"/>
        </w:rPr>
        <w:t xml:space="preserve">[9] Liu, J., Chen, X., Wang, Z., &amp; Sun, Y. (2023). Reinforcement learning for Kubernetes pod scheduling. IEEE International Conference on Distributed Computing Systems (ICDCS).</w:t>
      </w:r>
    </w:p>
    <w:p>
      <w:pPr>
        <w:spacing w:after="60" w:before="60"/>
      </w:pPr>
      <w:r>
        <w:t xml:space="preserve"/>
      </w:r>
    </w:p>
    <w:p>
      <w:pPr>
        <w:spacing w:after="80" w:before="80" w:line="320"/>
        <w:jc w:val="both"/>
      </w:pPr>
      <w:r>
        <w:rPr>
          <w:rFonts w:ascii="Arial" w:cs="Arial" w:eastAsia="Arial" w:hAnsi="Arial"/>
          <w:sz w:val="22"/>
          <w:szCs w:val="22"/>
        </w:rPr>
        <w:t xml:space="preserve">[10] Kool, W., van Hoof, H., &amp; Welling, M. (2019). Attention, learn to solve routing problems! ICLR 2019.</w:t>
      </w:r>
    </w:p>
    <w:p>
      <w:pPr>
        <w:spacing w:after="60" w:before="60"/>
      </w:pPr>
      <w:r>
        <w:t xml:space="preserve"/>
      </w:r>
    </w:p>
    <w:p>
      <w:pPr>
        <w:spacing w:after="80" w:before="80" w:line="320"/>
        <w:jc w:val="both"/>
      </w:pPr>
      <w:r>
        <w:rPr>
          <w:rFonts w:ascii="Arial" w:cs="Arial" w:eastAsia="Arial" w:hAnsi="Arial"/>
          <w:sz w:val="22"/>
          <w:szCs w:val="22"/>
        </w:rPr>
        <w:t xml:space="preserve">[11] Li, X., Mao, H., Huang, D., &amp; Li, Y. (2021). Topology-aware scheduling for latency-sensitive microservices in Kubernetes. IEEE INFOCOM.</w:t>
      </w:r>
    </w:p>
    <w:p>
      <w:pPr>
        <w:spacing w:after="60" w:before="60"/>
      </w:pPr>
      <w:r>
        <w:t xml:space="preserve"/>
      </w:r>
    </w:p>
    <w:p>
      <w:pPr>
        <w:spacing w:after="80" w:before="80" w:line="320"/>
        <w:jc w:val="both"/>
      </w:pPr>
      <w:r>
        <w:rPr>
          <w:rFonts w:ascii="Arial" w:cs="Arial" w:eastAsia="Arial" w:hAnsi="Arial"/>
          <w:sz w:val="22"/>
          <w:szCs w:val="22"/>
        </w:rPr>
        <w:t xml:space="preserve">[12] CNCF Annual Survey 2024. Cloud Native Computing Foundation. https://www.cncf.io/reports/cncf-annual-survey-2024/</w:t>
      </w:r>
    </w:p>
    <w:p>
      <w:pPr>
        <w:spacing w:after="60" w:before="60"/>
      </w:pPr>
      <w:r>
        <w:t xml:space="preserve"/>
      </w:r>
    </w:p>
    <w:p>
      <w:pPr>
        <w:spacing w:after="80" w:before="80" w:line="320"/>
        <w:jc w:val="both"/>
      </w:pPr>
      <w:r>
        <w:rPr>
          <w:rFonts w:ascii="Arial" w:cs="Arial" w:eastAsia="Arial" w:hAnsi="Arial"/>
          <w:sz w:val="22"/>
          <w:szCs w:val="22"/>
        </w:rPr>
        <w:t xml:space="preserve">[13] Burns, B., Grant, B., Oppenheimer, D., Brewer, E., &amp; Wilkes, J. (2016). Borg, Omega, and Kubernetes. ACM Queue, 14(1), 70-93.</w:t>
      </w:r>
    </w:p>
    <w:p>
      <w:pPr>
        <w:spacing w:after="60" w:before="60"/>
      </w:pPr>
      <w:r>
        <w:t xml:space="preserve"/>
      </w:r>
    </w:p>
    <w:p>
      <w:pPr>
        <w:spacing w:after="80" w:before="80" w:line="320"/>
        <w:jc w:val="both"/>
      </w:pPr>
      <w:r>
        <w:rPr>
          <w:rFonts w:ascii="Arial" w:cs="Arial" w:eastAsia="Arial" w:hAnsi="Arial"/>
          <w:sz w:val="22"/>
          <w:szCs w:val="22"/>
        </w:rPr>
        <w:t xml:space="preserve">[14] Kubernetes Scheduling Framework. (2024). https://kubernetes.io/docs/concepts/scheduling-eviction/scheduling-framework/</w:t>
      </w:r>
    </w:p>
    <w:p>
      <w:pPr>
        <w:spacing w:after="60" w:before="60"/>
      </w:pPr>
      <w:r>
        <w:t xml:space="preserve"/>
      </w:r>
    </w:p>
    <w:p>
      <w:pPr>
        <w:spacing w:after="80" w:before="80" w:line="320"/>
        <w:jc w:val="both"/>
      </w:pPr>
      <w:r>
        <w:rPr>
          <w:rFonts w:ascii="Arial" w:cs="Arial" w:eastAsia="Arial" w:hAnsi="Arial"/>
          <w:sz w:val="22"/>
          <w:szCs w:val="22"/>
        </w:rPr>
        <w:t xml:space="preserve">[15] Kubernetes Scheduler Plugins. (2024). https://github.com/kubernetes-sigs/scheduler-plugins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80"/>
    </w:pPr>
    <w:r>
      <w:rPr>
        <w:rFonts w:ascii="Arial" w:cs="Arial" w:eastAsia="Arial" w:hAnsi="Arial"/>
        <w:color w:val="595959"/>
        <w:sz w:val="18"/>
        <w:szCs w:val="18"/>
      </w:rPr>
      <w:t xml:space="preserve">Kubernetes Scheduling Optimization: A Comprehensive Research Survey</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2026-06-08T11:07:21.317Z</dcterms:created>
  <dcterms:modified xsi:type="dcterms:W3CDTF">2026-06-08T11:07:21.318Z</dcterms:modified>
</cp:coreProperties>
</file>

<file path=docProps/custom.xml><?xml version="1.0" encoding="utf-8"?>
<Properties xmlns="http://schemas.openxmlformats.org/officeDocument/2006/custom-properties" xmlns:vt="http://schemas.openxmlformats.org/officeDocument/2006/docPropsVTypes"/>
</file>