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273540"/>
          <w:sz w:val="28"/>
          <w:szCs w:val="28"/>
        </w:rPr>
      </w:pPr>
      <w:r w:rsidDel="00000000" w:rsidR="00000000" w:rsidRPr="00000000">
        <w:rPr>
          <w:b w:val="1"/>
          <w:color w:val="273540"/>
          <w:sz w:val="28"/>
          <w:szCs w:val="28"/>
          <w:rtl w:val="0"/>
        </w:rPr>
        <w:t xml:space="preserve">MEDIUM ARTICLE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73540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https://medium.com/@pratham.r410/predicting-crop-yield-under-climate-volatility-a-concise-crisp-dm-walkthrough-38b092d969e7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b w:val="1"/>
          <w:color w:val="2735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b w:val="1"/>
          <w:color w:val="2735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b w:val="1"/>
          <w:color w:val="2735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pratham.r410/predicting-crop-yield-under-climate-volatility-a-concise-crisp-dm-walkthrough-38b092d969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