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Post-Discharge Care Plan - Patient #9999</w:t>
      </w:r>
    </w:p>
    <w:p>
      <w:r>
        <w:t>Profile Type: Custom/General</w:t>
      </w:r>
    </w:p>
    <w:p>
      <w:r>
        <w:t>Demographics: 68 yo Male</w:t>
      </w:r>
    </w:p>
    <w:p>
      <w:r>
        <w:t>Comorbidities: Congestive Heart Failure, Chronic Kidney Disease (CKD)</w:t>
      </w:r>
    </w:p>
    <w:p>
      <w:r>
        <w:t>Flesch-Kincaid Readability Score: Grade 14.296541353383457</w:t>
        <w:br/>
      </w:r>
    </w:p>
    <w:p>
      <w:pPr>
        <w:pStyle w:val="Heading2"/>
      </w:pPr>
      <w:r>
        <w:t>1. Medication Schedule</w:t>
      </w:r>
    </w:p>
    <w:p>
      <w:r>
        <w:t>Based on the patient's comorbidities of Congestive Heart Failure (CHF) and Chronic Kidney Disease (CKD), it is essential to carefully manage their medication regimen to minimize potential interactions.</w:t>
        <w:br/>
        <w:br/>
        <w:t>* Carvedilol 6.25mg PO BID: Continue as prescribed, with close monitoring for signs of hypotension or bradycardia.</w:t>
        <w:br/>
        <w:t>* Furosemide 40mg PO Daily: Administer in the morning to minimize nocturia and diuretic-induced electrolyte imbalances. Monitor potassium levels closely due to potential interactions with carvedilol.</w:t>
        <w:br/>
        <w:t>* Losartan 50mg PO Daily: Continue as prescribed, with careful monitoring of blood pressure and kidney function.</w:t>
      </w:r>
    </w:p>
    <w:p>
      <w:pPr>
        <w:pStyle w:val="Heading2"/>
      </w:pPr>
      <w:r>
        <w:t>2. Dietary Guidelines</w:t>
      </w:r>
    </w:p>
    <w:p>
      <w:r>
        <w:t>To manage CHF and CKD, the patient should follow a strict dietary plan:</w:t>
        <w:br/>
        <w:br/>
        <w:t>* Sodium intake: Limit sodium to &lt;3,000mg/day to reduce fluid overload and hypertension.</w:t>
        <w:br/>
        <w:t>* Potassium-rich foods: Avoid or limit potassium-rich foods (e.g., bananas, spinach) due to potential interactions with furosemide. Instead, consume potassium-sparing diuretics like potassium citrate 500mg PO Daily.</w:t>
        <w:br/>
        <w:t>* Fluid intake: Encourage moderate fluid intake (1-2 liters/day) to avoid overhydration and reduce the risk of pulmonary edema.</w:t>
        <w:br/>
        <w:t>* Protein-rich foods: Limit protein intake to &lt;0.8g/kg/day to minimize strain on kidney function.</w:t>
      </w:r>
    </w:p>
    <w:p>
      <w:pPr>
        <w:pStyle w:val="Heading2"/>
      </w:pPr>
      <w:r>
        <w:t>3. Follow-up Milestones</w:t>
      </w:r>
    </w:p>
    <w:p>
      <w:r>
        <w:t>To ensure successful transition from hospital to home, schedule the following follow-up appointments:</w:t>
        <w:br/>
        <w:br/>
        <w:t>* Cardiology clinic: 2 weeks post-discharge for CHF management and medication adjustments.</w:t>
        <w:br/>
        <w:t>* Nephrology clinic: 4 weeks post-discharge for CKD monitoring and potential dialysis evaluation.</w:t>
        <w:br/>
        <w:t>* Primary care visit: 6 weeks post-discharge for overall health status and medication adherence.</w:t>
      </w:r>
    </w:p>
    <w:p>
      <w:pPr>
        <w:pStyle w:val="Heading2"/>
      </w:pPr>
      <w:r>
        <w:t>4. Red-Flag Warnings</w:t>
      </w:r>
    </w:p>
    <w:p>
      <w:r>
        <w:t>Monitor the following high-priority clinical warning signs:</w:t>
        <w:br/>
        <w:br/>
        <w:t>* Acute worsening of CHF symptoms (e.g., dyspnea, fatigue): Seek immediate medical attention.</w:t>
        <w:br/>
        <w:t>* Electrolyte imbalances (e.g., hyperkalemia, hypokalemia): Adjust medication dosages and monitor closely.</w:t>
        <w:br/>
        <w:t>* Increased creatinine levels: Evaluate potential kidney function decline and consider dialysis evaluation.</w:t>
        <w:br/>
        <w:t>* Hypotension or bradycardia: Adjust carvedilol dosage and monitor closely for signs of hypotension or bradycardia.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