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Post-Discharge Care Plan - Patient #130379</w:t>
      </w:r>
    </w:p>
    <w:p>
      <w:r>
        <w:t>Profile Type: Orthopaedic</w:t>
      </w:r>
    </w:p>
    <w:p>
      <w:r>
        <w:t>Demographics: 66 yo Male</w:t>
      </w:r>
    </w:p>
    <w:p>
      <w:r>
        <w:t>Comorbidities: Essential Hypertension, Post-Op Osteoarthritis Joint Clearance</w:t>
      </w:r>
    </w:p>
    <w:p>
      <w:r>
        <w:t>Flesch-Kincaid Readability Score: Grade 15.15003937007874</w:t>
        <w:br/>
      </w:r>
    </w:p>
    <w:p>
      <w:pPr>
        <w:pStyle w:val="Heading2"/>
      </w:pPr>
      <w:r>
        <w:t>1. Medication Schedule</w:t>
      </w:r>
    </w:p>
    <w:p>
      <w:r>
        <w:t>Based on the patient's discharge medication formulations and comorbidities, the following daily administration timetable is recommended:</w:t>
        <w:br/>
        <w:br/>
        <w:t>* Meloxicam 15mg PO Daily: Take once in the morning with breakfast to minimize gastrointestinal side effects.</w:t>
        <w:br/>
        <w:t>* Oxycodone-Acetaminophen 5-325mg PO q6h PRN: As needed for pain management, but not to exceed 4 doses in a 24-hour period due to risk of opioid tolerance and dependence. The patient should also be advised to use the lowest effective dose for the shortest duration necessary.</w:t>
        <w:br/>
        <w:t>* Gabapentin 300mg PO TID: Take every 12 hours as prescribed by the post-operative pain management protocol to minimize side effects such as dizziness and fatigue.</w:t>
      </w:r>
    </w:p>
    <w:p>
      <w:pPr>
        <w:pStyle w:val="Heading2"/>
      </w:pPr>
      <w:r>
        <w:t>2. Dietary Guidelines</w:t>
      </w:r>
    </w:p>
    <w:p>
      <w:r>
        <w:t>Considering the patient's essential hypertension, post-op osteoarthritis joint clearance, and discharge medication formulations, the following dietary actions are recommended:</w:t>
        <w:br/>
        <w:br/>
        <w:t>* Sodium intake: Limit daily sodium consumption to less than 2,300mg to help manage blood pressure.</w:t>
        <w:br/>
        <w:t>* Fluid intake: Drink at least 8-10 glasses of water per day to stay hydrated and help with pain management.</w:t>
        <w:br/>
        <w:t>* Protein-rich diet: Include protein-rich foods such as lean meats, fish, and legumes in the patient's diet to support joint health and muscle mass.</w:t>
        <w:br/>
        <w:t>* Anti-inflammatory diet: Incorporate anti-inflammatory foods such as omega-3 rich fish, turmeric, and ginger into the patient's diet to help manage osteoarthritis symptoms.</w:t>
      </w:r>
    </w:p>
    <w:p>
      <w:pPr>
        <w:pStyle w:val="Heading2"/>
      </w:pPr>
      <w:r>
        <w:t>3. Follow-up Milestones</w:t>
      </w:r>
    </w:p>
    <w:p>
      <w:r>
        <w:t>A structured recovery calendar is essential for this patient's post-discharge care. The following follow-up milestones are recommended:</w:t>
        <w:br/>
        <w:br/>
        <w:t>* 1 week post-discharge: Schedule a follow-up appointment with the primary care physician to assess pain management and adjust medication as needed.</w:t>
        <w:br/>
        <w:t>* 2 weeks post-discharge: Schedule a physical therapy session to address post-op osteoarthritis joint clearance and improve mobility.</w:t>
        <w:br/>
        <w:t>* 4 weeks post-discharge: Schedule a follow-up appointment with the primary care physician to assess blood pressure control and adjust medication as needed.</w:t>
      </w:r>
    </w:p>
    <w:p>
      <w:pPr>
        <w:pStyle w:val="Heading2"/>
      </w:pPr>
      <w:r>
        <w:t>4. Red-Flag Warnings</w:t>
      </w:r>
    </w:p>
    <w:p>
      <w:r>
        <w:t>The following high-priority clinical warning signs should be monitored closely:</w:t>
        <w:br/>
        <w:br/>
        <w:t>* Opioid-related adverse effects (e.g., respiratory depression, constipation): Monitor for signs of opioid tolerance or dependence.</w:t>
        <w:br/>
        <w:t>* Hypertension: Monitor blood pressure regularly to ensure it remains within a safe range.</w:t>
        <w:br/>
        <w:t>* Infection: Monitor for signs of infection such as fever, redness, and swelling at the post-operative site.</w:t>
        <w:br/>
        <w:t>* Nausea and vomiting: Monitor for signs of gastrointestinal distress and adjust medication as needed.</w:t>
        <w:br/>
        <w:br/>
        <w:t>Please note that these recommendations are based on the simulated patient data and may not reflect the actual care provided to a real patient.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