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Cold Chain Breach Alert Report</w:t>
      </w:r>
    </w:p>
    <w:p>
      <w:r>
        <w:br/>
        <w:t>FDA / WHO Cold Chain Breach Report</w:t>
        <w:br/>
        <w:t>=================================</w:t>
        <w:br/>
        <w:br/>
        <w:t>Bag ID: BAG_001</w:t>
        <w:br/>
        <w:br/>
        <w:t>Start Time: 2026-05-30 10:00:00</w:t>
        <w:br/>
        <w:t>End Time: 2026-05-30 12:00:00</w:t>
        <w:br/>
        <w:br/>
        <w:t>Duration (minutes): 120</w:t>
        <w:br/>
        <w:br/>
        <w:t>Maximum Temperature: 9.5 °C</w:t>
        <w:br/>
        <w:br/>
        <w:t>Severity Level: Medium</w:t>
        <w:br/>
        <w:br/>
        <w:t>Observation:</w:t>
        <w:br/>
        <w:t>Temperature exceeded the safe cold-chain threshold.</w:t>
        <w:br/>
        <w:br/>
        <w:t>Impact:</w:t>
        <w:br/>
        <w:t>Product quality may be compromised.</w:t>
        <w:br/>
        <w:br/>
        <w:t>Recommended Action:</w:t>
        <w:br/>
        <w:t>Inspect shipment before distribution.</w:t>
        <w:br/>
        <w:br/>
        <w:t>Status:</w:t>
        <w:br/>
        <w:t>Breach Report Generated Successfully.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