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28"/>
          <w:szCs w:val="28"/>
        </w:rPr>
      </w:pPr>
      <w:bookmarkStart w:colFirst="0" w:colLast="0" w:name="_lv92rwclcxx9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Round 0 Task Summary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Analyzed how </w:t>
      </w:r>
      <w:r w:rsidDel="00000000" w:rsidR="00000000" w:rsidRPr="00000000">
        <w:rPr>
          <w:b w:val="1"/>
          <w:bCs w:val="1"/>
          <w:rtl w:val="0"/>
        </w:rPr>
        <w:t xml:space="preserve">market sentiment (Fear/Greed)</w:t>
      </w:r>
      <w:r w:rsidDel="00000000" w:rsidR="00000000" w:rsidRPr="00000000">
        <w:rPr>
          <w:rtl w:val="0"/>
        </w:rPr>
        <w:t xml:space="preserve"> relates to </w:t>
      </w:r>
      <w:r w:rsidDel="00000000" w:rsidR="00000000" w:rsidRPr="00000000">
        <w:rPr>
          <w:b w:val="1"/>
          <w:bCs w:val="1"/>
          <w:rtl w:val="0"/>
        </w:rPr>
        <w:t xml:space="preserve">trader behavior and performance</w:t>
      </w:r>
      <w:r w:rsidDel="00000000" w:rsidR="00000000" w:rsidRPr="00000000">
        <w:rPr>
          <w:rtl w:val="0"/>
        </w:rPr>
        <w:t xml:space="preserve"> on Hyperliquid.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fyiuemep342y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Part A — Data preparation &amp; key metrics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Part A, I loaded both datasets (Fear &amp; Greed Index and Hyperliquid trading data) and inspected for structure, missing values, and duplicates.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Timestamps were converted into a common date format to allow daily-level alignment. Relevant columns such as account ID, trade size, profit/loss, and trade direction were selected and cleaned.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datasets were merged by date to associate each trade with the corresponding market sentiment. Key trading metrics were then created: daily profit and loss per trader, win rate, average trade size, number of trades per day, and long/short ratio. 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These metrics form the basis for analyzing how trader behavior and performance change under different market sentiment conditions.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Part B — Analysis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Does performance differ between Fear vs Greed days?</w:t>
      </w:r>
    </w:p>
    <w:p w:rsidR="00000000" w:rsidDel="00000000" w:rsidP="00000000" w:rsidRDefault="00000000" w:rsidRPr="00000000" w14:paraId="0000000A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ind w:left="0" w:right="600" w:firstLine="0"/>
        <w:rPr/>
      </w:pPr>
      <w:r w:rsidDel="00000000" w:rsidR="00000000" w:rsidRPr="00000000">
        <w:rPr/>
        <w:drawing>
          <wp:inline distB="114300" distT="114300" distL="114300" distR="114300">
            <wp:extent cx="3252788" cy="2855341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2788" cy="28553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ind w:left="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Do traders change behavior based on sentiment?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ind w:left="0" w:right="600" w:firstLine="0"/>
        <w:rPr/>
      </w:pPr>
      <w:r w:rsidDel="00000000" w:rsidR="00000000" w:rsidRPr="00000000">
        <w:rPr/>
        <w:drawing>
          <wp:inline distB="114300" distT="114300" distL="114300" distR="114300">
            <wp:extent cx="4538663" cy="3840407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8663" cy="38404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ind w:left="0" w:right="60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Created 2–3 trader segments</w:t>
      </w:r>
    </w:p>
    <w:p w:rsidR="00000000" w:rsidDel="00000000" w:rsidP="00000000" w:rsidRDefault="00000000" w:rsidRPr="00000000" w14:paraId="0000000F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Segment 1: Frequent vs Infrequent traders</w:t>
      </w:r>
    </w:p>
    <w:p w:rsidR="00000000" w:rsidDel="00000000" w:rsidP="00000000" w:rsidRDefault="00000000" w:rsidRPr="00000000" w14:paraId="00000010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Segment 2: Consistent winners vs inconsistent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ind w:right="600"/>
        <w:rPr>
          <w:b w:val="1"/>
          <w:bCs w:val="1"/>
          <w:color w:val="000000"/>
          <w:sz w:val="26"/>
          <w:szCs w:val="26"/>
        </w:rPr>
      </w:pPr>
      <w:bookmarkStart w:colFirst="0" w:colLast="0" w:name="_6h8k04i12dfl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Insight 1: Performance differs by sentiment</w:t>
      </w:r>
    </w:p>
    <w:p w:rsidR="00000000" w:rsidDel="00000000" w:rsidP="00000000" w:rsidRDefault="00000000" w:rsidRPr="00000000" w14:paraId="00000012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Average PnL and win rate are higher during Greed periods compared to Fear periods, indicating that traders perform better in optimistic market conditions.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ind w:right="600"/>
        <w:rPr>
          <w:b w:val="1"/>
          <w:bCs w:val="1"/>
          <w:color w:val="000000"/>
          <w:sz w:val="26"/>
          <w:szCs w:val="26"/>
        </w:rPr>
      </w:pPr>
      <w:bookmarkStart w:colFirst="0" w:colLast="0" w:name="_aptcmvs1zqfi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Insight 2: Behavior changes with sentiment</w:t>
      </w:r>
    </w:p>
    <w:p w:rsidR="00000000" w:rsidDel="00000000" w:rsidP="00000000" w:rsidRDefault="00000000" w:rsidRPr="00000000" w14:paraId="00000014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During Greed periods, traders place more trades and take larger positions, while Fear periods show reduced activity and smaller trade sizes.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ind w:right="600"/>
        <w:rPr>
          <w:b w:val="1"/>
          <w:bCs w:val="1"/>
          <w:color w:val="000000"/>
          <w:sz w:val="26"/>
          <w:szCs w:val="26"/>
        </w:rPr>
      </w:pPr>
      <w:bookmarkStart w:colFirst="0" w:colLast="0" w:name="_5xq2jzh85l0m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Insight 3: Trader segments respond differently</w:t>
      </w:r>
    </w:p>
    <w:p w:rsidR="00000000" w:rsidDel="00000000" w:rsidP="00000000" w:rsidRDefault="00000000" w:rsidRPr="00000000" w14:paraId="00000016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Frequent traders generate higher average PnL than infrequent traders, and consistent winners outperform inconsistent traders across all sentiment regimes.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ind w:right="600"/>
        <w:rPr>
          <w:b w:val="1"/>
          <w:bCs w:val="1"/>
          <w:sz w:val="34"/>
          <w:szCs w:val="34"/>
        </w:rPr>
      </w:pPr>
      <w:bookmarkStart w:colFirst="0" w:colLast="0" w:name="_9o0badbcjfna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Strategy 1 — Sentiment-Based Position Sizing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Observation from analysis: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Traders trade smaller during </w:t>
      </w:r>
      <w:r w:rsidDel="00000000" w:rsidR="00000000" w:rsidRPr="00000000">
        <w:rPr>
          <w:b w:val="1"/>
          <w:bCs w:val="1"/>
          <w:rtl w:val="0"/>
        </w:rPr>
        <w:t xml:space="preserve">Fear</w:t>
      </w:r>
      <w:r w:rsidDel="00000000" w:rsidR="00000000" w:rsidRPr="00000000">
        <w:rPr>
          <w:rtl w:val="0"/>
        </w:rPr>
        <w:t xml:space="preserve"> periods and larger during </w:t>
      </w:r>
      <w:r w:rsidDel="00000000" w:rsidR="00000000" w:rsidRPr="00000000">
        <w:rPr>
          <w:b w:val="1"/>
          <w:bCs w:val="1"/>
          <w:rtl w:val="0"/>
        </w:rPr>
        <w:t xml:space="preserve">Greed</w:t>
      </w:r>
      <w:r w:rsidDel="00000000" w:rsidR="00000000" w:rsidRPr="00000000">
        <w:rPr>
          <w:rtl w:val="0"/>
        </w:rPr>
        <w:t xml:space="preserve"> periods.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PnL is generally higher during </w:t>
      </w:r>
      <w:r w:rsidDel="00000000" w:rsidR="00000000" w:rsidRPr="00000000">
        <w:rPr>
          <w:b w:val="1"/>
          <w:bCs w:val="1"/>
          <w:rtl w:val="0"/>
        </w:rPr>
        <w:t xml:space="preserve">Greed</w:t>
      </w:r>
      <w:r w:rsidDel="00000000" w:rsidR="00000000" w:rsidRPr="00000000">
        <w:rPr>
          <w:rtl w:val="0"/>
        </w:rPr>
        <w:t xml:space="preserve"> days.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Rule of thumb:</w:t>
      </w:r>
    </w:p>
    <w:p w:rsidR="00000000" w:rsidDel="00000000" w:rsidP="00000000" w:rsidRDefault="00000000" w:rsidRPr="00000000" w14:paraId="0000001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During Fear days:</w:t>
      </w:r>
      <w:r w:rsidDel="00000000" w:rsidR="00000000" w:rsidRPr="00000000">
        <w:rPr>
          <w:rtl w:val="0"/>
        </w:rPr>
        <w:t xml:space="preserve"> reduce position size and take fewer trades to limit risk.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During Greed days:</w:t>
      </w:r>
      <w:r w:rsidDel="00000000" w:rsidR="00000000" w:rsidRPr="00000000">
        <w:rPr>
          <w:rtl w:val="0"/>
        </w:rPr>
        <w:t xml:space="preserve"> increase position size moderately and trade more actively to capture higher profit opportunities.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ind w:right="600"/>
        <w:rPr>
          <w:b w:val="1"/>
          <w:bCs w:val="1"/>
          <w:sz w:val="34"/>
          <w:szCs w:val="34"/>
        </w:rPr>
      </w:pPr>
      <w:bookmarkStart w:colFirst="0" w:colLast="0" w:name="_e6y50rxpjimr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Strategy 2 — Directional Bias and Trader Segments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Observation from analysis: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Greed days → Long bias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Fear days → Short bias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High-frequency traders and consistent winners outperform in both Fear and Greed, but especially during Greed.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Rule of thumb:</w:t>
      </w:r>
    </w:p>
    <w:p w:rsidR="00000000" w:rsidDel="00000000" w:rsidP="00000000" w:rsidRDefault="00000000" w:rsidRPr="00000000" w14:paraId="0000002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consistent winners / frequent traders: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Follow the sentiment bias: Long in Greed, Short in Fear.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For infrequent or inconsistent traders: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Limit exposure and avoid aggressive directional bets during Fear days.</w:t>
      </w:r>
    </w:p>
    <w:p w:rsidR="00000000" w:rsidDel="00000000" w:rsidP="00000000" w:rsidRDefault="00000000" w:rsidRPr="00000000" w14:paraId="00000026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Python Script / Notebook: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full analysis, including data preparation (Part A), trader performance analysis (Part B), visualizations, and strategy recommendations, is provided in the attached Jupyter Notebook file . This notebook can be executed start-to-finish to reproduce all results, charts, and tables.</w:t>
      </w:r>
    </w:p>
    <w:p w:rsidR="00000000" w:rsidDel="00000000" w:rsidP="00000000" w:rsidRDefault="00000000" w:rsidRPr="00000000" w14:paraId="00000029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