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4D78"/>
          <w:sz w:val="32"/>
        </w:rPr>
        <w:t>Employee Attrition Prediction: HR Director Summary</w:t>
      </w:r>
    </w:p>
    <w:p>
      <w:pPr>
        <w:spacing w:after="200"/>
        <w:jc w:val="center"/>
      </w:pPr>
      <w:r>
        <w:rPr>
          <w:color w:val="505050"/>
          <w:sz w:val="20"/>
        </w:rPr>
        <w:t>Dataset reviewed: 1470 employees | Overall attrition: 16.12% | Best model: Logistic Regression</w:t>
      </w:r>
    </w:p>
    <w:p>
      <w:pPr>
        <w:spacing w:after="120"/>
      </w:pPr>
      <w:r>
        <w:t>The analysis shows that employee attrition is not evenly distributed across the company. Overall, 16.12% of employees left, meaning the business problem is focused but important. The highest-risk department is Sales, with an attrition rate of 20.63%. The highest-risk role is Sales Representative, where 39.76% of employees left.</w:t>
      </w:r>
    </w:p>
    <w:p>
      <w:pPr>
        <w:spacing w:after="120"/>
      </w:pPr>
      <w:r>
        <w:t>Employees who left had a median monthly income of 3,202, compared with 5,204 for those who stayed. This means pay is a meaningful signal, but it is not the full explanation. Work-life balance, job role, overtime/travel pressure, and early-tenure experience also appear important.</w:t>
      </w:r>
    </w:p>
    <w:p>
      <w:pPr>
        <w:spacing w:after="120"/>
      </w:pPr>
      <w:r>
        <w:t>The model's strongest warning signals were JobRole_Laboratory Technician, JobRole_Sales Representative, and BusinessTravel_Travel_Frequently. These should be treated as early-warning indicators for HR conversations, not as automatic decisions about individual employees.</w:t>
      </w:r>
    </w:p>
    <w:p>
      <w:pPr>
        <w:spacing w:before="80" w:after="80"/>
      </w:pPr>
      <w:r>
        <w:rPr>
          <w:b/>
          <w:color w:val="1F4D78"/>
        </w:rPr>
        <w:t>Recommended actions</w:t>
      </w:r>
    </w:p>
    <w:p>
      <w:pPr>
        <w:pStyle w:val="ListBullet"/>
        <w:spacing w:after="60"/>
      </w:pPr>
      <w:r>
        <w:t>Prioritize retention efforts in Sales and in the Sales Representative role, where exit rates are highest.</w:t>
      </w:r>
    </w:p>
    <w:p>
      <w:pPr>
        <w:pStyle w:val="ListBullet"/>
        <w:spacing w:after="60"/>
      </w:pPr>
      <w:r>
        <w:t>Create structured 30/60/90-day check-ins for early-tenure employees, especially where workload, travel, overtime, or job satisfaction concerns are present.</w:t>
      </w:r>
    </w:p>
    <w:p>
      <w:pPr>
        <w:pStyle w:val="ListBullet"/>
        <w:spacing w:after="60"/>
      </w:pPr>
      <w:r>
        <w:t>Use compensation reviews selectively for lower-paid employees in high-risk roles, while also addressing manager support, career pathing, and work-life balance.</w:t>
      </w:r>
    </w:p>
    <w:p>
      <w:pPr>
        <w:spacing w:before="80" w:after="80"/>
      </w:pPr>
      <w:r>
        <w:rPr>
          <w:b/>
          <w:color w:val="1F4D78"/>
        </w:rPr>
        <w:t>Important limitation</w:t>
      </w:r>
    </w:p>
    <w:p>
      <w:pPr>
        <w:spacing w:after="120"/>
      </w:pPr>
      <w:r>
        <w:t>The model is based on historical HR records and can reflect past workforce patterns. It should be used to guide supportive retention outreach and workforce planning, not to make automatic employment decisions.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