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97" w:rsidRDefault="004F7807">
      <w:r>
        <w:t>O</w:t>
      </w:r>
      <w:r w:rsidR="00B42F97">
        <w:t xml:space="preserve">bservable trends in the data set for Heroes of </w:t>
      </w:r>
      <w:proofErr w:type="spellStart"/>
      <w:r w:rsidR="00B42F97">
        <w:t>PyMoli</w:t>
      </w:r>
      <w:proofErr w:type="spellEnd"/>
    </w:p>
    <w:p w:rsidR="00B42F97" w:rsidRDefault="00B42F97"/>
    <w:p w:rsidR="00B42F97" w:rsidRDefault="00B42F97" w:rsidP="00B42F97">
      <w:pPr>
        <w:pStyle w:val="ListParagraph"/>
        <w:numPr>
          <w:ilvl w:val="0"/>
          <w:numId w:val="1"/>
        </w:numPr>
      </w:pPr>
      <w:r>
        <w:t>From the table Purchasing Analysis Total by Gender, we find that the ‘Male’ population is the largest contributor to the revenue.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454"/>
        <w:gridCol w:w="1936"/>
        <w:gridCol w:w="1763"/>
        <w:gridCol w:w="2360"/>
      </w:tblGrid>
      <w:tr w:rsidR="009D439D" w:rsidRPr="009D439D" w:rsidTr="009D43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9D439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9D439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9D439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9D439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9D439D" w:rsidRPr="009D439D" w:rsidTr="009D43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9D439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439D" w:rsidRPr="009D439D" w:rsidTr="009D4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9D439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9D439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9D439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9D439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$361.94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9D439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$4.47</w:t>
            </w:r>
          </w:p>
        </w:tc>
      </w:tr>
      <w:tr w:rsidR="009D439D" w:rsidRPr="009D439D" w:rsidTr="009D4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9D439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highlight w:val="yellow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</w:pPr>
            <w:r w:rsidRPr="009D439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</w:pPr>
            <w:r w:rsidRPr="009D439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  <w:t>$3.02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</w:pPr>
            <w:r w:rsidRPr="009D439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  <w:t>$1967.64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</w:pPr>
            <w:r w:rsidRPr="009D439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  <w:t>$4.07</w:t>
            </w:r>
          </w:p>
        </w:tc>
      </w:tr>
      <w:tr w:rsidR="009D439D" w:rsidRPr="009D439D" w:rsidTr="009D43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9D439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9D439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9D439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9D439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$50.19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39D" w:rsidRPr="009D439D" w:rsidRDefault="009D439D" w:rsidP="009D439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9D439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$4.56</w:t>
            </w:r>
          </w:p>
        </w:tc>
      </w:tr>
    </w:tbl>
    <w:p w:rsidR="00B42F97" w:rsidRDefault="00B42F97" w:rsidP="00B42F97"/>
    <w:p w:rsidR="00B42F97" w:rsidRDefault="00B42F97" w:rsidP="001D24A3">
      <w:pPr>
        <w:pStyle w:val="ListParagraph"/>
        <w:numPr>
          <w:ilvl w:val="0"/>
          <w:numId w:val="1"/>
        </w:numPr>
      </w:pPr>
      <w:r>
        <w:t xml:space="preserve">From the table on Age Demographics we find that the age group 20-24 </w:t>
      </w:r>
      <w:r w:rsidR="007678E0">
        <w:t xml:space="preserve">is highest </w:t>
      </w:r>
      <w:r w:rsidR="004F7807">
        <w:t>i</w:t>
      </w:r>
      <w:r w:rsidR="007678E0">
        <w:t>n terms of the percentage of play</w:t>
      </w:r>
      <w:r w:rsidR="004F7807">
        <w:t>ers and thus largest contributors to the revenue.</w:t>
      </w:r>
    </w:p>
    <w:p w:rsidR="007678E0" w:rsidRDefault="007678E0" w:rsidP="007678E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2120"/>
        <w:gridCol w:w="691"/>
      </w:tblGrid>
      <w:tr w:rsidR="007678E0" w:rsidRPr="007678E0" w:rsidTr="007678E0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br/>
              <w:t>Total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Percentage of players</w:t>
            </w:r>
          </w:p>
        </w:tc>
      </w:tr>
      <w:tr w:rsidR="007678E0" w:rsidRPr="007678E0" w:rsidTr="007678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2.96</w:t>
            </w:r>
          </w:p>
        </w:tc>
      </w:tr>
      <w:tr w:rsidR="007678E0" w:rsidRPr="007678E0" w:rsidTr="007678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3.83</w:t>
            </w:r>
          </w:p>
        </w:tc>
      </w:tr>
      <w:tr w:rsidR="007678E0" w:rsidRPr="007678E0" w:rsidTr="007678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18.61</w:t>
            </w:r>
          </w:p>
        </w:tc>
      </w:tr>
      <w:tr w:rsidR="007678E0" w:rsidRPr="007678E0" w:rsidTr="007678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7678E0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highlight w:val="yellow"/>
              </w:rPr>
              <w:t>20-24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</w:pPr>
            <w:r w:rsidRPr="007678E0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</w:pPr>
            <w:r w:rsidRPr="007678E0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  <w:t>44.87</w:t>
            </w:r>
          </w:p>
        </w:tc>
      </w:tr>
      <w:tr w:rsidR="007678E0" w:rsidRPr="007678E0" w:rsidTr="007678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13.39</w:t>
            </w:r>
          </w:p>
        </w:tc>
      </w:tr>
      <w:tr w:rsidR="007678E0" w:rsidRPr="007678E0" w:rsidTr="007678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9.04</w:t>
            </w:r>
          </w:p>
        </w:tc>
      </w:tr>
      <w:tr w:rsidR="007678E0" w:rsidRPr="007678E0" w:rsidTr="007678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5.39</w:t>
            </w:r>
          </w:p>
        </w:tc>
      </w:tr>
      <w:tr w:rsidR="007678E0" w:rsidRPr="007678E0" w:rsidTr="007678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8E0" w:rsidRPr="007678E0" w:rsidRDefault="007678E0" w:rsidP="007678E0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7678E0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1.91</w:t>
            </w:r>
          </w:p>
        </w:tc>
      </w:tr>
    </w:tbl>
    <w:p w:rsidR="007678E0" w:rsidRDefault="007678E0" w:rsidP="007678E0">
      <w:r>
        <w:lastRenderedPageBreak/>
        <w:t xml:space="preserve">Additionally, if you also see the table ‘Purchasing Analysis by Age’ we find that the maximum purchases </w:t>
      </w:r>
      <w:r w:rsidR="004F7807">
        <w:t xml:space="preserve">are </w:t>
      </w:r>
      <w:r>
        <w:t>from the age group 20-24.</w:t>
      </w:r>
    </w:p>
    <w:p w:rsidR="007678E0" w:rsidRDefault="007678E0" w:rsidP="007678E0"/>
    <w:p w:rsidR="007678E0" w:rsidRDefault="007678E0" w:rsidP="007678E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1542"/>
        <w:gridCol w:w="2128"/>
        <w:gridCol w:w="1918"/>
        <w:gridCol w:w="2645"/>
      </w:tblGrid>
      <w:tr w:rsidR="004F7807" w:rsidRPr="004F7807" w:rsidTr="004F780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4F7807" w:rsidRPr="004F7807" w:rsidTr="004F780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Age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807" w:rsidRPr="004F7807" w:rsidTr="004F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$77.13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$4.54</w:t>
            </w:r>
          </w:p>
        </w:tc>
      </w:tr>
      <w:tr w:rsidR="004F7807" w:rsidRPr="004F7807" w:rsidTr="004F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$82.78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$3.76</w:t>
            </w:r>
          </w:p>
        </w:tc>
      </w:tr>
      <w:tr w:rsidR="004F7807" w:rsidRPr="004F7807" w:rsidTr="004F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$412.89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$3.86</w:t>
            </w:r>
          </w:p>
        </w:tc>
      </w:tr>
      <w:tr w:rsidR="004F7807" w:rsidRPr="004F7807" w:rsidTr="004F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4F7807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highlight w:val="yellow"/>
              </w:rPr>
              <w:t>20-24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  <w:t>$3.05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  <w:t>$1114.06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  <w:t>$4.32</w:t>
            </w:r>
          </w:p>
        </w:tc>
      </w:tr>
      <w:tr w:rsidR="004F7807" w:rsidRPr="004F7807" w:rsidTr="004F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$293.00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$3.81</w:t>
            </w:r>
          </w:p>
        </w:tc>
      </w:tr>
      <w:tr w:rsidR="004F7807" w:rsidRPr="004F7807" w:rsidTr="004F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$214.00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$4.12</w:t>
            </w:r>
          </w:p>
        </w:tc>
      </w:tr>
      <w:tr w:rsidR="004F7807" w:rsidRPr="004F7807" w:rsidTr="004F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$147.67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$4.76</w:t>
            </w:r>
          </w:p>
        </w:tc>
      </w:tr>
      <w:tr w:rsidR="004F7807" w:rsidRPr="004F7807" w:rsidTr="004F78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$36.54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7807" w:rsidRPr="004F7807" w:rsidRDefault="004F7807" w:rsidP="004F7807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F780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$3.32</w:t>
            </w:r>
          </w:p>
        </w:tc>
      </w:tr>
    </w:tbl>
    <w:p w:rsidR="00B42F97" w:rsidRDefault="00B42F97" w:rsidP="004F7807">
      <w:pPr>
        <w:ind w:left="-630" w:right="-630"/>
      </w:pPr>
    </w:p>
    <w:p w:rsidR="004F7807" w:rsidRDefault="004F7807" w:rsidP="004F7807">
      <w:pPr>
        <w:ind w:left="-630" w:right="-630"/>
      </w:pPr>
    </w:p>
    <w:p w:rsidR="004F7807" w:rsidRDefault="009D439D" w:rsidP="004F7807">
      <w:pPr>
        <w:pStyle w:val="ListParagraph"/>
        <w:numPr>
          <w:ilvl w:val="0"/>
          <w:numId w:val="1"/>
        </w:numPr>
      </w:pPr>
      <w:r>
        <w:t xml:space="preserve">From the above </w:t>
      </w:r>
      <w:bookmarkStart w:id="0" w:name="_GoBack"/>
      <w:bookmarkEnd w:id="0"/>
      <w:r>
        <w:t xml:space="preserve">tables you will also notice that on comparing the ‘Female’ and Male population on average total purchase </w:t>
      </w:r>
      <w:r>
        <w:t>per person</w:t>
      </w:r>
      <w:r>
        <w:t xml:space="preserve">, the ‘Female’ population is spending more than the male population per person. </w:t>
      </w:r>
    </w:p>
    <w:p w:rsidR="009D439D" w:rsidRDefault="009D439D" w:rsidP="009D439D">
      <w:pPr>
        <w:pStyle w:val="ListParagraph"/>
      </w:pPr>
      <w:r>
        <w:t xml:space="preserve">Similarly, the </w:t>
      </w:r>
      <w:r>
        <w:t>average total purchase per person</w:t>
      </w:r>
      <w:r>
        <w:t xml:space="preserve"> for the age group </w:t>
      </w:r>
      <w:r w:rsidR="00F236ED">
        <w:t xml:space="preserve">35-39 is higher than the </w:t>
      </w:r>
      <w:r w:rsidR="00F236ED">
        <w:t>average total purchase per person</w:t>
      </w:r>
      <w:r w:rsidR="00F236ED">
        <w:t xml:space="preserve"> in the 20-24 age range.</w:t>
      </w:r>
    </w:p>
    <w:sectPr w:rsidR="009D439D" w:rsidSect="00120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5096E"/>
    <w:multiLevelType w:val="hybridMultilevel"/>
    <w:tmpl w:val="82D4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97"/>
    <w:rsid w:val="00120D9D"/>
    <w:rsid w:val="004F7807"/>
    <w:rsid w:val="007678E0"/>
    <w:rsid w:val="008A5C5D"/>
    <w:rsid w:val="009D439D"/>
    <w:rsid w:val="00B42F97"/>
    <w:rsid w:val="00F2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518B3"/>
  <w15:chartTrackingRefBased/>
  <w15:docId w15:val="{2BA076D2-0C55-AC41-BE7E-2D79D7C4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Dokania</dc:creator>
  <cp:keywords/>
  <dc:description/>
  <cp:lastModifiedBy>Aditya Dokania</cp:lastModifiedBy>
  <cp:revision>4</cp:revision>
  <dcterms:created xsi:type="dcterms:W3CDTF">2019-06-11T17:50:00Z</dcterms:created>
  <dcterms:modified xsi:type="dcterms:W3CDTF">2019-06-11T19:31:00Z</dcterms:modified>
</cp:coreProperties>
</file>