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11th January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Participants: Jain University students, FutureNSE instructor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Introduction and Ice-Breaking: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Instructor's Insights: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Career Tips: Provided tips on networking, building online presence, and pursuing internships.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Virtual Meeting Tips: Shared practical advice for professional virtual participation.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Closing Remarks: Summarized key takeaways, encouraged application of shared advice, and promoted ongoing support.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