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3C3489"/>
          <w:sz w:val="48"/>
          <w:szCs w:val="48"/>
        </w:rPr>
        <w:t xml:space="preserve">GroundUp AI</w:t>
      </w:r>
    </w:p>
    <w:p>
      <w:pPr>
        <w:spacing w:after="120"/>
      </w:pPr>
      <w:r>
        <w:rPr>
          <w:rFonts w:ascii="Arial" w:cs="Arial" w:eastAsia="Arial" w:hAnsi="Arial"/>
          <w:color w:val="534AB7"/>
          <w:sz w:val="30"/>
          <w:szCs w:val="30"/>
        </w:rPr>
        <w:t xml:space="preserve">Use Case Diagrams and Role Explanations</w:t>
      </w:r>
    </w:p>
    <w:p>
      <w:pPr>
        <w:pBdr>
          <w:bottom w:val="single" w:color="534AB7" w:sz="8" w:space="6"/>
        </w:pBdr>
        <w:spacing w:after="24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Website product documentation: actors, use cases, and the draw cycle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GroundUp AI helps real estate developers know where every dollar is going, where every delay is coming from, and whether project profit is at risk. It is the owner-side control layer for financial visibility, draw tracking, delay attribution, and profit-risk reporting.</w:t>
      </w:r>
    </w:p>
    <w:p>
      <w:pPr>
        <w:pStyle w:val="Heading1"/>
        <w:keepNext/>
        <w:spacing w:after="160" w:before="300"/>
      </w:pPr>
      <w:r>
        <w:rPr>
          <w:rFonts w:ascii="Arial" w:cs="Arial" w:eastAsia="Arial" w:hAnsi="Arial"/>
          <w:b/>
          <w:bCs/>
          <w:color w:val="3C3489"/>
          <w:sz w:val="32"/>
          <w:szCs w:val="32"/>
        </w:rPr>
        <w:t xml:space="preserve">1. Core concept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The platform keeps four data streams separate and reconciles them, instead of mixing them in one screen: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Budget</w:t>
      </w:r>
      <w:r>
        <w:rPr>
          <w:rFonts w:ascii="Arial" w:cs="Arial" w:eastAsia="Arial" w:hAnsi="Arial"/>
        </w:rPr>
        <w:t xml:space="preserve"> is the plan: budget sheet and schedule-of-values lines.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Expenses</w:t>
      </w:r>
      <w:r>
        <w:rPr>
          <w:rFonts w:ascii="Arial" w:cs="Arial" w:eastAsia="Arial" w:hAnsi="Arial"/>
        </w:rPr>
        <w:t xml:space="preserve"> are actual spend, supplied by the CFO as the expense sheet.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Draws</w:t>
      </w:r>
      <w:r>
        <w:rPr>
          <w:rFonts w:ascii="Arial" w:cs="Arial" w:eastAsia="Arial" w:hAnsi="Arial"/>
        </w:rPr>
        <w:t xml:space="preserve"> are lender funding: requested, approved, and funded amounts.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Timeline</w:t>
      </w:r>
      <w:r>
        <w:rPr>
          <w:rFonts w:ascii="Arial" w:cs="Arial" w:eastAsia="Arial" w:hAnsi="Arial"/>
        </w:rPr>
        <w:t xml:space="preserve"> compares planned and actual milestones and explains delay.</w:t>
      </w:r>
    </w:p>
    <w:p>
      <w:pPr>
        <w:pStyle w:val="Heading1"/>
        <w:keepNext/>
        <w:spacing w:after="160" w:before="300"/>
      </w:pPr>
      <w:r>
        <w:rPr>
          <w:rFonts w:ascii="Arial" w:cs="Arial" w:eastAsia="Arial" w:hAnsi="Arial"/>
          <w:b/>
          <w:bCs/>
          <w:color w:val="3C3489"/>
          <w:sz w:val="32"/>
          <w:szCs w:val="32"/>
        </w:rPr>
        <w:t xml:space="preserve">2. Roles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4160"/>
        <w:gridCol w:w="1800"/>
      </w:tblGrid>
      <w:tr>
        <w:trPr>
          <w:tblHeader/>
        </w:trPr>
        <w:tc>
          <w:tcPr>
            <w:tcW w:type="dxa" w:w="19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EEED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EEED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EEED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Main responsibility</w:t>
            </w:r>
          </w:p>
        </w:tc>
        <w:tc>
          <w:tcPr>
            <w:tcW w:type="dxa" w:w="18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EEED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Access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Owner / Developer</w:t>
            </w:r>
          </w:p>
        </w:tc>
        <w:tc>
          <w:tcPr>
            <w:tcW w:type="dxa" w:w="15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Internal</w:t>
            </w:r>
          </w:p>
        </w:tc>
        <w:tc>
          <w:tcPr>
            <w:tcW w:type="dxa" w:w="416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Provides all documents, chooses the GC and GC type, approves change orders, tracks missing items, builds the draw packet, shares investor previews</w:t>
            </w:r>
          </w:p>
        </w:tc>
        <w:tc>
          <w:tcPr>
            <w:tcW w:type="dxa" w:w="18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Full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CFO / Accounting</w:t>
            </w:r>
          </w:p>
        </w:tc>
        <w:tc>
          <w:tcPr>
            <w:tcW w:type="dxa" w:w="15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Internal</w:t>
            </w:r>
          </w:p>
        </w:tc>
        <w:tc>
          <w:tcPr>
            <w:tcW w:type="dxa" w:w="416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Provides the expense sheet, matches expenses to budget lines, reconciles draws, exports variance reports</w:t>
            </w:r>
          </w:p>
        </w:tc>
        <w:tc>
          <w:tcPr>
            <w:tcW w:type="dxa" w:w="18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Financial modules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Project manager</w:t>
            </w:r>
          </w:p>
        </w:tc>
        <w:tc>
          <w:tcPr>
            <w:tcW w:type="dxa" w:w="15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Internal</w:t>
            </w:r>
          </w:p>
        </w:tc>
        <w:tc>
          <w:tcPr>
            <w:tcW w:type="dxa" w:w="416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Updates milestones, logs inspection status, tracks delay sources</w:t>
            </w:r>
          </w:p>
        </w:tc>
        <w:tc>
          <w:tcPr>
            <w:tcW w:type="dxa" w:w="18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Timeline and evidence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Investor / Partner</w:t>
            </w:r>
          </w:p>
        </w:tc>
        <w:tc>
          <w:tcPr>
            <w:tcW w:type="dxa" w:w="15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External</w:t>
            </w:r>
          </w:p>
        </w:tc>
        <w:tc>
          <w:tcPr>
            <w:tcW w:type="dxa" w:w="416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Views project health, next funding event, and monthly update</w:t>
            </w:r>
          </w:p>
        </w:tc>
        <w:tc>
          <w:tcPr>
            <w:tcW w:type="dxa" w:w="18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Read-only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GC (fixed contract)</w:t>
            </w:r>
          </w:p>
        </w:tc>
        <w:tc>
          <w:tcPr>
            <w:tcW w:type="dxa" w:w="15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External</w:t>
            </w:r>
          </w:p>
        </w:tc>
        <w:tc>
          <w:tcPr>
            <w:tcW w:type="dxa" w:w="416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Submits milestone claims, completion proof, and change orders</w:t>
            </w:r>
          </w:p>
        </w:tc>
        <w:tc>
          <w:tcPr>
            <w:tcW w:type="dxa" w:w="18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Limited submission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GC (daily updates)</w:t>
            </w:r>
          </w:p>
        </w:tc>
        <w:tc>
          <w:tcPr>
            <w:tcW w:type="dxa" w:w="15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External</w:t>
            </w:r>
          </w:p>
        </w:tc>
        <w:tc>
          <w:tcPr>
            <w:tcW w:type="dxa" w:w="416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Posts daily updates, invoices and costs, daily photos, and change orders</w:t>
            </w:r>
          </w:p>
        </w:tc>
        <w:tc>
          <w:tcPr>
            <w:tcW w:type="dxa" w:w="18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Limited submission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</w:rPr>
        <w:t xml:space="preserve">The owner decides which GC type applies to each project. Admin or coordinator work (collecting documents, tracking missing items, building the draw packet) belongs to the owner.</w:t>
      </w:r>
    </w:p>
    <w:p>
      <w:pPr>
        <w:pStyle w:val="Heading1"/>
        <w:keepNext/>
        <w:pageBreakBefore/>
        <w:spacing w:after="160" w:before="300"/>
      </w:pPr>
      <w:r>
        <w:rPr>
          <w:rFonts w:ascii="Arial" w:cs="Arial" w:eastAsia="Arial" w:hAnsi="Arial"/>
          <w:b/>
          <w:bCs/>
          <w:color w:val="3C3489"/>
          <w:sz w:val="32"/>
          <w:szCs w:val="32"/>
        </w:rPr>
        <w:t xml:space="preserve">3. Combined use case diagrams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Each project has one GC, and the owner chooses the GC type. The platform therefore has two combined diagrams: one for a project with a fixed contract GC and one for a project with a daily-updates GC. Both show every other actor: owner, project manager, investor, and CFO. Purple marks the internal team and teal marks external parties.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3.1 Project with a fixed contract GC</w:t>
      </w:r>
    </w:p>
    <w:p>
      <w:pPr>
        <w:spacing w:after="160" w:before="120"/>
        <w:jc w:val="center"/>
      </w:pPr>
      <w:r>
        <w:drawing>
          <wp:inline distT="0" distB="0" distL="0" distR="0">
            <wp:extent cx="5715000" cy="5467350"/>
            <wp:effectExtent t="0" r="0" b="0" l="0"/>
            <wp:docPr id="1" name="Combined use case diagram with fixed contract GC" descr="Combined use case diagram with fixed contract GC" title="Combined use case diagram with fixed contract G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</w:pPr>
      <w:r>
        <w:rPr>
          <w:rFonts w:ascii="Arial" w:cs="Arial" w:eastAsia="Arial" w:hAnsi="Arial"/>
        </w:rPr>
        <w:t xml:space="preserve">The GC submits milestone claims, completion proof, and change orders. The owner pays on milestones and does not see subcontractor-level invoices.</w:t>
      </w:r>
    </w:p>
    <w:p>
      <w:pPr>
        <w:pStyle w:val="Heading2"/>
        <w:keepNext/>
        <w:pageBreakBefore/>
        <w:spacing w:after="120" w:before="24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3.2 Project with a daily-updates GC</w:t>
      </w:r>
    </w:p>
    <w:p>
      <w:pPr>
        <w:spacing w:after="160" w:before="120"/>
        <w:jc w:val="center"/>
      </w:pPr>
      <w:r>
        <w:drawing>
          <wp:inline distT="0" distB="0" distL="0" distR="0">
            <wp:extent cx="5715000" cy="5467350"/>
            <wp:effectExtent t="0" r="0" b="0" l="0"/>
            <wp:docPr id="1" name="Combined use case diagram with daily-updates GC" descr="Combined use case diagram with daily-updates GC" title="Combined use case diagram with daily-updates G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</w:pPr>
      <w:r>
        <w:rPr>
          <w:rFonts w:ascii="Arial" w:cs="Arial" w:eastAsia="Arial" w:hAnsi="Arial"/>
        </w:rPr>
        <w:t xml:space="preserve">The GC posts daily updates, invoices and costs, and daily photos, plus change orders. The owner sees granular costs with the GC's markup shown separately.</w:t>
      </w:r>
    </w:p>
    <w:p>
      <w:pPr>
        <w:pStyle w:val="Heading1"/>
        <w:keepNext/>
        <w:pageBreakBefore/>
        <w:spacing w:after="160" w:before="300"/>
      </w:pPr>
      <w:r>
        <w:rPr>
          <w:rFonts w:ascii="Arial" w:cs="Arial" w:eastAsia="Arial" w:hAnsi="Arial"/>
          <w:b/>
          <w:bCs/>
          <w:color w:val="3C3489"/>
          <w:sz w:val="32"/>
          <w:szCs w:val="32"/>
        </w:rPr>
        <w:t xml:space="preserve">4. Use cases by role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4.1 Owner / Developer</w:t>
      </w:r>
    </w:p>
    <w:p>
      <w:pPr>
        <w:spacing w:after="160" w:before="120"/>
        <w:jc w:val="center"/>
      </w:pPr>
      <w:r>
        <w:drawing>
          <wp:inline distT="0" distB="0" distL="0" distR="0">
            <wp:extent cx="5715000" cy="4371975"/>
            <wp:effectExtent t="0" r="0" b="0" l="0"/>
            <wp:docPr id="1" name="Owner use case diagram" descr="Owner use case diagram" title="Owner use cas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</w:pPr>
      <w:r>
        <w:rPr>
          <w:rFonts w:ascii="Arial" w:cs="Arial" w:eastAsia="Arial" w:hAnsi="Arial"/>
        </w:rPr>
        <w:t xml:space="preserve">Goal: know financial health, profit, schedule risk, and what decision to make next. The owner is the primary buyer and the central role.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460"/>
        <w:gridCol w:w="2600"/>
      </w:tblGrid>
      <w:tr>
        <w:trPr>
          <w:tblHeader/>
        </w:trPr>
        <w:tc>
          <w:tcPr>
            <w:tcW w:type="dxa" w:w="23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EEED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Use case</w:t>
            </w:r>
          </w:p>
        </w:tc>
        <w:tc>
          <w:tcPr>
            <w:tcW w:type="dxa" w:w="446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EEED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What the owner does</w:t>
            </w:r>
          </w:p>
        </w:tc>
        <w:tc>
          <w:tcPr>
            <w:tcW w:type="dxa" w:w="26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EEED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Outcome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View portfolio dashboard</w:t>
            </w:r>
          </w:p>
        </w:tc>
        <w:tc>
          <w:tcPr>
            <w:tcW w:type="dxa" w:w="446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Opens the home screen with project cards showing status, cash gap, delay days, next draw, and top alerts</w:t>
            </w:r>
          </w:p>
        </w:tc>
        <w:tc>
          <w:tcPr>
            <w:tcW w:type="dxa" w:w="26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Sees which project needs attention today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Monitor project control center</w:t>
            </w:r>
          </w:p>
        </w:tc>
        <w:tc>
          <w:tcPr>
            <w:tcW w:type="dxa" w:w="446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Reviews timeline (planned, actual, and expected start and completion), budgeted amount, actual spend, lender funded amount, progress %, photos and evidence, inspection status, fund status, units sold</w:t>
            </w:r>
          </w:p>
        </w:tc>
        <w:tc>
          <w:tcPr>
            <w:tcW w:type="dxa" w:w="26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One screen shows whether the project is healthy and why it drifts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Upload project documents</w:t>
            </w:r>
          </w:p>
        </w:tc>
        <w:tc>
          <w:tcPr>
            <w:tcW w:type="dxa" w:w="446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Uploads the documents listed below</w:t>
            </w:r>
          </w:p>
        </w:tc>
        <w:tc>
          <w:tcPr>
            <w:tcW w:type="dxa" w:w="26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Source of truth for budget, timeline, and loan data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Select GC and GC type</w:t>
            </w:r>
          </w:p>
        </w:tc>
        <w:tc>
          <w:tcPr>
            <w:tcW w:type="dxa" w:w="446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Chooses the GC and marks the contract as fixed or daily updates</w:t>
            </w:r>
          </w:p>
        </w:tc>
        <w:tc>
          <w:tcPr>
            <w:tcW w:type="dxa" w:w="26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Enables the matching GC workflow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Approve change orders</w:t>
            </w:r>
          </w:p>
        </w:tc>
        <w:tc>
          <w:tcPr>
            <w:tcW w:type="dxa" w:w="446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Reviews cost, reason, and impact on budget and timeline, then approves or rejects</w:t>
            </w:r>
          </w:p>
        </w:tc>
        <w:tc>
          <w:tcPr>
            <w:tcW w:type="dxa" w:w="26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hidden or inflated change orders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Track missing items</w:t>
            </w:r>
          </w:p>
        </w:tc>
        <w:tc>
          <w:tcPr>
            <w:tcW w:type="dxa" w:w="446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Reviews outstanding documents and draw conditions</w:t>
            </w:r>
          </w:p>
        </w:tc>
        <w:tc>
          <w:tcPr>
            <w:tcW w:type="dxa" w:w="26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Nothing blocks a draw unnoticed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Build draw packet</w:t>
            </w:r>
          </w:p>
        </w:tc>
        <w:tc>
          <w:tcPr>
            <w:tcW w:type="dxa" w:w="446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Selects the draw period; the system lists eligible budget lines, invoices, photos, and open lender conditions and produces a portal-entry summary</w:t>
            </w:r>
          </w:p>
        </w:tc>
        <w:tc>
          <w:tcPr>
            <w:tcW w:type="dxa" w:w="26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Clean packet the owner submits through the lender portal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Share investor preview</w:t>
            </w:r>
          </w:p>
        </w:tc>
        <w:tc>
          <w:tcPr>
            <w:tcW w:type="dxa" w:w="446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Generates the read-only project health view</w:t>
            </w:r>
          </w:p>
        </w:tc>
        <w:tc>
          <w:tcPr>
            <w:tcW w:type="dxa" w:w="26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Investor confidence without exposing every invoice</w:t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Documents the owner provides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Budget sheet and SOV (schedule of values)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GC contract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Timeline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Bank statement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Loan approval statement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HUD statement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Land acquisition statement</w:t>
      </w:r>
    </w:p>
    <w:p>
      <w:pPr>
        <w:pStyle w:val="Heading2"/>
        <w:keepNext/>
        <w:pageBreakBefore/>
        <w:spacing w:after="120" w:before="24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4.2 CFO / Accounting</w:t>
      </w:r>
    </w:p>
    <w:p>
      <w:pPr>
        <w:spacing w:after="160" w:before="120"/>
        <w:jc w:val="center"/>
      </w:pPr>
      <w:r>
        <w:drawing>
          <wp:inline distT="0" distB="0" distL="0" distR="0">
            <wp:extent cx="5715000" cy="3105150"/>
            <wp:effectExtent t="0" r="0" b="0" l="0"/>
            <wp:docPr id="1" name="CFO use case diagram" descr="CFO use case diagram" title="CFO use cas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</w:pPr>
      <w:r>
        <w:rPr>
          <w:rFonts w:ascii="Arial" w:cs="Arial" w:eastAsia="Arial" w:hAnsi="Arial"/>
        </w:rPr>
        <w:t xml:space="preserve">Goal: accurate expense categories, reconciliation, and budget variance. The CFO provides the expense sheet and the work that follows from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460"/>
        <w:gridCol w:w="2600"/>
      </w:tblGrid>
      <w:tr>
        <w:trPr>
          <w:tblHeader/>
        </w:trPr>
        <w:tc>
          <w:tcPr>
            <w:tcW w:type="dxa" w:w="23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EEED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Use case</w:t>
            </w:r>
          </w:p>
        </w:tc>
        <w:tc>
          <w:tcPr>
            <w:tcW w:type="dxa" w:w="446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EEED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What the CFO does</w:t>
            </w:r>
          </w:p>
        </w:tc>
        <w:tc>
          <w:tcPr>
            <w:tcW w:type="dxa" w:w="26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EEED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Outcome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Upload expense sheet</w:t>
            </w:r>
          </w:p>
        </w:tc>
        <w:tc>
          <w:tcPr>
            <w:tcW w:type="dxa" w:w="446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Imports actuals (vendor, date, amount, description, payment status); the system normalizes vendors, dates, amounts, and categories</w:t>
            </w:r>
          </w:p>
        </w:tc>
        <w:tc>
          <w:tcPr>
            <w:tcW w:type="dxa" w:w="26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Clean ledger of actual spend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Match expense to budget</w:t>
            </w:r>
          </w:p>
        </w:tc>
        <w:tc>
          <w:tcPr>
            <w:tcW w:type="dxa" w:w="446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Confirms or corrects the system's match of each expense to a budget line; low-confidence rows go to a review queue</w:t>
            </w:r>
          </w:p>
        </w:tc>
        <w:tc>
          <w:tcPr>
            <w:tcW w:type="dxa" w:w="26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Budget vs actual and funded vs spent stay current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Reconcile draws</w:t>
            </w:r>
          </w:p>
        </w:tc>
        <w:tc>
          <w:tcPr>
            <w:tcW w:type="dxa" w:w="446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Compares actual spend with requested, approved, and funded draws</w:t>
            </w:r>
          </w:p>
        </w:tc>
        <w:tc>
          <w:tcPr>
            <w:tcW w:type="dxa" w:w="26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Cash gap and spend not yet drawn are visible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Export variance reports</w:t>
            </w:r>
          </w:p>
        </w:tc>
        <w:tc>
          <w:tcPr>
            <w:tcW w:type="dxa" w:w="446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Produces expense sheet, budget variance report, draw history, and summaries as Excel or PDF</w:t>
            </w:r>
          </w:p>
        </w:tc>
        <w:tc>
          <w:tcPr>
            <w:tcW w:type="dxa" w:w="26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Ready to share with owner, lender, or partners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</w:rPr>
        <w:t xml:space="preserve">AI suggests matches but never changes financial data without the CFO's approval.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4.3 Project manager</w:t>
      </w:r>
    </w:p>
    <w:p>
      <w:pPr>
        <w:spacing w:after="160" w:before="120"/>
        <w:jc w:val="center"/>
      </w:pPr>
      <w:r>
        <w:drawing>
          <wp:inline distT="0" distB="0" distL="0" distR="0">
            <wp:extent cx="5715000" cy="2705100"/>
            <wp:effectExtent t="0" r="0" b="0" l="0"/>
            <wp:docPr id="1" name="Project manager use case diagram" descr="Project manager use case diagram" title="Project manager use cas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</w:pPr>
      <w:r>
        <w:rPr>
          <w:rFonts w:ascii="Arial" w:cs="Arial" w:eastAsia="Arial" w:hAnsi="Arial"/>
        </w:rPr>
        <w:t xml:space="preserve">Goal: trade progress, inspections, and schedule slippage, with evidence behind each update.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460"/>
        <w:gridCol w:w="2600"/>
      </w:tblGrid>
      <w:tr>
        <w:trPr>
          <w:tblHeader/>
        </w:trPr>
        <w:tc>
          <w:tcPr>
            <w:tcW w:type="dxa" w:w="23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EEED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Use case</w:t>
            </w:r>
          </w:p>
        </w:tc>
        <w:tc>
          <w:tcPr>
            <w:tcW w:type="dxa" w:w="446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EEED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What the PM does</w:t>
            </w:r>
          </w:p>
        </w:tc>
        <w:tc>
          <w:tcPr>
            <w:tcW w:type="dxa" w:w="26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EEED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Outcome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Update milestones</w:t>
            </w:r>
          </w:p>
        </w:tc>
        <w:tc>
          <w:tcPr>
            <w:tcW w:type="dxa" w:w="446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Records actual start and completion dates, expected completion, progress %, and photo evidence against the planned timeline</w:t>
            </w:r>
          </w:p>
        </w:tc>
        <w:tc>
          <w:tcPr>
            <w:tcW w:type="dxa" w:w="26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Timeline reflects reality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Log inspection status</w:t>
            </w:r>
          </w:p>
        </w:tc>
        <w:tc>
          <w:tcPr>
            <w:tcW w:type="dxa" w:w="446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Marks each inspection as scheduled, passed, failed, or delayed and attaches reports</w:t>
            </w:r>
          </w:p>
        </w:tc>
        <w:tc>
          <w:tcPr>
            <w:tcW w:type="dxa" w:w="26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Inspection risk is visible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Track delay sources</w:t>
            </w:r>
          </w:p>
        </w:tc>
        <w:tc>
          <w:tcPr>
            <w:tcW w:type="dxa" w:w="446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Tags the cause of a slip (plumbing, electrical, permit, inspection, GC coordination); the system records delay days and estimated interest and carry cost</w:t>
            </w:r>
          </w:p>
        </w:tc>
        <w:tc>
          <w:tcPr>
            <w:tcW w:type="dxa" w:w="26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Owner sees who or what causes delay and what it costs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</w:rPr>
        <w:t xml:space="preserve">Example: an electrical rough inspection planned for February happens in March. The app shows it 45 days late and ties that delay to the budget impact the owner sees.</w:t>
      </w:r>
    </w:p>
    <w:p>
      <w:pPr>
        <w:pStyle w:val="Heading2"/>
        <w:keepNext/>
        <w:pageBreakBefore/>
        <w:spacing w:after="120" w:before="24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4.4 Investor / Partner</w:t>
      </w:r>
    </w:p>
    <w:p>
      <w:pPr>
        <w:spacing w:after="160" w:before="120"/>
        <w:jc w:val="center"/>
      </w:pPr>
      <w:r>
        <w:drawing>
          <wp:inline distT="0" distB="0" distL="0" distR="0">
            <wp:extent cx="5715000" cy="2705100"/>
            <wp:effectExtent t="0" r="0" b="0" l="0"/>
            <wp:docPr id="1" name="Investor use case diagram" descr="Investor use case diagram" title="Investor use cas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</w:pPr>
      <w:r>
        <w:rPr>
          <w:rFonts w:ascii="Arial" w:cs="Arial" w:eastAsia="Arial" w:hAnsi="Arial"/>
        </w:rPr>
        <w:t xml:space="preserve">Goal: capital invested, project status, expected ROI, risk, and the next funding event. Access is read-only and exists only when the owner shares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460"/>
        <w:gridCol w:w="2600"/>
      </w:tblGrid>
      <w:tr>
        <w:trPr>
          <w:tblHeader/>
        </w:trPr>
        <w:tc>
          <w:tcPr>
            <w:tcW w:type="dxa" w:w="23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EEED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Use case</w:t>
            </w:r>
          </w:p>
        </w:tc>
        <w:tc>
          <w:tcPr>
            <w:tcW w:type="dxa" w:w="446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EEED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What the investor sees</w:t>
            </w:r>
          </w:p>
        </w:tc>
        <w:tc>
          <w:tcPr>
            <w:tcW w:type="dxa" w:w="26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EEED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Outcome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View project health</w:t>
            </w:r>
          </w:p>
        </w:tc>
        <w:tc>
          <w:tcPr>
            <w:tcW w:type="dxa" w:w="446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Budget vs actual summary, timeline health, risk level, units sold</w:t>
            </w:r>
          </w:p>
        </w:tc>
        <w:tc>
          <w:tcPr>
            <w:tcW w:type="dxa" w:w="26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Confidence without detail overload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See next funding event</w:t>
            </w:r>
          </w:p>
        </w:tc>
        <w:tc>
          <w:tcPr>
            <w:tcW w:type="dxa" w:w="446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upcoming draw and its expected timing</w:t>
            </w:r>
          </w:p>
        </w:tc>
        <w:tc>
          <w:tcPr>
            <w:tcW w:type="dxa" w:w="26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Knows when capital moves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Receive monthly update</w:t>
            </w:r>
          </w:p>
        </w:tc>
        <w:tc>
          <w:tcPr>
            <w:tcW w:type="dxa" w:w="446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Generated narrative update that the owner approves before sending</w:t>
            </w:r>
          </w:p>
        </w:tc>
        <w:tc>
          <w:tcPr>
            <w:tcW w:type="dxa" w:w="26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Regular, consistent reporting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</w:rPr>
        <w:t xml:space="preserve">Individual invoices, vendor-level detail, and internal issues stay hidden.</w:t>
      </w:r>
    </w:p>
    <w:p>
      <w:pPr>
        <w:pStyle w:val="Heading2"/>
        <w:keepNext/>
        <w:pageBreakBefore/>
        <w:spacing w:after="120" w:before="24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4.5 GC (fixed contract)</w:t>
      </w:r>
    </w:p>
    <w:p>
      <w:pPr>
        <w:spacing w:after="160" w:before="120"/>
        <w:jc w:val="center"/>
      </w:pPr>
      <w:r>
        <w:drawing>
          <wp:inline distT="0" distB="0" distL="0" distR="0">
            <wp:extent cx="5715000" cy="2705100"/>
            <wp:effectExtent t="0" r="0" b="0" l="0"/>
            <wp:docPr id="1" name="Fixed contract GC use case diagram" descr="Fixed contract GC use case diagram" title="Fixed contract GC use cas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</w:pPr>
      <w:r>
        <w:rPr>
          <w:rFonts w:ascii="Arial" w:cs="Arial" w:eastAsia="Arial" w:hAnsi="Arial"/>
        </w:rPr>
        <w:t xml:space="preserve">Goal: get paid on agreed milestones. The owner chooses this GC type when the project is a fixed or milestone contract, for example $2M total with site work $300K, framing $400K, and mechanical $350K.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460"/>
        <w:gridCol w:w="2600"/>
      </w:tblGrid>
      <w:tr>
        <w:trPr>
          <w:tblHeader/>
        </w:trPr>
        <w:tc>
          <w:tcPr>
            <w:tcW w:type="dxa" w:w="23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EEED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Use case</w:t>
            </w:r>
          </w:p>
        </w:tc>
        <w:tc>
          <w:tcPr>
            <w:tcW w:type="dxa" w:w="446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EEED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What the GC does</w:t>
            </w:r>
          </w:p>
        </w:tc>
        <w:tc>
          <w:tcPr>
            <w:tcW w:type="dxa" w:w="26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EEED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Outcome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Submit milestone claim</w:t>
            </w:r>
          </w:p>
        </w:tc>
        <w:tc>
          <w:tcPr>
            <w:tcW w:type="dxa" w:w="446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Requests payment when a milestone is complete</w:t>
            </w:r>
          </w:p>
        </w:tc>
        <w:tc>
          <w:tcPr>
            <w:tcW w:type="dxa" w:w="26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Owner sees milestone status and payment due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Upload completion proof</w:t>
            </w:r>
          </w:p>
        </w:tc>
        <w:tc>
          <w:tcPr>
            <w:tcW w:type="dxa" w:w="446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Attaches photos and documents showing the milestone is done</w:t>
            </w:r>
          </w:p>
        </w:tc>
        <w:tc>
          <w:tcPr>
            <w:tcW w:type="dxa" w:w="26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Payment is backed by evidence and inspection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Submit change order</w:t>
            </w:r>
          </w:p>
        </w:tc>
        <w:tc>
          <w:tcPr>
            <w:tcW w:type="dxa" w:w="446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Enters scope, cost, and reason for work outside the contract</w:t>
            </w:r>
          </w:p>
        </w:tc>
        <w:tc>
          <w:tcPr>
            <w:tcW w:type="dxa" w:w="26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Routed to the owner for approval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4.6 GC (daily updates)</w:t>
      </w:r>
    </w:p>
    <w:p>
      <w:pPr>
        <w:spacing w:after="160" w:before="120"/>
        <w:jc w:val="center"/>
      </w:pPr>
      <w:r>
        <w:drawing>
          <wp:inline distT="0" distB="0" distL="0" distR="0">
            <wp:extent cx="5715000" cy="3105150"/>
            <wp:effectExtent t="0" r="0" b="0" l="0"/>
            <wp:docPr id="1" name="Daily-updates GC use case diagram" descr="Daily-updates GC use case diagram" title="Daily-updates GC use cas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</w:pPr>
      <w:r>
        <w:rPr>
          <w:rFonts w:ascii="Arial" w:cs="Arial" w:eastAsia="Arial" w:hAnsi="Arial"/>
        </w:rPr>
        <w:t xml:space="preserve">Goal: keep the owner informed every day while costs are tracked openly. The owner chooses this GC type for open-book, cost-plus, or partnership projects.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460"/>
        <w:gridCol w:w="2600"/>
      </w:tblGrid>
      <w:tr>
        <w:trPr>
          <w:tblHeader/>
        </w:trPr>
        <w:tc>
          <w:tcPr>
            <w:tcW w:type="dxa" w:w="23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EEED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Use case</w:t>
            </w:r>
          </w:p>
        </w:tc>
        <w:tc>
          <w:tcPr>
            <w:tcW w:type="dxa" w:w="446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EEED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What the GC does</w:t>
            </w:r>
          </w:p>
        </w:tc>
        <w:tc>
          <w:tcPr>
            <w:tcW w:type="dxa" w:w="26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EEED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Outcome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Post daily status update</w:t>
            </w:r>
          </w:p>
        </w:tc>
        <w:tc>
          <w:tcPr>
            <w:tcW w:type="dxa" w:w="446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Reports progress, issues, and expected completion each day</w:t>
            </w:r>
          </w:p>
        </w:tc>
        <w:tc>
          <w:tcPr>
            <w:tcW w:type="dxa" w:w="26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Timeline and delay tracking stay current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Submit invoices, costs</w:t>
            </w:r>
          </w:p>
        </w:tc>
        <w:tc>
          <w:tcPr>
            <w:tcW w:type="dxa" w:w="446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Uploads invoices, checks, card transactions, and line-item costs</w:t>
            </w:r>
          </w:p>
        </w:tc>
        <w:tc>
          <w:tcPr>
            <w:tcW w:type="dxa" w:w="26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Granular actual cost for CFO reconciliation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Upload daily photos</w:t>
            </w:r>
          </w:p>
        </w:tc>
        <w:tc>
          <w:tcPr>
            <w:tcW w:type="dxa" w:w="446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Attaches site photos as progress proof</w:t>
            </w:r>
          </w:p>
        </w:tc>
        <w:tc>
          <w:tcPr>
            <w:tcW w:type="dxa" w:w="26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Evidence for progress % and inspections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Submit change order</w:t>
            </w:r>
          </w:p>
        </w:tc>
        <w:tc>
          <w:tcPr>
            <w:tcW w:type="dxa" w:w="446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Enters scope, cost, and reason for added work</w:t>
            </w:r>
          </w:p>
        </w:tc>
        <w:tc>
          <w:tcPr>
            <w:tcW w:type="dxa" w:w="26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Routed to the owner for approval</w:t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Fixed contract vs daily updates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EEED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/>
            </w:r>
          </w:p>
        </w:tc>
        <w:tc>
          <w:tcPr>
            <w:tcW w:type="dxa" w:w="378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EEED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Fixed contract GC</w:t>
            </w:r>
          </w:p>
        </w:tc>
        <w:tc>
          <w:tcPr>
            <w:tcW w:type="dxa" w:w="378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EEED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Daily-updates GC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Contract</w:t>
            </w:r>
          </w:p>
        </w:tc>
        <w:tc>
          <w:tcPr>
            <w:tcW w:type="dxa" w:w="378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Fixed total with milestone payments</w:t>
            </w:r>
          </w:p>
        </w:tc>
        <w:tc>
          <w:tcPr>
            <w:tcW w:type="dxa" w:w="378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Open-book / cost-plus: actual costs plus the GC's markup or profit share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Owner sees</w:t>
            </w:r>
          </w:p>
        </w:tc>
        <w:tc>
          <w:tcPr>
            <w:tcW w:type="dxa" w:w="378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Milestone status and payment due, without subcontractor invoice noise</w:t>
            </w:r>
          </w:p>
        </w:tc>
        <w:tc>
          <w:tcPr>
            <w:tcW w:type="dxa" w:w="378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Granular costs, with the GC's markup shown separately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Reconciliation</w:t>
            </w:r>
          </w:p>
        </w:tc>
        <w:tc>
          <w:tcPr>
            <w:tcW w:type="dxa" w:w="378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Pay on milestone, backed by proof and inspection</w:t>
            </w:r>
          </w:p>
        </w:tc>
        <w:tc>
          <w:tcPr>
            <w:tcW w:type="dxa" w:w="378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Line-item reconciliation of invoices, checks, and card transactions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</w:rPr>
        <w:t xml:space="preserve">A GC never chooses the type; the owner sets it per project. In v1 the GC is an input source, not the primary customer.</w:t>
      </w:r>
    </w:p>
    <w:p>
      <w:pPr>
        <w:pStyle w:val="Heading1"/>
        <w:keepNext/>
        <w:pageBreakBefore/>
        <w:spacing w:after="160" w:before="300"/>
      </w:pPr>
      <w:r>
        <w:rPr>
          <w:rFonts w:ascii="Arial" w:cs="Arial" w:eastAsia="Arial" w:hAnsi="Arial"/>
          <w:b/>
          <w:bCs/>
          <w:color w:val="3C3489"/>
          <w:sz w:val="32"/>
          <w:szCs w:val="32"/>
        </w:rPr>
        <w:t xml:space="preserve">5. Draw cycle flow</w:t>
      </w:r>
    </w:p>
    <w:p>
      <w:pPr>
        <w:spacing w:after="160" w:before="120"/>
        <w:jc w:val="center"/>
      </w:pPr>
      <w:r>
        <w:drawing>
          <wp:inline distT="0" distB="0" distL="0" distR="0">
            <wp:extent cx="5715000" cy="2524125"/>
            <wp:effectExtent t="0" r="0" b="0" l="0"/>
            <wp:docPr id="1" name="Draw cycle flow" descr="Draw cycle flow" title="Draw cycle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Arial" w:cs="Arial" w:eastAsia="Arial" w:hAnsi="Arial"/>
          <w:b/>
          <w:bCs/>
        </w:rPr>
        <w:t xml:space="preserve">Documents and spend: </w:t>
      </w:r>
      <w:r>
        <w:rPr>
          <w:rFonts w:ascii="Arial" w:cs="Arial" w:eastAsia="Arial" w:hAnsi="Arial"/>
        </w:rPr>
        <w:t xml:space="preserve">the owner uploads project documents, the CFO uploads the expense sheet, and the GC submits claims or daily updates.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Arial" w:cs="Arial" w:eastAsia="Arial" w:hAnsi="Arial"/>
          <w:b/>
          <w:bCs/>
        </w:rPr>
        <w:t xml:space="preserve">Progress: </w:t>
      </w:r>
      <w:r>
        <w:rPr>
          <w:rFonts w:ascii="Arial" w:cs="Arial" w:eastAsia="Arial" w:hAnsi="Arial"/>
        </w:rPr>
        <w:t xml:space="preserve">the PM confirms progress and inspections.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Arial" w:cs="Arial" w:eastAsia="Arial" w:hAnsi="Arial"/>
          <w:b/>
          <w:bCs/>
        </w:rPr>
        <w:t xml:space="preserve">Matching: </w:t>
      </w:r>
      <w:r>
        <w:rPr>
          <w:rFonts w:ascii="Arial" w:cs="Arial" w:eastAsia="Arial" w:hAnsi="Arial"/>
        </w:rPr>
        <w:t xml:space="preserve">the CFO matches expenses to budget lines.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Arial" w:cs="Arial" w:eastAsia="Arial" w:hAnsi="Arial"/>
          <w:b/>
          <w:bCs/>
        </w:rPr>
        <w:t xml:space="preserve">Packet: </w:t>
      </w:r>
      <w:r>
        <w:rPr>
          <w:rFonts w:ascii="Arial" w:cs="Arial" w:eastAsia="Arial" w:hAnsi="Arial"/>
        </w:rPr>
        <w:t xml:space="preserve">the owner checks missing items and builds the draw packet.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Arial" w:cs="Arial" w:eastAsia="Arial" w:hAnsi="Arial"/>
          <w:b/>
          <w:bCs/>
        </w:rPr>
        <w:t xml:space="preserve">Submission: </w:t>
      </w:r>
      <w:r>
        <w:rPr>
          <w:rFonts w:ascii="Arial" w:cs="Arial" w:eastAsia="Arial" w:hAnsi="Arial"/>
        </w:rPr>
        <w:t xml:space="preserve">the owner submits through the lender portal, and the lender funds the draw.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Arial" w:cs="Arial" w:eastAsia="Arial" w:hAnsi="Arial"/>
          <w:b/>
          <w:bCs/>
        </w:rPr>
        <w:t xml:space="preserve">Reporting: </w:t>
      </w:r>
      <w:r>
        <w:rPr>
          <w:rFonts w:ascii="Arial" w:cs="Arial" w:eastAsia="Arial" w:hAnsi="Arial"/>
        </w:rPr>
        <w:t xml:space="preserve">the investor sees the updated funding status.</w:t>
      </w:r>
    </w:p>
    <w:p>
      <w:pPr>
        <w:pStyle w:val="Heading1"/>
        <w:keepNext/>
        <w:spacing w:after="160" w:before="300"/>
      </w:pPr>
      <w:r>
        <w:rPr>
          <w:rFonts w:ascii="Arial" w:cs="Arial" w:eastAsia="Arial" w:hAnsi="Arial"/>
          <w:b/>
          <w:bCs/>
          <w:color w:val="3C3489"/>
          <w:sz w:val="32"/>
          <w:szCs w:val="32"/>
        </w:rPr>
        <w:t xml:space="preserve">6. Business rules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Budget, expenses, draws, and timeline stay separate and are reconciled in reporting.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AI suggests; humans approve. No financial data changes silently.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GroundUp AI prepares draw packets but does not replace the lender portal.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The owner selects the GC type per project.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All change orders go to the owner for approval.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Investors have read-only access to summaries, not internal detail.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780"/>
        <w:sz w:val="16"/>
        <w:szCs w:val="16"/>
      </w:rPr>
      <w:t xml:space="preserve">GroundUp AI | Use Case Diagrams | Page </w:t>
    </w:r>
    <w:r>
      <w:rPr>
        <w:rFonts w:ascii="Arial" w:cs="Arial" w:eastAsia="Arial" w:hAnsi="Arial"/>
        <w:color w:val="8887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20a51350e944b9d12e5981bdf134468dca9fce5.png"/><Relationship Id="rId9" Type="http://schemas.openxmlformats.org/officeDocument/2006/relationships/image" Target="media/256b66d0a4b2da1ca644a873f4ad425991e2f399.png"/><Relationship Id="rId10" Type="http://schemas.openxmlformats.org/officeDocument/2006/relationships/image" Target="media/bb12af85e05cc90557b95cc1b8bb8782f8884416.png"/><Relationship Id="rId11" Type="http://schemas.openxmlformats.org/officeDocument/2006/relationships/image" Target="media/5f2078d085927299ca7b59e36120945110c2029a.png"/><Relationship Id="rId12" Type="http://schemas.openxmlformats.org/officeDocument/2006/relationships/image" Target="media/8b4fe42c89382efe91e22dc80ad6515bffefa419.png"/><Relationship Id="rId13" Type="http://schemas.openxmlformats.org/officeDocument/2006/relationships/image" Target="media/598e9d67aecdd1638e89704ca5cfe8d249e87100.png"/><Relationship Id="rId14" Type="http://schemas.openxmlformats.org/officeDocument/2006/relationships/image" Target="media/3bf9faa34fa93c2f6877542991838ad051c83cba.png"/><Relationship Id="rId15" Type="http://schemas.openxmlformats.org/officeDocument/2006/relationships/image" Target="media/c42071d339be780e2bca141704b263c3e511b693.png"/><Relationship Id="rId16" Type="http://schemas.openxmlformats.org/officeDocument/2006/relationships/image" Target="media/44818571ca6862c4e17ed7980f49964083c86bf5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2026-10-05T06:18:45.580Z</dcterms:created>
  <dcterms:modified xsi:type="dcterms:W3CDTF">2026-10-05T06:18:45.580Z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