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834E4" w14:textId="77777777" w:rsidR="00AD2EC2" w:rsidRDefault="00AD2EC2">
      <w:pPr>
        <w:shd w:val="clear" w:color="auto" w:fill="003366"/>
        <w:jc w:val="center"/>
        <w:divId w:val="1231505040"/>
        <w:rPr>
          <w:rFonts w:ascii="Calibri" w:eastAsia="Times New Roman" w:hAnsi="Calibri" w:cs="Calibri"/>
          <w:b/>
          <w:bCs/>
          <w:caps/>
          <w:color w:val="FFFFFF"/>
          <w:spacing w:val="15"/>
          <w:lang w:val="en"/>
        </w:rPr>
      </w:pPr>
      <w:r>
        <w:rPr>
          <w:rFonts w:ascii="Calibri" w:eastAsia="Times New Roman" w:hAnsi="Calibri" w:cs="Calibri"/>
          <w:b/>
          <w:bCs/>
          <w:caps/>
          <w:color w:val="FFFFFF"/>
          <w:spacing w:val="15"/>
          <w:lang w:val="en"/>
        </w:rPr>
        <w:t>Enterprise Systems Research Deliverable • Week 1</w:t>
      </w:r>
    </w:p>
    <w:p w14:paraId="5651DEDA" w14:textId="77777777" w:rsidR="00AD2EC2" w:rsidRDefault="00AD2EC2">
      <w:pPr>
        <w:shd w:val="clear" w:color="auto" w:fill="F8FAFC"/>
        <w:jc w:val="center"/>
        <w:divId w:val="217057205"/>
        <w:rPr>
          <w:rFonts w:ascii="Calibri" w:eastAsia="Times New Roman" w:hAnsi="Calibri" w:cs="Calibri"/>
          <w:b/>
          <w:bCs/>
          <w:color w:val="003366"/>
          <w:sz w:val="52"/>
          <w:szCs w:val="52"/>
          <w:lang w:val="en"/>
        </w:rPr>
      </w:pPr>
      <w:r>
        <w:rPr>
          <w:rFonts w:ascii="Calibri" w:eastAsia="Times New Roman" w:hAnsi="Calibri" w:cs="Calibri"/>
          <w:b/>
          <w:bCs/>
          <w:color w:val="003366"/>
          <w:sz w:val="52"/>
          <w:szCs w:val="52"/>
          <w:lang w:val="en"/>
        </w:rPr>
        <w:t>UNDERSTANDING SAP FICO</w:t>
      </w:r>
    </w:p>
    <w:p w14:paraId="1DDF2ABD" w14:textId="77777777" w:rsidR="00AD2EC2" w:rsidRDefault="00AD2EC2">
      <w:pPr>
        <w:shd w:val="clear" w:color="auto" w:fill="F8FAFC"/>
        <w:jc w:val="center"/>
        <w:divId w:val="947353398"/>
        <w:rPr>
          <w:rFonts w:ascii="Calibri" w:eastAsia="Times New Roman" w:hAnsi="Calibri" w:cs="Calibri"/>
          <w:color w:val="4A5568"/>
          <w:sz w:val="26"/>
          <w:szCs w:val="26"/>
          <w:lang w:val="en"/>
        </w:rPr>
      </w:pPr>
      <w:r>
        <w:rPr>
          <w:rFonts w:ascii="Calibri" w:eastAsia="Times New Roman" w:hAnsi="Calibri" w:cs="Calibri"/>
          <w:color w:val="4A5568"/>
          <w:sz w:val="26"/>
          <w:szCs w:val="26"/>
          <w:lang w:val="en"/>
        </w:rPr>
        <w:t xml:space="preserve">A Comprehensive Research Report on Architecture, Core Functionalities, Cross-Module Enterprise Integration, Industry Use Cases, Benefits, and Implementation Challenges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89"/>
        <w:gridCol w:w="6071"/>
      </w:tblGrid>
      <w:tr w:rsidR="00AD2EC2" w14:paraId="1C61D9F8" w14:textId="77777777" w:rsidTr="00A60BC9">
        <w:trPr>
          <w:divId w:val="310252663"/>
          <w:tblCellSpacing w:w="15" w:type="dxa"/>
        </w:trPr>
        <w:tc>
          <w:tcPr>
            <w:tcW w:w="1733" w:type="pct"/>
            <w:tcBorders>
              <w:top w:val="nil"/>
              <w:left w:val="nil"/>
              <w:bottom w:val="nil"/>
              <w:right w:val="nil"/>
            </w:tcBorders>
            <w:tcMar>
              <w:top w:w="75" w:type="dxa"/>
              <w:left w:w="150" w:type="dxa"/>
              <w:bottom w:w="75" w:type="dxa"/>
              <w:right w:w="150" w:type="dxa"/>
            </w:tcMar>
            <w:hideMark/>
          </w:tcPr>
          <w:p w14:paraId="15774A76" w14:textId="77777777" w:rsidR="00AD2EC2" w:rsidRDefault="00AD2EC2">
            <w:pPr>
              <w:spacing w:before="240" w:after="240"/>
              <w:rPr>
                <w:rFonts w:ascii="Calibri" w:eastAsia="Times New Roman" w:hAnsi="Calibri" w:cs="Calibri"/>
                <w:b/>
                <w:bCs/>
                <w:color w:val="003366"/>
                <w:sz w:val="20"/>
                <w:szCs w:val="20"/>
              </w:rPr>
            </w:pPr>
            <w:r>
              <w:rPr>
                <w:rFonts w:ascii="Calibri" w:eastAsia="Times New Roman" w:hAnsi="Calibri" w:cs="Calibri"/>
                <w:b/>
                <w:bCs/>
                <w:color w:val="003366"/>
                <w:sz w:val="20"/>
                <w:szCs w:val="20"/>
              </w:rPr>
              <w:t>Task Deliverable:</w:t>
            </w:r>
          </w:p>
        </w:tc>
        <w:tc>
          <w:tcPr>
            <w:tcW w:w="3219" w:type="pct"/>
            <w:tcBorders>
              <w:top w:val="nil"/>
              <w:left w:val="nil"/>
              <w:bottom w:val="nil"/>
              <w:right w:val="nil"/>
            </w:tcBorders>
            <w:tcMar>
              <w:top w:w="75" w:type="dxa"/>
              <w:left w:w="150" w:type="dxa"/>
              <w:bottom w:w="75" w:type="dxa"/>
              <w:right w:w="150" w:type="dxa"/>
            </w:tcMar>
            <w:hideMark/>
          </w:tcPr>
          <w:p w14:paraId="1C705461"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Week 1: Understanding SAP FICO</w:t>
            </w:r>
          </w:p>
        </w:tc>
      </w:tr>
      <w:tr w:rsidR="00AD2EC2" w14:paraId="04EF8BA9" w14:textId="77777777" w:rsidTr="00A60BC9">
        <w:trPr>
          <w:divId w:val="310252663"/>
          <w:tblCellSpacing w:w="15" w:type="dxa"/>
        </w:trPr>
        <w:tc>
          <w:tcPr>
            <w:tcW w:w="1733" w:type="pct"/>
            <w:tcBorders>
              <w:top w:val="nil"/>
              <w:left w:val="nil"/>
              <w:bottom w:val="nil"/>
              <w:right w:val="nil"/>
            </w:tcBorders>
            <w:tcMar>
              <w:top w:w="75" w:type="dxa"/>
              <w:left w:w="150" w:type="dxa"/>
              <w:bottom w:w="75" w:type="dxa"/>
              <w:right w:w="150" w:type="dxa"/>
            </w:tcMar>
            <w:hideMark/>
          </w:tcPr>
          <w:p w14:paraId="70F3B291" w14:textId="77777777" w:rsidR="00AD2EC2" w:rsidRDefault="00AD2EC2">
            <w:pPr>
              <w:spacing w:before="240" w:after="240"/>
              <w:rPr>
                <w:rFonts w:ascii="Calibri" w:eastAsia="Times New Roman" w:hAnsi="Calibri" w:cs="Calibri"/>
                <w:b/>
                <w:bCs/>
                <w:color w:val="003366"/>
                <w:sz w:val="20"/>
                <w:szCs w:val="20"/>
              </w:rPr>
            </w:pPr>
            <w:r>
              <w:rPr>
                <w:rFonts w:ascii="Calibri" w:eastAsia="Times New Roman" w:hAnsi="Calibri" w:cs="Calibri"/>
                <w:b/>
                <w:bCs/>
                <w:color w:val="003366"/>
                <w:sz w:val="20"/>
                <w:szCs w:val="20"/>
              </w:rPr>
              <w:t>Topic Domain:</w:t>
            </w:r>
          </w:p>
        </w:tc>
        <w:tc>
          <w:tcPr>
            <w:tcW w:w="3219" w:type="pct"/>
            <w:tcBorders>
              <w:top w:val="nil"/>
              <w:left w:val="nil"/>
              <w:bottom w:val="nil"/>
              <w:right w:val="nil"/>
            </w:tcBorders>
            <w:tcMar>
              <w:top w:w="75" w:type="dxa"/>
              <w:left w:w="150" w:type="dxa"/>
              <w:bottom w:w="75" w:type="dxa"/>
              <w:right w:w="150" w:type="dxa"/>
            </w:tcMar>
            <w:hideMark/>
          </w:tcPr>
          <w:p w14:paraId="50165CB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Enterprise Resource Planning (ERP) • Financial Accounting (FI) • Controlling (CO)</w:t>
            </w:r>
          </w:p>
        </w:tc>
      </w:tr>
      <w:tr w:rsidR="00AD2EC2" w14:paraId="5DF01EA6" w14:textId="77777777" w:rsidTr="00A60BC9">
        <w:trPr>
          <w:divId w:val="310252663"/>
          <w:tblCellSpacing w:w="15" w:type="dxa"/>
        </w:trPr>
        <w:tc>
          <w:tcPr>
            <w:tcW w:w="1733" w:type="pct"/>
            <w:tcBorders>
              <w:top w:val="nil"/>
              <w:left w:val="nil"/>
              <w:bottom w:val="nil"/>
              <w:right w:val="nil"/>
            </w:tcBorders>
            <w:tcMar>
              <w:top w:w="75" w:type="dxa"/>
              <w:left w:w="150" w:type="dxa"/>
              <w:bottom w:w="75" w:type="dxa"/>
              <w:right w:w="150" w:type="dxa"/>
            </w:tcMar>
            <w:hideMark/>
          </w:tcPr>
          <w:p w14:paraId="74CD8831" w14:textId="77777777" w:rsidR="00AD2EC2" w:rsidRDefault="00AD2EC2">
            <w:pPr>
              <w:spacing w:before="240" w:after="240"/>
              <w:rPr>
                <w:rFonts w:ascii="Calibri" w:eastAsia="Times New Roman" w:hAnsi="Calibri" w:cs="Calibri"/>
                <w:b/>
                <w:bCs/>
                <w:color w:val="003366"/>
                <w:sz w:val="20"/>
                <w:szCs w:val="20"/>
              </w:rPr>
            </w:pPr>
            <w:r>
              <w:rPr>
                <w:rFonts w:ascii="Calibri" w:eastAsia="Times New Roman" w:hAnsi="Calibri" w:cs="Calibri"/>
                <w:b/>
                <w:bCs/>
                <w:color w:val="003366"/>
                <w:sz w:val="20"/>
                <w:szCs w:val="20"/>
              </w:rPr>
              <w:t>Software Platform:</w:t>
            </w:r>
          </w:p>
        </w:tc>
        <w:tc>
          <w:tcPr>
            <w:tcW w:w="3219" w:type="pct"/>
            <w:tcBorders>
              <w:top w:val="nil"/>
              <w:left w:val="nil"/>
              <w:bottom w:val="nil"/>
              <w:right w:val="nil"/>
            </w:tcBorders>
            <w:tcMar>
              <w:top w:w="75" w:type="dxa"/>
              <w:left w:w="150" w:type="dxa"/>
              <w:bottom w:w="75" w:type="dxa"/>
              <w:right w:w="150" w:type="dxa"/>
            </w:tcMar>
            <w:hideMark/>
          </w:tcPr>
          <w:p w14:paraId="0BEEA9A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SAP ERP Central Component (ECC 6.0) &amp; SAP S/4HANA Enterprise Management</w:t>
            </w:r>
          </w:p>
        </w:tc>
      </w:tr>
      <w:tr w:rsidR="00AD2EC2" w14:paraId="523112C1" w14:textId="77777777" w:rsidTr="00A60BC9">
        <w:trPr>
          <w:divId w:val="310252663"/>
          <w:tblCellSpacing w:w="15" w:type="dxa"/>
        </w:trPr>
        <w:tc>
          <w:tcPr>
            <w:tcW w:w="1733" w:type="pct"/>
            <w:tcBorders>
              <w:top w:val="nil"/>
              <w:left w:val="nil"/>
              <w:bottom w:val="nil"/>
              <w:right w:val="nil"/>
            </w:tcBorders>
            <w:tcMar>
              <w:top w:w="75" w:type="dxa"/>
              <w:left w:w="150" w:type="dxa"/>
              <w:bottom w:w="75" w:type="dxa"/>
              <w:right w:w="150" w:type="dxa"/>
            </w:tcMar>
            <w:hideMark/>
          </w:tcPr>
          <w:p w14:paraId="5FD4A71C" w14:textId="77777777" w:rsidR="00AD2EC2" w:rsidRDefault="00AD2EC2">
            <w:pPr>
              <w:spacing w:before="240" w:after="240"/>
              <w:rPr>
                <w:rFonts w:ascii="Calibri" w:eastAsia="Times New Roman" w:hAnsi="Calibri" w:cs="Calibri"/>
                <w:b/>
                <w:bCs/>
                <w:color w:val="003366"/>
                <w:sz w:val="20"/>
                <w:szCs w:val="20"/>
              </w:rPr>
            </w:pPr>
            <w:r>
              <w:rPr>
                <w:rFonts w:ascii="Calibri" w:eastAsia="Times New Roman" w:hAnsi="Calibri" w:cs="Calibri"/>
                <w:b/>
                <w:bCs/>
                <w:color w:val="003366"/>
                <w:sz w:val="20"/>
                <w:szCs w:val="20"/>
              </w:rPr>
              <w:t>Scope of Analysis:</w:t>
            </w:r>
          </w:p>
        </w:tc>
        <w:tc>
          <w:tcPr>
            <w:tcW w:w="3219" w:type="pct"/>
            <w:tcBorders>
              <w:top w:val="nil"/>
              <w:left w:val="nil"/>
              <w:bottom w:val="nil"/>
              <w:right w:val="nil"/>
            </w:tcBorders>
            <w:tcMar>
              <w:top w:w="75" w:type="dxa"/>
              <w:left w:w="150" w:type="dxa"/>
              <w:bottom w:w="75" w:type="dxa"/>
              <w:right w:w="150" w:type="dxa"/>
            </w:tcMar>
            <w:hideMark/>
          </w:tcPr>
          <w:p w14:paraId="7C1BD11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FI/CO Architectural Separation, Organizational Units, Sub-modules, Integration Points (MM, SD, PP, HCM), Use Cases, Benefits, and Pitfalls</w:t>
            </w:r>
          </w:p>
        </w:tc>
      </w:tr>
      <w:tr w:rsidR="00AD2EC2" w14:paraId="22A88557" w14:textId="77777777" w:rsidTr="00A60BC9">
        <w:trPr>
          <w:divId w:val="310252663"/>
          <w:tblCellSpacing w:w="15" w:type="dxa"/>
        </w:trPr>
        <w:tc>
          <w:tcPr>
            <w:tcW w:w="1733" w:type="pct"/>
            <w:tcBorders>
              <w:top w:val="nil"/>
              <w:left w:val="nil"/>
              <w:bottom w:val="nil"/>
              <w:right w:val="nil"/>
            </w:tcBorders>
            <w:tcMar>
              <w:top w:w="75" w:type="dxa"/>
              <w:left w:w="150" w:type="dxa"/>
              <w:bottom w:w="75" w:type="dxa"/>
              <w:right w:w="150" w:type="dxa"/>
            </w:tcMar>
            <w:hideMark/>
          </w:tcPr>
          <w:p w14:paraId="3FA96755" w14:textId="77777777" w:rsidR="00AD2EC2" w:rsidRDefault="00AD2EC2">
            <w:pPr>
              <w:spacing w:before="240" w:after="240"/>
              <w:rPr>
                <w:rFonts w:ascii="Calibri" w:eastAsia="Times New Roman" w:hAnsi="Calibri" w:cs="Calibri"/>
                <w:b/>
                <w:bCs/>
                <w:color w:val="003366"/>
                <w:sz w:val="20"/>
                <w:szCs w:val="20"/>
              </w:rPr>
            </w:pPr>
            <w:r>
              <w:rPr>
                <w:rFonts w:ascii="Calibri" w:eastAsia="Times New Roman" w:hAnsi="Calibri" w:cs="Calibri"/>
                <w:b/>
                <w:bCs/>
                <w:color w:val="003366"/>
                <w:sz w:val="20"/>
                <w:szCs w:val="20"/>
              </w:rPr>
              <w:t>Document Version:</w:t>
            </w:r>
          </w:p>
        </w:tc>
        <w:tc>
          <w:tcPr>
            <w:tcW w:w="3219" w:type="pct"/>
            <w:tcBorders>
              <w:top w:val="nil"/>
              <w:left w:val="nil"/>
              <w:bottom w:val="nil"/>
              <w:right w:val="nil"/>
            </w:tcBorders>
            <w:tcMar>
              <w:top w:w="75" w:type="dxa"/>
              <w:left w:w="150" w:type="dxa"/>
              <w:bottom w:w="75" w:type="dxa"/>
              <w:right w:w="150" w:type="dxa"/>
            </w:tcMar>
            <w:hideMark/>
          </w:tcPr>
          <w:p w14:paraId="60EDECF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Version 1.0 (Comprehensive Formal Report)</w:t>
            </w:r>
          </w:p>
        </w:tc>
      </w:tr>
      <w:tr w:rsidR="00AD2EC2" w14:paraId="2C4BB4B5" w14:textId="77777777" w:rsidTr="00A60BC9">
        <w:trPr>
          <w:divId w:val="310252663"/>
          <w:tblCellSpacing w:w="15" w:type="dxa"/>
        </w:trPr>
        <w:tc>
          <w:tcPr>
            <w:tcW w:w="1733" w:type="pct"/>
            <w:tcBorders>
              <w:top w:val="nil"/>
              <w:left w:val="nil"/>
              <w:bottom w:val="nil"/>
              <w:right w:val="nil"/>
            </w:tcBorders>
            <w:tcMar>
              <w:top w:w="75" w:type="dxa"/>
              <w:left w:w="150" w:type="dxa"/>
              <w:bottom w:w="75" w:type="dxa"/>
              <w:right w:w="150" w:type="dxa"/>
            </w:tcMar>
            <w:hideMark/>
          </w:tcPr>
          <w:p w14:paraId="36102AA1" w14:textId="77777777" w:rsidR="00AD2EC2" w:rsidRDefault="00AD2EC2">
            <w:pPr>
              <w:spacing w:before="240" w:after="240"/>
              <w:rPr>
                <w:rFonts w:ascii="Calibri" w:eastAsia="Times New Roman" w:hAnsi="Calibri" w:cs="Calibri"/>
                <w:b/>
                <w:bCs/>
                <w:color w:val="003366"/>
                <w:sz w:val="20"/>
                <w:szCs w:val="20"/>
              </w:rPr>
            </w:pPr>
            <w:r>
              <w:rPr>
                <w:rFonts w:ascii="Calibri" w:eastAsia="Times New Roman" w:hAnsi="Calibri" w:cs="Calibri"/>
                <w:b/>
                <w:bCs/>
                <w:color w:val="003366"/>
                <w:sz w:val="20"/>
                <w:szCs w:val="20"/>
              </w:rPr>
              <w:t>Date of Submission:</w:t>
            </w:r>
          </w:p>
        </w:tc>
        <w:tc>
          <w:tcPr>
            <w:tcW w:w="3219" w:type="pct"/>
            <w:tcBorders>
              <w:top w:val="nil"/>
              <w:left w:val="nil"/>
              <w:bottom w:val="nil"/>
              <w:right w:val="nil"/>
            </w:tcBorders>
            <w:tcMar>
              <w:top w:w="75" w:type="dxa"/>
              <w:left w:w="150" w:type="dxa"/>
              <w:bottom w:w="75" w:type="dxa"/>
              <w:right w:w="150" w:type="dxa"/>
            </w:tcMar>
            <w:hideMark/>
          </w:tcPr>
          <w:p w14:paraId="25403C0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October 2026</w:t>
            </w:r>
          </w:p>
        </w:tc>
      </w:tr>
    </w:tbl>
    <w:p w14:paraId="6F604743" w14:textId="77777777" w:rsidR="00AD2EC2" w:rsidRDefault="00AD2EC2">
      <w:pPr>
        <w:keepNext/>
        <w:pBdr>
          <w:bottom w:val="single" w:sz="6" w:space="4" w:color="CBD5E1"/>
        </w:pBdr>
        <w:shd w:val="clear" w:color="auto" w:fill="F8FAFC"/>
        <w:spacing w:after="150"/>
        <w:outlineLvl w:val="2"/>
        <w:divId w:val="2046130382"/>
        <w:rPr>
          <w:rFonts w:ascii="Calibri" w:eastAsia="Times New Roman" w:hAnsi="Calibri" w:cs="Calibri"/>
          <w:b/>
          <w:bCs/>
          <w:color w:val="003366"/>
          <w:sz w:val="28"/>
          <w:szCs w:val="28"/>
          <w:lang w:val="en"/>
        </w:rPr>
      </w:pPr>
      <w:r>
        <w:rPr>
          <w:rFonts w:ascii="Calibri" w:eastAsia="Times New Roman" w:hAnsi="Calibri" w:cs="Calibri"/>
          <w:b/>
          <w:bCs/>
          <w:color w:val="003366"/>
          <w:sz w:val="28"/>
          <w:szCs w:val="28"/>
          <w:lang w:val="en"/>
        </w:rPr>
        <w:t>Table of Contents</w:t>
      </w:r>
    </w:p>
    <w:p w14:paraId="5B9AC86E" w14:textId="77777777" w:rsidR="00AD2EC2" w:rsidRDefault="00AD2EC2">
      <w:pPr>
        <w:shd w:val="clear" w:color="auto" w:fill="F8FAFC"/>
        <w:divId w:val="1644314149"/>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1.</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Executive Summary</w:t>
      </w:r>
    </w:p>
    <w:p w14:paraId="5C07FDCC" w14:textId="77777777" w:rsidR="00AD2EC2" w:rsidRDefault="00AD2EC2">
      <w:pPr>
        <w:shd w:val="clear" w:color="auto" w:fill="F8FAFC"/>
        <w:divId w:val="445195200"/>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2.</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Fundamental Concepts &amp; Architecture of SAP FICO</w:t>
      </w:r>
    </w:p>
    <w:p w14:paraId="39A07325" w14:textId="77777777" w:rsidR="00AD2EC2" w:rsidRDefault="00AD2EC2">
      <w:pPr>
        <w:shd w:val="clear" w:color="auto" w:fill="F8FAFC"/>
        <w:divId w:val="56124195"/>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2.1 Conceptual Distinction: SAP FI vs. SAP CO</w:t>
      </w:r>
    </w:p>
    <w:p w14:paraId="5B6E2BD4" w14:textId="77777777" w:rsidR="00AD2EC2" w:rsidRDefault="00AD2EC2">
      <w:pPr>
        <w:shd w:val="clear" w:color="auto" w:fill="F8FAFC"/>
        <w:divId w:val="1660691721"/>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2.2 Enterprise Organizational Structure &amp; Hierarchy</w:t>
      </w:r>
    </w:p>
    <w:p w14:paraId="2C94589B" w14:textId="77777777" w:rsidR="00AD2EC2" w:rsidRDefault="00AD2EC2">
      <w:pPr>
        <w:shd w:val="clear" w:color="auto" w:fill="F8FAFC"/>
        <w:divId w:val="1826237566"/>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2.3 The Accounting Document Principle &amp; Data Integrity</w:t>
      </w:r>
    </w:p>
    <w:p w14:paraId="5217FE0F" w14:textId="77777777" w:rsidR="00AD2EC2" w:rsidRDefault="00AD2EC2">
      <w:pPr>
        <w:shd w:val="clear" w:color="auto" w:fill="F8FAFC"/>
        <w:divId w:val="1620455820"/>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3.</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Deep Dive: SAP FI (Financial Accounting) Sub-Modules &amp; Functionalities</w:t>
      </w:r>
    </w:p>
    <w:p w14:paraId="7D7A77C9" w14:textId="77777777" w:rsidR="00AD2EC2" w:rsidRDefault="00AD2EC2">
      <w:pPr>
        <w:shd w:val="clear" w:color="auto" w:fill="F8FAFC"/>
        <w:divId w:val="1475483001"/>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3.1 General Ledger Accounting (FI-GL)</w:t>
      </w:r>
    </w:p>
    <w:p w14:paraId="5E526143" w14:textId="77777777" w:rsidR="00AD2EC2" w:rsidRDefault="00AD2EC2">
      <w:pPr>
        <w:shd w:val="clear" w:color="auto" w:fill="F8FAFC"/>
        <w:divId w:val="1573351778"/>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3.2 Accounts Payable (FI-AP)</w:t>
      </w:r>
    </w:p>
    <w:p w14:paraId="196A424D" w14:textId="77777777" w:rsidR="00AD2EC2" w:rsidRDefault="00AD2EC2">
      <w:pPr>
        <w:shd w:val="clear" w:color="auto" w:fill="F8FAFC"/>
        <w:divId w:val="1657343817"/>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3.3 Accounts Receivable (FI-AR)</w:t>
      </w:r>
    </w:p>
    <w:p w14:paraId="1C7E3A39" w14:textId="77777777" w:rsidR="00AD2EC2" w:rsidRDefault="00AD2EC2">
      <w:pPr>
        <w:shd w:val="clear" w:color="auto" w:fill="F8FAFC"/>
        <w:divId w:val="48311221"/>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3.4 Asset Accounting (FI-AA)</w:t>
      </w:r>
    </w:p>
    <w:p w14:paraId="318C63AA" w14:textId="77777777" w:rsidR="00AD2EC2" w:rsidRDefault="00AD2EC2">
      <w:pPr>
        <w:shd w:val="clear" w:color="auto" w:fill="F8FAFC"/>
        <w:divId w:val="1393385834"/>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3.5 Bank Ledger &amp; Cash Management (FI-BL)</w:t>
      </w:r>
    </w:p>
    <w:p w14:paraId="71D84B1E" w14:textId="77777777" w:rsidR="00AD2EC2" w:rsidRDefault="00AD2EC2">
      <w:pPr>
        <w:shd w:val="clear" w:color="auto" w:fill="F8FAFC"/>
        <w:divId w:val="1024400995"/>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3.6 Tax Accounting &amp; Statutory Compliance</w:t>
      </w:r>
    </w:p>
    <w:p w14:paraId="11C6C05A" w14:textId="77777777" w:rsidR="00AD2EC2" w:rsidRDefault="00AD2EC2">
      <w:pPr>
        <w:shd w:val="clear" w:color="auto" w:fill="F8FAFC"/>
        <w:divId w:val="1309431046"/>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4.</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Deep Dive: SAP CO (Controlling) Sub-Modules &amp; Functionalities</w:t>
      </w:r>
    </w:p>
    <w:p w14:paraId="10CDF951" w14:textId="77777777" w:rsidR="00AD2EC2" w:rsidRDefault="00AD2EC2">
      <w:pPr>
        <w:shd w:val="clear" w:color="auto" w:fill="F8FAFC"/>
        <w:divId w:val="1767531544"/>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4.1 Cost and Revenue Element Accounting (CO-CEL)</w:t>
      </w:r>
    </w:p>
    <w:p w14:paraId="48E249E1" w14:textId="77777777" w:rsidR="00AD2EC2" w:rsidRDefault="00AD2EC2">
      <w:pPr>
        <w:shd w:val="clear" w:color="auto" w:fill="F8FAFC"/>
        <w:divId w:val="35853650"/>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4.2 Cost Center Accounting (CO-CCA)</w:t>
      </w:r>
    </w:p>
    <w:p w14:paraId="2C391215" w14:textId="77777777" w:rsidR="00AD2EC2" w:rsidRDefault="00AD2EC2">
      <w:pPr>
        <w:shd w:val="clear" w:color="auto" w:fill="F8FAFC"/>
        <w:divId w:val="2038307818"/>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4.3 Internal Orders (CO-IO)</w:t>
      </w:r>
    </w:p>
    <w:p w14:paraId="24778533" w14:textId="77777777" w:rsidR="00AD2EC2" w:rsidRDefault="00AD2EC2">
      <w:pPr>
        <w:shd w:val="clear" w:color="auto" w:fill="F8FAFC"/>
        <w:divId w:val="1858739220"/>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4.4 Product Cost Controlling (CO-PC)</w:t>
      </w:r>
    </w:p>
    <w:p w14:paraId="183DB9A4" w14:textId="77777777" w:rsidR="00AD2EC2" w:rsidRDefault="00AD2EC2">
      <w:pPr>
        <w:shd w:val="clear" w:color="auto" w:fill="F8FAFC"/>
        <w:divId w:val="909925104"/>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4.5 Profitability Analysis (CO-PA)</w:t>
      </w:r>
    </w:p>
    <w:p w14:paraId="13078054" w14:textId="77777777" w:rsidR="00AD2EC2" w:rsidRDefault="00AD2EC2">
      <w:pPr>
        <w:shd w:val="clear" w:color="auto" w:fill="F8FAFC"/>
        <w:divId w:val="1409813930"/>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4.6 Profit Center Accounting (CO-PCA)</w:t>
      </w:r>
    </w:p>
    <w:p w14:paraId="21D2CF63" w14:textId="77777777" w:rsidR="00AD2EC2" w:rsidRDefault="00AD2EC2">
      <w:pPr>
        <w:shd w:val="clear" w:color="auto" w:fill="F8FAFC"/>
        <w:divId w:val="1290933598"/>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5.</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Cross-Module Integration: The Central Engine of SAP</w:t>
      </w:r>
    </w:p>
    <w:p w14:paraId="2F6ADDA3" w14:textId="77777777" w:rsidR="00AD2EC2" w:rsidRDefault="00AD2EC2">
      <w:pPr>
        <w:shd w:val="clear" w:color="auto" w:fill="F8FAFC"/>
        <w:divId w:val="1295334736"/>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5.1 Integration with Materials Management (SAP MM / Procure-to-Pay)</w:t>
      </w:r>
    </w:p>
    <w:p w14:paraId="31C5736F" w14:textId="77777777" w:rsidR="00AD2EC2" w:rsidRDefault="00AD2EC2">
      <w:pPr>
        <w:shd w:val="clear" w:color="auto" w:fill="F8FAFC"/>
        <w:divId w:val="876820776"/>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5.2 Integration with Sales &amp; Distribution (SAP SD / Order-to-Cash)</w:t>
      </w:r>
    </w:p>
    <w:p w14:paraId="7EEA2C28" w14:textId="77777777" w:rsidR="00AD2EC2" w:rsidRDefault="00AD2EC2">
      <w:pPr>
        <w:shd w:val="clear" w:color="auto" w:fill="F8FAFC"/>
        <w:divId w:val="989138988"/>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5.3 Integration with Production Planning (SAP PP / Plan-to-Produce)</w:t>
      </w:r>
    </w:p>
    <w:p w14:paraId="78ACFBA1" w14:textId="77777777" w:rsidR="00AD2EC2" w:rsidRDefault="00AD2EC2">
      <w:pPr>
        <w:shd w:val="clear" w:color="auto" w:fill="F8FAFC"/>
        <w:divId w:val="1734040726"/>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5.4 Integration with Human Capital Management (SAP HCM) &amp; Project Systems (SAP PS)</w:t>
      </w:r>
    </w:p>
    <w:p w14:paraId="1F3E4E7E" w14:textId="77777777" w:rsidR="00AD2EC2" w:rsidRDefault="00AD2EC2">
      <w:pPr>
        <w:shd w:val="clear" w:color="auto" w:fill="F8FAFC"/>
        <w:divId w:val="476148080"/>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5.5 Architectural Evolution: The S/4HANA Universal Journal (ACDOCA)</w:t>
      </w:r>
    </w:p>
    <w:p w14:paraId="34560D1E" w14:textId="77777777" w:rsidR="00AD2EC2" w:rsidRDefault="00AD2EC2">
      <w:pPr>
        <w:shd w:val="clear" w:color="auto" w:fill="F8FAFC"/>
        <w:divId w:val="2073891426"/>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6.</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Real-World Business Use Cases &amp; Industry Applications</w:t>
      </w:r>
    </w:p>
    <w:p w14:paraId="64420D77" w14:textId="77777777" w:rsidR="00AD2EC2" w:rsidRDefault="00AD2EC2">
      <w:pPr>
        <w:shd w:val="clear" w:color="auto" w:fill="F8FAFC"/>
        <w:divId w:val="1423063201"/>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6.1 Case Study 1: Global Discrete Manufacturing Enterprise</w:t>
      </w:r>
    </w:p>
    <w:p w14:paraId="550B78B4" w14:textId="77777777" w:rsidR="00AD2EC2" w:rsidRDefault="00AD2EC2">
      <w:pPr>
        <w:shd w:val="clear" w:color="auto" w:fill="F8FAFC"/>
        <w:divId w:val="583496271"/>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6.2 Case Study 2: Fast-Moving Consumer Goods (FMCG) / Omnichannel Retail</w:t>
      </w:r>
    </w:p>
    <w:p w14:paraId="34226F80" w14:textId="77777777" w:rsidR="00AD2EC2" w:rsidRDefault="00AD2EC2">
      <w:pPr>
        <w:shd w:val="clear" w:color="auto" w:fill="F8FAFC"/>
        <w:divId w:val="2068264112"/>
        <w:rPr>
          <w:rFonts w:ascii="Calibri" w:eastAsia="Times New Roman" w:hAnsi="Calibri" w:cs="Calibri"/>
          <w:color w:val="222222"/>
          <w:sz w:val="21"/>
          <w:szCs w:val="21"/>
          <w:lang w:val="en"/>
        </w:rPr>
      </w:pPr>
      <w:r>
        <w:rPr>
          <w:rFonts w:ascii="Calibri" w:eastAsia="Times New Roman" w:hAnsi="Calibri" w:cs="Calibri"/>
          <w:color w:val="222222"/>
          <w:sz w:val="21"/>
          <w:szCs w:val="21"/>
          <w:lang w:val="en"/>
        </w:rPr>
        <w:t>6.3 Case Study 3: Capital-Intensive Engineering &amp; Construction (EPC)</w:t>
      </w:r>
    </w:p>
    <w:p w14:paraId="281C60BC" w14:textId="77777777" w:rsidR="00AD2EC2" w:rsidRDefault="00AD2EC2">
      <w:pPr>
        <w:shd w:val="clear" w:color="auto" w:fill="F8FAFC"/>
        <w:divId w:val="1540556351"/>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7.</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Key Business &amp; Technical Benefits of SAP FICO</w:t>
      </w:r>
    </w:p>
    <w:p w14:paraId="63B7E0F7" w14:textId="77777777" w:rsidR="00AD2EC2" w:rsidRDefault="00AD2EC2">
      <w:pPr>
        <w:shd w:val="clear" w:color="auto" w:fill="F8FAFC"/>
        <w:divId w:val="907770060"/>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8.</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Implementation Challenges, Risks, and Critical Pitfalls</w:t>
      </w:r>
    </w:p>
    <w:p w14:paraId="203E4750" w14:textId="77777777" w:rsidR="00AD2EC2" w:rsidRDefault="00AD2EC2">
      <w:pPr>
        <w:shd w:val="clear" w:color="auto" w:fill="F8FAFC"/>
        <w:divId w:val="1306736058"/>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9.</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Implementation Best Practice Framework</w:t>
      </w:r>
    </w:p>
    <w:p w14:paraId="10428AE7" w14:textId="77777777" w:rsidR="00AD2EC2" w:rsidRDefault="00AD2EC2">
      <w:pPr>
        <w:shd w:val="clear" w:color="auto" w:fill="F8FAFC"/>
        <w:divId w:val="952246847"/>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10.</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Future Outlook: SAP FICO in the Cloud and AI Era</w:t>
      </w:r>
    </w:p>
    <w:p w14:paraId="63D7744A" w14:textId="77777777" w:rsidR="00AD2EC2" w:rsidRDefault="00AD2EC2">
      <w:pPr>
        <w:shd w:val="clear" w:color="auto" w:fill="F8FAFC"/>
        <w:divId w:val="1774745818"/>
        <w:rPr>
          <w:rFonts w:ascii="Calibri" w:eastAsia="Times New Roman" w:hAnsi="Calibri" w:cs="Calibri"/>
          <w:color w:val="222222"/>
          <w:sz w:val="21"/>
          <w:szCs w:val="21"/>
          <w:lang w:val="en"/>
        </w:rPr>
      </w:pPr>
      <w:r>
        <w:rPr>
          <w:rStyle w:val="toc-number1"/>
          <w:rFonts w:ascii="Calibri" w:eastAsia="Times New Roman" w:hAnsi="Calibri" w:cs="Calibri"/>
          <w:sz w:val="21"/>
          <w:szCs w:val="21"/>
          <w:lang w:val="en"/>
        </w:rPr>
        <w:t>11.</w:t>
      </w:r>
      <w:r>
        <w:rPr>
          <w:rFonts w:ascii="Calibri" w:eastAsia="Times New Roman" w:hAnsi="Calibri" w:cs="Calibri"/>
          <w:color w:val="222222"/>
          <w:sz w:val="21"/>
          <w:szCs w:val="21"/>
          <w:lang w:val="en"/>
        </w:rPr>
        <w:t xml:space="preserve"> </w:t>
      </w:r>
      <w:r>
        <w:rPr>
          <w:rFonts w:ascii="Calibri" w:eastAsia="Times New Roman" w:hAnsi="Calibri" w:cs="Calibri"/>
          <w:b/>
          <w:bCs/>
          <w:color w:val="222222"/>
          <w:sz w:val="21"/>
          <w:szCs w:val="21"/>
          <w:lang w:val="en"/>
        </w:rPr>
        <w:t>Appendices: Key Transaction Codes (T-Codes) &amp; Comprehensive Glossary</w:t>
      </w:r>
    </w:p>
    <w:p w14:paraId="5B9539CF"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1. Executive Summary</w:t>
      </w:r>
    </w:p>
    <w:p w14:paraId="06D7AEDE"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In modern global business environments, organizations face unprecedented complexity in managing regulatory compliance, multi-currency cross-border transactions, operational supply chains, and granular profitability analysis. Enterprise Resource Planning (ERP) systems serve as the technological backbone that unifies disparate business functions into a synchronized, real-time operating model. At the very core of this architecture sits </w:t>
      </w:r>
      <w:r>
        <w:rPr>
          <w:rFonts w:ascii="Calibri" w:hAnsi="Calibri" w:cs="Calibri"/>
          <w:b/>
          <w:bCs/>
          <w:color w:val="222222"/>
          <w:sz w:val="22"/>
          <w:szCs w:val="22"/>
          <w:lang w:val="en"/>
        </w:rPr>
        <w:t>SAP FICO</w:t>
      </w:r>
      <w:r>
        <w:rPr>
          <w:rFonts w:ascii="Calibri" w:hAnsi="Calibri" w:cs="Calibri"/>
          <w:color w:val="222222"/>
          <w:sz w:val="22"/>
          <w:szCs w:val="22"/>
          <w:lang w:val="en"/>
        </w:rPr>
        <w:t xml:space="preserve">â€”a tightly coupled pair of functional modules comprising </w:t>
      </w:r>
      <w:r>
        <w:rPr>
          <w:rFonts w:ascii="Calibri" w:hAnsi="Calibri" w:cs="Calibri"/>
          <w:b/>
          <w:bCs/>
          <w:color w:val="222222"/>
          <w:sz w:val="22"/>
          <w:szCs w:val="22"/>
          <w:lang w:val="en"/>
        </w:rPr>
        <w:t>SAP Financial Accounting (FI)</w:t>
      </w:r>
      <w:r>
        <w:rPr>
          <w:rFonts w:ascii="Calibri" w:hAnsi="Calibri" w:cs="Calibri"/>
          <w:color w:val="222222"/>
          <w:sz w:val="22"/>
          <w:szCs w:val="22"/>
          <w:lang w:val="en"/>
        </w:rPr>
        <w:t xml:space="preserve"> and </w:t>
      </w:r>
      <w:r>
        <w:rPr>
          <w:rFonts w:ascii="Calibri" w:hAnsi="Calibri" w:cs="Calibri"/>
          <w:b/>
          <w:bCs/>
          <w:color w:val="222222"/>
          <w:sz w:val="22"/>
          <w:szCs w:val="22"/>
          <w:lang w:val="en"/>
        </w:rPr>
        <w:t>SAP Controlling (CO)</w:t>
      </w:r>
      <w:r>
        <w:rPr>
          <w:rFonts w:ascii="Calibri" w:hAnsi="Calibri" w:cs="Calibri"/>
          <w:color w:val="222222"/>
          <w:sz w:val="22"/>
          <w:szCs w:val="22"/>
          <w:lang w:val="en"/>
        </w:rPr>
        <w:t xml:space="preserve">. </w:t>
      </w:r>
    </w:p>
    <w:p w14:paraId="1B5C2702"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While often referenced as a single composite term, SAP FI and SAP CO address fundamentally distinct dimensions of financial management: </w:t>
      </w:r>
    </w:p>
    <w:p w14:paraId="39513F95" w14:textId="77777777" w:rsidR="00AD2EC2" w:rsidRDefault="00AD2EC2" w:rsidP="00AD2EC2">
      <w:pPr>
        <w:widowControl/>
        <w:numPr>
          <w:ilvl w:val="0"/>
          <w:numId w:val="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SAP FI (Financial Accounting)</w:t>
      </w:r>
      <w:r>
        <w:rPr>
          <w:rFonts w:ascii="Calibri" w:eastAsia="Times New Roman" w:hAnsi="Calibri" w:cs="Calibri"/>
          <w:color w:val="222222"/>
          <w:lang w:val="en"/>
        </w:rPr>
        <w:t xml:space="preserve"> is oriented externally. It serves statutory, legal, and regulatory compliance obligations by tracking every financial transaction to produce auditable financial statementsâ€”specifically the Balance Sheet, Profit &amp; Loss (Income) Statement, and Cash Flow Statementâ€”in strict compliance with International Financial Reporting Standards (IFRS), US GAAP, or local statutory accounting principles.</w:t>
      </w:r>
    </w:p>
    <w:p w14:paraId="7D011862" w14:textId="77777777" w:rsidR="00AD2EC2" w:rsidRDefault="00AD2EC2" w:rsidP="00AD2EC2">
      <w:pPr>
        <w:widowControl/>
        <w:numPr>
          <w:ilvl w:val="0"/>
          <w:numId w:val="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SAP CO (Controlling)</w:t>
      </w:r>
      <w:r>
        <w:rPr>
          <w:rFonts w:ascii="Calibri" w:eastAsia="Times New Roman" w:hAnsi="Calibri" w:cs="Calibri"/>
          <w:color w:val="222222"/>
          <w:lang w:val="en"/>
        </w:rPr>
        <w:t xml:space="preserve"> is oriented internally. It functions as the managerial decision-support engine, capturing operational revenues and expenditures to facilitate internal cost allocation, variance analysis, product costing, budgeting, and multidimensional margin profitability reporting across products, customer segments, sales channels, and geographical territories.</w:t>
      </w:r>
    </w:p>
    <w:p w14:paraId="2E115EF7" w14:textId="77777777" w:rsidR="00AD2EC2" w:rsidRDefault="00AD2EC2">
      <w:pPr>
        <w:shd w:val="clear" w:color="auto" w:fill="F0F4F8"/>
        <w:ind w:left="0"/>
        <w:divId w:val="1657687071"/>
        <w:rPr>
          <w:rFonts w:ascii="Calibri" w:eastAsia="Times New Roman" w:hAnsi="Calibri" w:cs="Calibri"/>
          <w:b/>
          <w:bCs/>
          <w:color w:val="003366"/>
          <w:lang w:val="en"/>
        </w:rPr>
      </w:pPr>
      <w:r>
        <w:rPr>
          <w:rFonts w:ascii="Calibri" w:eastAsia="Times New Roman" w:hAnsi="Calibri" w:cs="Calibri"/>
          <w:b/>
          <w:bCs/>
          <w:color w:val="003366"/>
          <w:lang w:val="en"/>
        </w:rPr>
        <w:t>Core Thesis: The Unified Financial Engine</w:t>
      </w:r>
    </w:p>
    <w:p w14:paraId="6B74EAD7" w14:textId="77777777" w:rsidR="00AD2EC2" w:rsidRDefault="00AD2EC2">
      <w:pPr>
        <w:shd w:val="clear" w:color="auto" w:fill="F0F4F8"/>
        <w:divId w:val="1534414407"/>
        <w:rPr>
          <w:rFonts w:ascii="Calibri" w:eastAsia="Times New Roman" w:hAnsi="Calibri" w:cs="Calibri"/>
          <w:color w:val="222222"/>
          <w:lang w:val="en"/>
        </w:rPr>
      </w:pPr>
      <w:r>
        <w:rPr>
          <w:rFonts w:ascii="Calibri" w:eastAsia="Times New Roman" w:hAnsi="Calibri" w:cs="Calibri"/>
          <w:color w:val="222222"/>
          <w:lang w:val="en"/>
        </w:rPr>
        <w:t xml:space="preserve">The true power of SAP FICO lies not in standalone recordkeeping, but in its deep, event-driven integration with operational modules across the enterpriseâ€”Materials Management (MM), Sales and Distribution (SD), Production Planning (PP), Human Capital Management (HCM), and Project Systems (PS). Every physical movement of goods, execution of a production run, sale to a client, or vendor procurement event automatically triggers balanced accounting journal entries in real time, eliminating informational lag and data reconciliations. </w:t>
      </w:r>
    </w:p>
    <w:p w14:paraId="7F623463"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This research report delivers an exhaustive, end-to-end examination of SAP FICO. It breaks down the foundational architecture, inspects each functional sub-module, maps out cross-module integration mechanisms with technical accounting postings, examines real-world enterprise use cases, evaluates strategic benefits and technical challenges, and outlines the evolutionary leap represented by SAP S/4HANA's Universal Journal (Table ACDOCA). </w:t>
      </w:r>
    </w:p>
    <w:p w14:paraId="7580A496"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2. Fundamental Concepts &amp; Architecture of SAP FICO</w:t>
      </w:r>
    </w:p>
    <w:p w14:paraId="6336FA9D"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2.1 Conceptual Distinction: SAP FI vs. SAP CO</w:t>
      </w:r>
    </w:p>
    <w:p w14:paraId="4F393712"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A rigorous understanding of SAP FICO requires dissecting the distinct operational charters, target audiences, legal obligations, and data flows of Financial Accounting versus Management Controlling. The following comparative matrix outlines these architectural distinctions: </w:t>
      </w:r>
    </w:p>
    <w:tbl>
      <w:tblPr>
        <w:tblW w:w="5000" w:type="pct"/>
        <w:tblCellMar>
          <w:top w:w="15" w:type="dxa"/>
          <w:left w:w="15" w:type="dxa"/>
          <w:bottom w:w="15" w:type="dxa"/>
          <w:right w:w="15" w:type="dxa"/>
        </w:tblCellMar>
        <w:tblLook w:val="04A0" w:firstRow="1" w:lastRow="0" w:firstColumn="1" w:lastColumn="0" w:noHBand="0" w:noVBand="1"/>
      </w:tblPr>
      <w:tblGrid>
        <w:gridCol w:w="1868"/>
        <w:gridCol w:w="3738"/>
        <w:gridCol w:w="3738"/>
      </w:tblGrid>
      <w:tr w:rsidR="00AD2EC2" w14:paraId="10AE143D" w14:textId="77777777" w:rsidTr="00A60BC9">
        <w:tc>
          <w:tcPr>
            <w:tcW w:w="100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610285CE"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Dimension</w:t>
            </w:r>
          </w:p>
        </w:tc>
        <w:tc>
          <w:tcPr>
            <w:tcW w:w="200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38D408A0"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SAP FI (Financial Accounting)</w:t>
            </w:r>
          </w:p>
        </w:tc>
        <w:tc>
          <w:tcPr>
            <w:tcW w:w="200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395BC555"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SAP CO (Controlling)</w:t>
            </w:r>
          </w:p>
        </w:tc>
      </w:tr>
      <w:tr w:rsidR="00AD2EC2" w14:paraId="28231372" w14:textId="77777777" w:rsidTr="00A60BC9">
        <w:tc>
          <w:tcPr>
            <w:tcW w:w="1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14B312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Primary Target Audience</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CA908C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External stakeholders: Shareholders, tax authorities, banks, financial regulators, auditors, and rating agencies.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BC24D7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Internal stakeholders: Executive leadership, business unit heads, plant managers, cost center owners, and product line directors.</w:t>
            </w:r>
          </w:p>
        </w:tc>
      </w:tr>
      <w:tr w:rsidR="00AD2EC2" w14:paraId="2BD4533E" w14:textId="77777777" w:rsidTr="00A60BC9">
        <w:tc>
          <w:tcPr>
            <w:tcW w:w="1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4ADB2E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Legal &amp; Regulatory Mandate</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6B48A5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Mandatory by law. Governed strictly by statutory accounting standards (IFRS, US GAAP, HGB, Local GAAP).</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72B868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Optional and flexible. Governed by internal managerial needs; configured to reflect operational management logic.</w:t>
            </w:r>
          </w:p>
        </w:tc>
      </w:tr>
      <w:tr w:rsidR="00AD2EC2" w14:paraId="6C8AD366" w14:textId="77777777" w:rsidTr="00A60BC9">
        <w:tc>
          <w:tcPr>
            <w:tcW w:w="1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B8A2A79"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Core Focus &amp; Objective</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E8C193B"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Retrospective reporting of financial condition, liquidity, and overall legal entity profitability.</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FB0CBE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Forward-looking cost optimization, operational variance analysis, resource efficiency, and profitability maximization.</w:t>
            </w:r>
          </w:p>
        </w:tc>
      </w:tr>
      <w:tr w:rsidR="00AD2EC2" w14:paraId="46BB3FE3" w14:textId="77777777" w:rsidTr="00A60BC9">
        <w:tc>
          <w:tcPr>
            <w:tcW w:w="1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4DCEDB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Fundamental Accounting Unit</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A982A1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Company Code (BUKRS):</w:t>
            </w:r>
            <w:r>
              <w:rPr>
                <w:rFonts w:ascii="Calibri" w:eastAsia="Times New Roman" w:hAnsi="Calibri" w:cs="Calibri"/>
                <w:color w:val="222222"/>
                <w:sz w:val="20"/>
                <w:szCs w:val="20"/>
              </w:rPr>
              <w:t xml:space="preserve"> The smallest legally independent entity capable of producing a complete Balance Sheet and P&amp;L.</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A94BA4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Controlling Area (KOKRS):</w:t>
            </w:r>
            <w:r>
              <w:rPr>
                <w:rFonts w:ascii="Calibri" w:eastAsia="Times New Roman" w:hAnsi="Calibri" w:cs="Calibri"/>
                <w:color w:val="222222"/>
                <w:sz w:val="20"/>
                <w:szCs w:val="20"/>
              </w:rPr>
              <w:t xml:space="preserve"> The closed organizational unit used for cost accounting and internal allocation.</w:t>
            </w:r>
          </w:p>
        </w:tc>
      </w:tr>
      <w:tr w:rsidR="00AD2EC2" w14:paraId="44340997" w14:textId="77777777" w:rsidTr="00A60BC9">
        <w:tc>
          <w:tcPr>
            <w:tcW w:w="1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88EB83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Nature of Postings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63ECEA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Balance-sheet-affecting double-entry debits and credits recorded via General Ledger accounts.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28ADC59"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Cost allocations, assessments, distributions, and activity confirmations utilizing Cost Elements.</w:t>
            </w:r>
          </w:p>
        </w:tc>
      </w:tr>
      <w:tr w:rsidR="00AD2EC2" w14:paraId="15E45F1D" w14:textId="77777777" w:rsidTr="00A60BC9">
        <w:tc>
          <w:tcPr>
            <w:tcW w:w="1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B60B5BB"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Valuation Standards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8289289"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Strict historical cost or fair-market valuation dictated by external reporting standards.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78A762C"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Standard costing, actual costing, plan vs. actual variances, and internal transfer pricing models.</w:t>
            </w:r>
          </w:p>
        </w:tc>
      </w:tr>
    </w:tbl>
    <w:p w14:paraId="75218904"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2.2 Enterprise Organizational Structure &amp; Hierarchy</w:t>
      </w:r>
    </w:p>
    <w:p w14:paraId="2292421C"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SAP FICO operates upon an enterprise structure that mirrors the organizational and legal hierarchy of a multinational corporation. Configuring this hierarchy correctly during blueprinting is critical, as downstream structural changes after go-live require complex data migration projects. </w:t>
      </w:r>
    </w:p>
    <w:p w14:paraId="5FFEF620" w14:textId="77777777" w:rsidR="00AD2EC2" w:rsidRDefault="00AD2EC2">
      <w:pPr>
        <w:shd w:val="clear" w:color="auto" w:fill="F1F5F9"/>
        <w:jc w:val="center"/>
        <w:divId w:val="837577761"/>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CLIENT (MANDT) ] - Top-level corporate database environment â”‚ â”œâ”€â”€ [ OPERATING CONCERN ] - Multi-company profitability analysis (CO-PA) â”‚ â”‚ â”‚ â””â”€â”€ [ CONTROLLING AREA (KOKRS) ] - Internal cost accounting boundary â”‚ â”‚ â”‚ â”œâ”€â”€ [ COMPANY CODE 1000 ] - Legal entity (e.g., US Inc.) â”‚ â”‚ â”œâ”€â”€ Chart of Accounts (Operational / Local) â”‚ â”‚ â”œâ”€â”€ Credit Control Area â”‚ â”‚ â””â”€â”€ Business Areas / Segments â”‚ â”‚ â”‚ â””â”€â”€ [ COMPANY CODE 2000 ] - Legal entity (e.g., Germany GmbH) â”‚ â”œâ”€â”€ Chart of Accounts (Operational / Local) â”‚ â”œâ”€â”€ Credit Control Area â”‚ â””â”€â”€ Business Areas / Segments </w:t>
      </w:r>
    </w:p>
    <w:p w14:paraId="53350E2E"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The core structural entities include:</w:t>
      </w:r>
    </w:p>
    <w:p w14:paraId="356DCB69" w14:textId="77777777" w:rsidR="00AD2EC2" w:rsidRDefault="00AD2EC2" w:rsidP="00AD2EC2">
      <w:pPr>
        <w:widowControl/>
        <w:numPr>
          <w:ilvl w:val="0"/>
          <w:numId w:val="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Client (MANDT):</w:t>
      </w:r>
      <w:r>
        <w:rPr>
          <w:rFonts w:ascii="Calibri" w:eastAsia="Times New Roman" w:hAnsi="Calibri" w:cs="Calibri"/>
          <w:color w:val="222222"/>
          <w:lang w:val="en"/>
        </w:rPr>
        <w:t xml:space="preserve"> The highest technical and commercial unit in an SAP system. Data and configurations maintained at the client level (e.g., global chart of accounts definitions, vendor basic data) are accessible across all operating entities.</w:t>
      </w:r>
    </w:p>
    <w:p w14:paraId="502146AC" w14:textId="77777777" w:rsidR="00AD2EC2" w:rsidRDefault="00AD2EC2" w:rsidP="00AD2EC2">
      <w:pPr>
        <w:widowControl/>
        <w:numPr>
          <w:ilvl w:val="0"/>
          <w:numId w:val="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Operating Concern:</w:t>
      </w:r>
      <w:r>
        <w:rPr>
          <w:rFonts w:ascii="Calibri" w:eastAsia="Times New Roman" w:hAnsi="Calibri" w:cs="Calibri"/>
          <w:color w:val="222222"/>
          <w:lang w:val="en"/>
        </w:rPr>
        <w:t xml:space="preserve"> The supreme organizational unit in Controlling. It defines the reporting boundary for Profitability Analysis (CO-PA). Multiple Controlling Areas can be assigned to a single Operating Concern if they share the same fiscal year variant and operating structure.</w:t>
      </w:r>
    </w:p>
    <w:p w14:paraId="27A111EC" w14:textId="77777777" w:rsidR="00AD2EC2" w:rsidRDefault="00AD2EC2" w:rsidP="00AD2EC2">
      <w:pPr>
        <w:widowControl/>
        <w:numPr>
          <w:ilvl w:val="0"/>
          <w:numId w:val="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Controlling Area (KOKRS):</w:t>
      </w:r>
      <w:r>
        <w:rPr>
          <w:rFonts w:ascii="Calibri" w:eastAsia="Times New Roman" w:hAnsi="Calibri" w:cs="Calibri"/>
          <w:color w:val="222222"/>
          <w:lang w:val="en"/>
        </w:rPr>
        <w:t xml:space="preserve"> The organizational unit that delimits internal cost accounting and allocations. One Controlling Area can encompass multiple Company Codes (Cross-Company Code Controlling), enabling internal cost flows and intercompany allocations across subsidiaries, provided they share the same Operational Chart of Accounts and Fiscal Year Variant.</w:t>
      </w:r>
    </w:p>
    <w:p w14:paraId="6939519D" w14:textId="77777777" w:rsidR="00AD2EC2" w:rsidRDefault="00AD2EC2" w:rsidP="00AD2EC2">
      <w:pPr>
        <w:widowControl/>
        <w:numPr>
          <w:ilvl w:val="0"/>
          <w:numId w:val="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Company Code (BUKRS):</w:t>
      </w:r>
      <w:r>
        <w:rPr>
          <w:rFonts w:ascii="Calibri" w:eastAsia="Times New Roman" w:hAnsi="Calibri" w:cs="Calibri"/>
          <w:color w:val="222222"/>
          <w:lang w:val="en"/>
        </w:rPr>
        <w:t xml:space="preserve"> The fundamental statutory unit in SAP FI. It represents a legally independent corporate entity that is legally obligated to publish independent financial statements (Balance Sheet, P&amp;L).</w:t>
      </w:r>
    </w:p>
    <w:p w14:paraId="56FCEDCB" w14:textId="77777777" w:rsidR="00AD2EC2" w:rsidRDefault="00AD2EC2" w:rsidP="00AD2EC2">
      <w:pPr>
        <w:widowControl/>
        <w:numPr>
          <w:ilvl w:val="0"/>
          <w:numId w:val="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Chart of Accounts (COA):</w:t>
      </w:r>
      <w:r>
        <w:rPr>
          <w:rFonts w:ascii="Calibri" w:eastAsia="Times New Roman" w:hAnsi="Calibri" w:cs="Calibri"/>
          <w:color w:val="222222"/>
          <w:lang w:val="en"/>
        </w:rPr>
        <w:t xml:space="preserve"> A structured list of General Ledger accounts organized logically. SAP supports three types of COA: </w:t>
      </w:r>
    </w:p>
    <w:p w14:paraId="403B64F4" w14:textId="77777777" w:rsidR="00AD2EC2" w:rsidRDefault="00AD2EC2" w:rsidP="00AD2EC2">
      <w:pPr>
        <w:widowControl/>
        <w:numPr>
          <w:ilvl w:val="1"/>
          <w:numId w:val="2"/>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Operational COA:</w:t>
      </w:r>
      <w:r>
        <w:rPr>
          <w:rFonts w:ascii="Calibri" w:eastAsia="Times New Roman" w:hAnsi="Calibri" w:cs="Calibri"/>
          <w:color w:val="222222"/>
          <w:lang w:val="en"/>
        </w:rPr>
        <w:t xml:space="preserve"> Used for daily transactional postings across the enterprise.</w:t>
      </w:r>
    </w:p>
    <w:p w14:paraId="419CC72C" w14:textId="77777777" w:rsidR="00AD2EC2" w:rsidRDefault="00AD2EC2" w:rsidP="00AD2EC2">
      <w:pPr>
        <w:widowControl/>
        <w:numPr>
          <w:ilvl w:val="1"/>
          <w:numId w:val="2"/>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Group COA:</w:t>
      </w:r>
      <w:r>
        <w:rPr>
          <w:rFonts w:ascii="Calibri" w:eastAsia="Times New Roman" w:hAnsi="Calibri" w:cs="Calibri"/>
          <w:color w:val="222222"/>
          <w:lang w:val="en"/>
        </w:rPr>
        <w:t xml:space="preserve"> Facilitates corporate-level group consolidation.</w:t>
      </w:r>
    </w:p>
    <w:p w14:paraId="3691B75B" w14:textId="77777777" w:rsidR="00AD2EC2" w:rsidRDefault="00AD2EC2" w:rsidP="00AD2EC2">
      <w:pPr>
        <w:widowControl/>
        <w:numPr>
          <w:ilvl w:val="1"/>
          <w:numId w:val="2"/>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Country-Specific / Local COA:</w:t>
      </w:r>
      <w:r>
        <w:rPr>
          <w:rFonts w:ascii="Calibri" w:eastAsia="Times New Roman" w:hAnsi="Calibri" w:cs="Calibri"/>
          <w:color w:val="222222"/>
          <w:lang w:val="en"/>
        </w:rPr>
        <w:t xml:space="preserve"> Satisfies statutory legal reporting requirements in specific jurisdictions.</w:t>
      </w:r>
    </w:p>
    <w:p w14:paraId="0F33E5C5" w14:textId="77777777" w:rsidR="00AD2EC2" w:rsidRDefault="00AD2EC2" w:rsidP="00AD2EC2">
      <w:pPr>
        <w:widowControl/>
        <w:numPr>
          <w:ilvl w:val="0"/>
          <w:numId w:val="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Business Area (GSBER) &amp; Segment:</w:t>
      </w:r>
      <w:r>
        <w:rPr>
          <w:rFonts w:ascii="Calibri" w:eastAsia="Times New Roman" w:hAnsi="Calibri" w:cs="Calibri"/>
          <w:color w:val="222222"/>
          <w:lang w:val="en"/>
        </w:rPr>
        <w:t xml:space="preserve"> Organizational units that slice across Company Codes to provide segmented financial statements (e.g., product divisions or regional branches) compliant with IFRS 8 / ASC 280 segment reporting requirements.</w:t>
      </w:r>
    </w:p>
    <w:p w14:paraId="55026386" w14:textId="77777777" w:rsidR="00AD2EC2" w:rsidRDefault="00AD2EC2" w:rsidP="00AD2EC2">
      <w:pPr>
        <w:widowControl/>
        <w:numPr>
          <w:ilvl w:val="0"/>
          <w:numId w:val="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Profit Center:</w:t>
      </w:r>
      <w:r>
        <w:rPr>
          <w:rFonts w:ascii="Calibri" w:eastAsia="Times New Roman" w:hAnsi="Calibri" w:cs="Calibri"/>
          <w:color w:val="222222"/>
          <w:lang w:val="en"/>
        </w:rPr>
        <w:t xml:space="preserve"> An organizational unit in management accounting that reflects a management-oriented structure for internal control, tracking both revenues and assigned costs to evaluate return on investment (ROI).</w:t>
      </w:r>
    </w:p>
    <w:p w14:paraId="57B0E4EB"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2.3 The Accounting Document Principle &amp; Data Integrity</w:t>
      </w:r>
    </w:p>
    <w:p w14:paraId="384AF206"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A foundational tenet of SAP FICO is the </w:t>
      </w:r>
      <w:r>
        <w:rPr>
          <w:rFonts w:ascii="Calibri" w:hAnsi="Calibri" w:cs="Calibri"/>
          <w:b/>
          <w:bCs/>
          <w:color w:val="222222"/>
          <w:sz w:val="22"/>
          <w:szCs w:val="22"/>
          <w:lang w:val="en"/>
        </w:rPr>
        <w:t>Document Principle</w:t>
      </w:r>
      <w:r>
        <w:rPr>
          <w:rFonts w:ascii="Calibri" w:hAnsi="Calibri" w:cs="Calibri"/>
          <w:color w:val="222222"/>
          <w:sz w:val="22"/>
          <w:szCs w:val="22"/>
          <w:lang w:val="en"/>
        </w:rPr>
        <w:t xml:space="preserve">: </w:t>
      </w:r>
      <w:r>
        <w:rPr>
          <w:rFonts w:ascii="Calibri" w:hAnsi="Calibri" w:cs="Calibri"/>
          <w:i/>
          <w:iCs/>
          <w:color w:val="222222"/>
          <w:sz w:val="22"/>
          <w:szCs w:val="22"/>
          <w:lang w:val="en"/>
        </w:rPr>
        <w:t>No financial posting can occur without the creation of an immutable accounting document, and once committed to the database, an accounting document can never be deleted or modified in its financial values.</w:t>
      </w:r>
      <w:r>
        <w:rPr>
          <w:rFonts w:ascii="Calibri" w:hAnsi="Calibri" w:cs="Calibri"/>
          <w:color w:val="222222"/>
          <w:sz w:val="22"/>
          <w:szCs w:val="22"/>
          <w:lang w:val="en"/>
        </w:rPr>
        <w:t xml:space="preserve"> Any financial correction requires an explicit offsetting reversal document (e.g., Transaction FB08 or FBRA). </w:t>
      </w:r>
    </w:p>
    <w:p w14:paraId="2E33A42D"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Every financial accounting document consists of two distinct architectural layers: </w:t>
      </w:r>
    </w:p>
    <w:p w14:paraId="0E2E1D94" w14:textId="77777777" w:rsidR="00AD2EC2" w:rsidRDefault="00AD2EC2" w:rsidP="00AD2EC2">
      <w:pPr>
        <w:widowControl/>
        <w:numPr>
          <w:ilvl w:val="0"/>
          <w:numId w:val="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Document Header (Table BKPF in ECC / ACDOCA in S/4HANA):</w:t>
      </w:r>
      <w:r>
        <w:rPr>
          <w:rFonts w:ascii="Calibri" w:eastAsia="Times New Roman" w:hAnsi="Calibri" w:cs="Calibri"/>
          <w:color w:val="222222"/>
          <w:lang w:val="en"/>
        </w:rPr>
        <w:t xml:space="preserve"> Contains metadata applicable to the entire transaction, including Document Number, Company Code, Fiscal Year, Document Date, Posting Date, Document Type (e.g., </w:t>
      </w:r>
      <w:r>
        <w:rPr>
          <w:rFonts w:ascii="Calibri" w:eastAsia="Times New Roman" w:hAnsi="Calibri" w:cs="Calibri"/>
          <w:i/>
          <w:iCs/>
          <w:color w:val="222222"/>
          <w:lang w:val="en"/>
        </w:rPr>
        <w:t>SA</w:t>
      </w:r>
      <w:r>
        <w:rPr>
          <w:rFonts w:ascii="Calibri" w:eastAsia="Times New Roman" w:hAnsi="Calibri" w:cs="Calibri"/>
          <w:color w:val="222222"/>
          <w:lang w:val="en"/>
        </w:rPr>
        <w:t xml:space="preserve"> for GL account document, </w:t>
      </w:r>
      <w:r>
        <w:rPr>
          <w:rFonts w:ascii="Calibri" w:eastAsia="Times New Roman" w:hAnsi="Calibri" w:cs="Calibri"/>
          <w:i/>
          <w:iCs/>
          <w:color w:val="222222"/>
          <w:lang w:val="en"/>
        </w:rPr>
        <w:t>KR</w:t>
      </w:r>
      <w:r>
        <w:rPr>
          <w:rFonts w:ascii="Calibri" w:eastAsia="Times New Roman" w:hAnsi="Calibri" w:cs="Calibri"/>
          <w:color w:val="222222"/>
          <w:lang w:val="en"/>
        </w:rPr>
        <w:t xml:space="preserve"> for Vendor Invoice, </w:t>
      </w:r>
      <w:r>
        <w:rPr>
          <w:rFonts w:ascii="Calibri" w:eastAsia="Times New Roman" w:hAnsi="Calibri" w:cs="Calibri"/>
          <w:i/>
          <w:iCs/>
          <w:color w:val="222222"/>
          <w:lang w:val="en"/>
        </w:rPr>
        <w:t>DZ</w:t>
      </w:r>
      <w:r>
        <w:rPr>
          <w:rFonts w:ascii="Calibri" w:eastAsia="Times New Roman" w:hAnsi="Calibri" w:cs="Calibri"/>
          <w:color w:val="222222"/>
          <w:lang w:val="en"/>
        </w:rPr>
        <w:t xml:space="preserve"> for Customer Payment), Currency, and Header Reference text.</w:t>
      </w:r>
    </w:p>
    <w:p w14:paraId="1A317855" w14:textId="77777777" w:rsidR="00AD2EC2" w:rsidRDefault="00AD2EC2" w:rsidP="00AD2EC2">
      <w:pPr>
        <w:widowControl/>
        <w:numPr>
          <w:ilvl w:val="0"/>
          <w:numId w:val="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Document Line Items (Table BSEG in ECC / ACDOCA in S/4HANA):</w:t>
      </w:r>
      <w:r>
        <w:rPr>
          <w:rFonts w:ascii="Calibri" w:eastAsia="Times New Roman" w:hAnsi="Calibri" w:cs="Calibri"/>
          <w:color w:val="222222"/>
          <w:lang w:val="en"/>
        </w:rPr>
        <w:t xml:space="preserve"> Contains individual debit and credit entries. Each line item is governed by a two-digit numeric </w:t>
      </w:r>
      <w:r>
        <w:rPr>
          <w:rFonts w:ascii="Calibri" w:eastAsia="Times New Roman" w:hAnsi="Calibri" w:cs="Calibri"/>
          <w:b/>
          <w:bCs/>
          <w:color w:val="222222"/>
          <w:lang w:val="en"/>
        </w:rPr>
        <w:t>Posting Key (e.g., 01 for Customer Debit, 50 for GL Credit, 40 for GL Debit, 31 for Vendor Credit)</w:t>
      </w:r>
      <w:r>
        <w:rPr>
          <w:rFonts w:ascii="Calibri" w:eastAsia="Times New Roman" w:hAnsi="Calibri" w:cs="Calibri"/>
          <w:color w:val="222222"/>
          <w:lang w:val="en"/>
        </w:rPr>
        <w:t xml:space="preserve"> that controls the account type, field status (required, optional, suppressed), and whether the entry is a debit or credit. The fundamental rule enforces that the sum of line item debits must equal line item credits before a document status transitions to posted.</w:t>
      </w:r>
    </w:p>
    <w:p w14:paraId="76E205E1"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3. Deep Dive: SAP FI (Financial Accounting) Sub-Modules &amp; Functionalities</w:t>
      </w:r>
    </w:p>
    <w:p w14:paraId="580880FF"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3.1 General Ledger Accounting (FI-GL)</w:t>
      </w:r>
    </w:p>
    <w:p w14:paraId="5949A501"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The General Ledger (FI-GL) is the central repository of an organizationâ€™s financial data. It maintains the complete record of all business transactions and serves as the single point of reconciliation for all subsidiary ledgers (Accounts Payable, Accounts Receivable, Fixed Assets, Inventory). </w:t>
      </w:r>
    </w:p>
    <w:p w14:paraId="794C068E"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Key functionalities include:</w:t>
      </w:r>
    </w:p>
    <w:p w14:paraId="74A464B4" w14:textId="77777777" w:rsidR="00AD2EC2" w:rsidRDefault="00AD2EC2" w:rsidP="00AD2EC2">
      <w:pPr>
        <w:widowControl/>
        <w:numPr>
          <w:ilvl w:val="0"/>
          <w:numId w:val="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Parallel Accounting &amp; Multi-Ledger Environment:</w:t>
      </w:r>
      <w:r>
        <w:rPr>
          <w:rFonts w:ascii="Calibri" w:eastAsia="Times New Roman" w:hAnsi="Calibri" w:cs="Calibri"/>
          <w:color w:val="222222"/>
          <w:lang w:val="en"/>
        </w:rPr>
        <w:t xml:space="preserve"> Global enterprises must report simultaneously under multiple accounting standards (e.g., IFRS at the corporate level and local statutory GAAP for local tax authorities). SAP resolves this through the </w:t>
      </w:r>
      <w:r>
        <w:rPr>
          <w:rFonts w:ascii="Calibri" w:eastAsia="Times New Roman" w:hAnsi="Calibri" w:cs="Calibri"/>
          <w:i/>
          <w:iCs/>
          <w:color w:val="222222"/>
          <w:lang w:val="en"/>
        </w:rPr>
        <w:t>Ledger Approach</w:t>
      </w:r>
      <w:r>
        <w:rPr>
          <w:rFonts w:ascii="Calibri" w:eastAsia="Times New Roman" w:hAnsi="Calibri" w:cs="Calibri"/>
          <w:color w:val="222222"/>
          <w:lang w:val="en"/>
        </w:rPr>
        <w:t xml:space="preserve">: </w:t>
      </w:r>
    </w:p>
    <w:p w14:paraId="61B8359D" w14:textId="77777777" w:rsidR="00AD2EC2" w:rsidRDefault="00AD2EC2" w:rsidP="00AD2EC2">
      <w:pPr>
        <w:widowControl/>
        <w:numPr>
          <w:ilvl w:val="1"/>
          <w:numId w:val="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Leading Ledger (0L):</w:t>
      </w:r>
      <w:r>
        <w:rPr>
          <w:rFonts w:ascii="Calibri" w:eastAsia="Times New Roman" w:hAnsi="Calibri" w:cs="Calibri"/>
          <w:color w:val="222222"/>
          <w:lang w:val="en"/>
        </w:rPr>
        <w:t xml:space="preserve"> Represents the primary accounting standard (e.g., IFRS) and is integrated with all subsidiary ledgers across all Company Codes.</w:t>
      </w:r>
    </w:p>
    <w:p w14:paraId="72EDBB59" w14:textId="77777777" w:rsidR="00AD2EC2" w:rsidRDefault="00AD2EC2" w:rsidP="00AD2EC2">
      <w:pPr>
        <w:widowControl/>
        <w:numPr>
          <w:ilvl w:val="1"/>
          <w:numId w:val="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Non-Leading Ledgers (e.g., 2L, NL):</w:t>
      </w:r>
      <w:r>
        <w:rPr>
          <w:rFonts w:ascii="Calibri" w:eastAsia="Times New Roman" w:hAnsi="Calibri" w:cs="Calibri"/>
          <w:color w:val="222222"/>
          <w:lang w:val="en"/>
        </w:rPr>
        <w:t xml:space="preserve"> Represent parallel accounting standards (e.g., US GAAP or German HGB), receiving parallel postings or manual adjusting entries for valuation discrepancies.</w:t>
      </w:r>
    </w:p>
    <w:p w14:paraId="25393414" w14:textId="77777777" w:rsidR="00AD2EC2" w:rsidRDefault="00AD2EC2" w:rsidP="00AD2EC2">
      <w:pPr>
        <w:widowControl/>
        <w:numPr>
          <w:ilvl w:val="0"/>
          <w:numId w:val="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Document Splitting:</w:t>
      </w:r>
      <w:r>
        <w:rPr>
          <w:rFonts w:ascii="Calibri" w:eastAsia="Times New Roman" w:hAnsi="Calibri" w:cs="Calibri"/>
          <w:color w:val="222222"/>
          <w:lang w:val="en"/>
        </w:rPr>
        <w:t xml:space="preserve"> A powerful architectural capability introduced in New GL and standardized in S/4HANA. During transaction entry, if balance-sheet items (such as accounts payable, taxes, or cash) are posted without an explicit segment or profit center, SAP automatically splits these line items based on the offsetting expense or revenue assignments. This guarantees a balanced balance sheet at the Segment and Profit Center levels.</w:t>
      </w:r>
    </w:p>
    <w:p w14:paraId="1E8FA8BA" w14:textId="77777777" w:rsidR="00AD2EC2" w:rsidRDefault="00AD2EC2" w:rsidP="00AD2EC2">
      <w:pPr>
        <w:widowControl/>
        <w:numPr>
          <w:ilvl w:val="0"/>
          <w:numId w:val="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Reconciliation Accounts:</w:t>
      </w:r>
      <w:r>
        <w:rPr>
          <w:rFonts w:ascii="Calibri" w:eastAsia="Times New Roman" w:hAnsi="Calibri" w:cs="Calibri"/>
          <w:color w:val="222222"/>
          <w:lang w:val="en"/>
        </w:rPr>
        <w:t xml:space="preserve"> In SAP, sub-ledger accounts (Vendors, Customers, Fixed Assets) are never posted to directly in the General Ledger. Instead, they are linked to dedicated G/L </w:t>
      </w:r>
      <w:r>
        <w:rPr>
          <w:rFonts w:ascii="Calibri" w:eastAsia="Times New Roman" w:hAnsi="Calibri" w:cs="Calibri"/>
          <w:i/>
          <w:iCs/>
          <w:color w:val="222222"/>
          <w:lang w:val="en"/>
        </w:rPr>
        <w:t>Reconciliation Accounts</w:t>
      </w:r>
      <w:r>
        <w:rPr>
          <w:rFonts w:ascii="Calibri" w:eastAsia="Times New Roman" w:hAnsi="Calibri" w:cs="Calibri"/>
          <w:color w:val="222222"/>
          <w:lang w:val="en"/>
        </w:rPr>
        <w:t>. Whenever a sub-ledger document is posted, the corresponding Reconciliation Account in FI-GL is automatically updated in real-time, guaranteeing zero discrepancies between sub-ledgers and the general balance sheet.</w:t>
      </w:r>
    </w:p>
    <w:p w14:paraId="0848A9A9"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3.2 Accounts Payable (FI-AP)</w:t>
      </w:r>
    </w:p>
    <w:p w14:paraId="66A173D0"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Accounts Payable manages vendor-related financial obligations, forming the financial termination point of the </w:t>
      </w:r>
      <w:r>
        <w:rPr>
          <w:rFonts w:ascii="Calibri" w:hAnsi="Calibri" w:cs="Calibri"/>
          <w:b/>
          <w:bCs/>
          <w:color w:val="222222"/>
          <w:sz w:val="22"/>
          <w:szCs w:val="22"/>
          <w:lang w:val="en"/>
        </w:rPr>
        <w:t>Procure-to-Pay (P2P)</w:t>
      </w:r>
      <w:r>
        <w:rPr>
          <w:rFonts w:ascii="Calibri" w:hAnsi="Calibri" w:cs="Calibri"/>
          <w:color w:val="222222"/>
          <w:sz w:val="22"/>
          <w:szCs w:val="22"/>
          <w:lang w:val="en"/>
        </w:rPr>
        <w:t xml:space="preserve"> business cycle. </w:t>
      </w:r>
    </w:p>
    <w:p w14:paraId="5AE4CDF9" w14:textId="77777777" w:rsidR="00AD2EC2" w:rsidRDefault="00AD2EC2" w:rsidP="00AD2EC2">
      <w:pPr>
        <w:widowControl/>
        <w:numPr>
          <w:ilvl w:val="0"/>
          <w:numId w:val="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Master Data Management:</w:t>
      </w:r>
      <w:r>
        <w:rPr>
          <w:rFonts w:ascii="Calibri" w:eastAsia="Times New Roman" w:hAnsi="Calibri" w:cs="Calibri"/>
          <w:color w:val="222222"/>
          <w:lang w:val="en"/>
        </w:rPr>
        <w:t xml:space="preserve"> In classic ECC, vendors were managed via vendor master records (FK01/XK01); in SAP S/4HANA, this is harmonized into the centralized </w:t>
      </w:r>
      <w:r>
        <w:rPr>
          <w:rFonts w:ascii="Calibri" w:eastAsia="Times New Roman" w:hAnsi="Calibri" w:cs="Calibri"/>
          <w:b/>
          <w:bCs/>
          <w:color w:val="222222"/>
          <w:lang w:val="en"/>
        </w:rPr>
        <w:t>Business Partner (BP)</w:t>
      </w:r>
      <w:r>
        <w:rPr>
          <w:rFonts w:ascii="Calibri" w:eastAsia="Times New Roman" w:hAnsi="Calibri" w:cs="Calibri"/>
          <w:color w:val="222222"/>
          <w:lang w:val="en"/>
        </w:rPr>
        <w:t xml:space="preserve"> data model under the </w:t>
      </w:r>
      <w:r>
        <w:rPr>
          <w:rFonts w:ascii="Calibri" w:eastAsia="Times New Roman" w:hAnsi="Calibri" w:cs="Calibri"/>
          <w:i/>
          <w:iCs/>
          <w:color w:val="222222"/>
          <w:lang w:val="en"/>
        </w:rPr>
        <w:t>FLVN00</w:t>
      </w:r>
      <w:r>
        <w:rPr>
          <w:rFonts w:ascii="Calibri" w:eastAsia="Times New Roman" w:hAnsi="Calibri" w:cs="Calibri"/>
          <w:color w:val="222222"/>
          <w:lang w:val="en"/>
        </w:rPr>
        <w:t xml:space="preserve"> (FI Vendor) and </w:t>
      </w:r>
      <w:r>
        <w:rPr>
          <w:rFonts w:ascii="Calibri" w:eastAsia="Times New Roman" w:hAnsi="Calibri" w:cs="Calibri"/>
          <w:i/>
          <w:iCs/>
          <w:color w:val="222222"/>
          <w:lang w:val="en"/>
        </w:rPr>
        <w:t>FLVN01</w:t>
      </w:r>
      <w:r>
        <w:rPr>
          <w:rFonts w:ascii="Calibri" w:eastAsia="Times New Roman" w:hAnsi="Calibri" w:cs="Calibri"/>
          <w:color w:val="222222"/>
          <w:lang w:val="en"/>
        </w:rPr>
        <w:t xml:space="preserve"> (Purchasing) roles.</w:t>
      </w:r>
    </w:p>
    <w:p w14:paraId="16BEBA60" w14:textId="77777777" w:rsidR="00AD2EC2" w:rsidRDefault="00AD2EC2" w:rsidP="00AD2EC2">
      <w:pPr>
        <w:widowControl/>
        <w:numPr>
          <w:ilvl w:val="0"/>
          <w:numId w:val="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Three-Way Matching Verification:</w:t>
      </w:r>
      <w:r>
        <w:rPr>
          <w:rFonts w:ascii="Calibri" w:eastAsia="Times New Roman" w:hAnsi="Calibri" w:cs="Calibri"/>
          <w:color w:val="222222"/>
          <w:lang w:val="en"/>
        </w:rPr>
        <w:t xml:space="preserve"> FI-AP integrates with Materials Management (MM) to execute automated three-way matching during Invoice Verification (Transaction MIRO): </w:t>
      </w:r>
    </w:p>
    <w:p w14:paraId="2E00C473" w14:textId="77777777" w:rsidR="00AD2EC2" w:rsidRDefault="00AD2EC2" w:rsidP="00AD2EC2">
      <w:pPr>
        <w:widowControl/>
        <w:numPr>
          <w:ilvl w:val="1"/>
          <w:numId w:val="5"/>
        </w:numPr>
        <w:spacing w:before="100" w:beforeAutospacing="1" w:after="75"/>
        <w:rPr>
          <w:rFonts w:ascii="Calibri" w:eastAsia="Times New Roman" w:hAnsi="Calibri" w:cs="Calibri"/>
          <w:color w:val="222222"/>
          <w:lang w:val="en"/>
        </w:rPr>
      </w:pPr>
      <w:r>
        <w:rPr>
          <w:rFonts w:ascii="Calibri" w:eastAsia="Times New Roman" w:hAnsi="Calibri" w:cs="Calibri"/>
          <w:color w:val="222222"/>
          <w:lang w:val="en"/>
        </w:rPr>
        <w:t>Purchase Order (PO): Validates contracted prices and terms.</w:t>
      </w:r>
    </w:p>
    <w:p w14:paraId="6E7D45DE" w14:textId="77777777" w:rsidR="00AD2EC2" w:rsidRDefault="00AD2EC2" w:rsidP="00AD2EC2">
      <w:pPr>
        <w:widowControl/>
        <w:numPr>
          <w:ilvl w:val="1"/>
          <w:numId w:val="5"/>
        </w:numPr>
        <w:spacing w:before="100" w:beforeAutospacing="1" w:after="75"/>
        <w:rPr>
          <w:rFonts w:ascii="Calibri" w:eastAsia="Times New Roman" w:hAnsi="Calibri" w:cs="Calibri"/>
          <w:color w:val="222222"/>
          <w:lang w:val="en"/>
        </w:rPr>
      </w:pPr>
      <w:r>
        <w:rPr>
          <w:rFonts w:ascii="Calibri" w:eastAsia="Times New Roman" w:hAnsi="Calibri" w:cs="Calibri"/>
          <w:color w:val="222222"/>
          <w:lang w:val="en"/>
        </w:rPr>
        <w:t>Goods Receipt (GR): Validates physical quantities accepted at the warehouse.</w:t>
      </w:r>
    </w:p>
    <w:p w14:paraId="56EE4A89" w14:textId="77777777" w:rsidR="00AD2EC2" w:rsidRDefault="00AD2EC2" w:rsidP="00AD2EC2">
      <w:pPr>
        <w:widowControl/>
        <w:numPr>
          <w:ilvl w:val="1"/>
          <w:numId w:val="5"/>
        </w:numPr>
        <w:spacing w:before="100" w:beforeAutospacing="1" w:after="75"/>
        <w:rPr>
          <w:rFonts w:ascii="Calibri" w:eastAsia="Times New Roman" w:hAnsi="Calibri" w:cs="Calibri"/>
          <w:color w:val="222222"/>
          <w:lang w:val="en"/>
        </w:rPr>
      </w:pPr>
      <w:r>
        <w:rPr>
          <w:rFonts w:ascii="Calibri" w:eastAsia="Times New Roman" w:hAnsi="Calibri" w:cs="Calibri"/>
          <w:color w:val="222222"/>
          <w:lang w:val="en"/>
        </w:rPr>
        <w:t>Invoice Receipt (IR): Matches vendor invoice amounts against PO price and GR quantity. Tolerances can be configured to hold discrepancies for managerial review.</w:t>
      </w:r>
    </w:p>
    <w:p w14:paraId="0EAE5166" w14:textId="77777777" w:rsidR="00AD2EC2" w:rsidRDefault="00AD2EC2" w:rsidP="00AD2EC2">
      <w:pPr>
        <w:widowControl/>
        <w:numPr>
          <w:ilvl w:val="0"/>
          <w:numId w:val="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Automatic Payment Program (F110):</w:t>
      </w:r>
      <w:r>
        <w:rPr>
          <w:rFonts w:ascii="Calibri" w:eastAsia="Times New Roman" w:hAnsi="Calibri" w:cs="Calibri"/>
          <w:color w:val="222222"/>
          <w:lang w:val="en"/>
        </w:rPr>
        <w:t xml:space="preserve"> The core engine for automating outgoing payments. It processes thousands of open vendor invoices across currencies and banks in minutes through a standardized four-phase sequence: </w:t>
      </w:r>
    </w:p>
    <w:p w14:paraId="5075718C" w14:textId="77777777" w:rsidR="00AD2EC2" w:rsidRDefault="00AD2EC2" w:rsidP="00AD2EC2">
      <w:pPr>
        <w:widowControl/>
        <w:numPr>
          <w:ilvl w:val="1"/>
          <w:numId w:val="5"/>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Parameters:</w:t>
      </w:r>
      <w:r>
        <w:rPr>
          <w:rFonts w:ascii="Calibri" w:eastAsia="Times New Roman" w:hAnsi="Calibri" w:cs="Calibri"/>
          <w:color w:val="222222"/>
          <w:lang w:val="en"/>
        </w:rPr>
        <w:t xml:space="preserve"> Specifies Company Codes, payment methods (ACH, Wire, Check, SEPA), next posting dates, and vendor ranges.</w:t>
      </w:r>
    </w:p>
    <w:p w14:paraId="4491EA3E" w14:textId="77777777" w:rsidR="00AD2EC2" w:rsidRDefault="00AD2EC2" w:rsidP="00AD2EC2">
      <w:pPr>
        <w:widowControl/>
        <w:numPr>
          <w:ilvl w:val="1"/>
          <w:numId w:val="5"/>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Proposal Run:</w:t>
      </w:r>
      <w:r>
        <w:rPr>
          <w:rFonts w:ascii="Calibri" w:eastAsia="Times New Roman" w:hAnsi="Calibri" w:cs="Calibri"/>
          <w:color w:val="222222"/>
          <w:lang w:val="en"/>
        </w:rPr>
        <w:t xml:space="preserve"> The system evaluates invoice due dates, cash discounts, payment terms, and vendor block flags to construct an editable payment proposal.</w:t>
      </w:r>
    </w:p>
    <w:p w14:paraId="2CD412F5" w14:textId="77777777" w:rsidR="00AD2EC2" w:rsidRDefault="00AD2EC2" w:rsidP="00AD2EC2">
      <w:pPr>
        <w:widowControl/>
        <w:numPr>
          <w:ilvl w:val="1"/>
          <w:numId w:val="5"/>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Proposal Editing:</w:t>
      </w:r>
      <w:r>
        <w:rPr>
          <w:rFonts w:ascii="Calibri" w:eastAsia="Times New Roman" w:hAnsi="Calibri" w:cs="Calibri"/>
          <w:color w:val="222222"/>
          <w:lang w:val="en"/>
        </w:rPr>
        <w:t xml:space="preserve"> Accounts payable specialists can unblock invoices, reassign payment methods, or adjust payment amounts.</w:t>
      </w:r>
    </w:p>
    <w:p w14:paraId="5EE810F3" w14:textId="77777777" w:rsidR="00AD2EC2" w:rsidRDefault="00AD2EC2" w:rsidP="00AD2EC2">
      <w:pPr>
        <w:widowControl/>
        <w:numPr>
          <w:ilvl w:val="1"/>
          <w:numId w:val="5"/>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Payment Run &amp; Media Generation:</w:t>
      </w:r>
      <w:r>
        <w:rPr>
          <w:rFonts w:ascii="Calibri" w:eastAsia="Times New Roman" w:hAnsi="Calibri" w:cs="Calibri"/>
          <w:color w:val="222222"/>
          <w:lang w:val="en"/>
        </w:rPr>
        <w:t xml:space="preserve"> Posts the accounting entries (clearing vendor open items and crediting bank clearing accounts) and triggers the </w:t>
      </w:r>
      <w:r>
        <w:rPr>
          <w:rFonts w:ascii="Calibri" w:eastAsia="Times New Roman" w:hAnsi="Calibri" w:cs="Calibri"/>
          <w:b/>
          <w:bCs/>
          <w:color w:val="222222"/>
          <w:lang w:val="en"/>
        </w:rPr>
        <w:t>Payment Medium Workbench (PMW)</w:t>
      </w:r>
      <w:r>
        <w:rPr>
          <w:rFonts w:ascii="Calibri" w:eastAsia="Times New Roman" w:hAnsi="Calibri" w:cs="Calibri"/>
          <w:color w:val="222222"/>
          <w:lang w:val="en"/>
        </w:rPr>
        <w:t xml:space="preserve"> to generate banking payment files (ISO 20022 XML, NACHA, MT103).</w:t>
      </w:r>
    </w:p>
    <w:p w14:paraId="07DF3337" w14:textId="77777777" w:rsidR="00AD2EC2" w:rsidRDefault="00AD2EC2" w:rsidP="00AD2EC2">
      <w:pPr>
        <w:widowControl/>
        <w:numPr>
          <w:ilvl w:val="0"/>
          <w:numId w:val="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Extended Withholding Tax (WHT):</w:t>
      </w:r>
      <w:r>
        <w:rPr>
          <w:rFonts w:ascii="Calibri" w:eastAsia="Times New Roman" w:hAnsi="Calibri" w:cs="Calibri"/>
          <w:color w:val="222222"/>
          <w:lang w:val="en"/>
        </w:rPr>
        <w:t xml:space="preserve"> Automates tax deductions at source (e.g., 1099 reporting in the United States, TDS in India, or Retenciones in Latin America) during invoice booking or payment settlement.</w:t>
      </w:r>
    </w:p>
    <w:p w14:paraId="18BC7EE7"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3.3 Accounts Receivable (FI-AR)</w:t>
      </w:r>
    </w:p>
    <w:p w14:paraId="125D270F"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Accounts Receivable manages customer transactions, credit risk, and incoming cash flows, representing the financial engine of the </w:t>
      </w:r>
      <w:r>
        <w:rPr>
          <w:rFonts w:ascii="Calibri" w:hAnsi="Calibri" w:cs="Calibri"/>
          <w:b/>
          <w:bCs/>
          <w:color w:val="222222"/>
          <w:sz w:val="22"/>
          <w:szCs w:val="22"/>
          <w:lang w:val="en"/>
        </w:rPr>
        <w:t>Order-to-Cash (O2C)</w:t>
      </w:r>
      <w:r>
        <w:rPr>
          <w:rFonts w:ascii="Calibri" w:hAnsi="Calibri" w:cs="Calibri"/>
          <w:color w:val="222222"/>
          <w:sz w:val="22"/>
          <w:szCs w:val="22"/>
          <w:lang w:val="en"/>
        </w:rPr>
        <w:t xml:space="preserve"> cycle. </w:t>
      </w:r>
    </w:p>
    <w:p w14:paraId="1AB01456" w14:textId="77777777" w:rsidR="00AD2EC2" w:rsidRDefault="00AD2EC2" w:rsidP="00AD2EC2">
      <w:pPr>
        <w:widowControl/>
        <w:numPr>
          <w:ilvl w:val="0"/>
          <w:numId w:val="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Customer Master Data / Business Partner:</w:t>
      </w:r>
      <w:r>
        <w:rPr>
          <w:rFonts w:ascii="Calibri" w:eastAsia="Times New Roman" w:hAnsi="Calibri" w:cs="Calibri"/>
          <w:color w:val="222222"/>
          <w:lang w:val="en"/>
        </w:rPr>
        <w:t xml:space="preserve"> Centrally manages credit limits, payment terms, dunning procedures, reconciliation accounts, and customer account assignment groups for revenue determination.</w:t>
      </w:r>
    </w:p>
    <w:p w14:paraId="7008EF52" w14:textId="77777777" w:rsidR="00AD2EC2" w:rsidRDefault="00AD2EC2" w:rsidP="00AD2EC2">
      <w:pPr>
        <w:widowControl/>
        <w:numPr>
          <w:ilvl w:val="0"/>
          <w:numId w:val="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Automated Dunning Program (F150):</w:t>
      </w:r>
      <w:r>
        <w:rPr>
          <w:rFonts w:ascii="Calibri" w:eastAsia="Times New Roman" w:hAnsi="Calibri" w:cs="Calibri"/>
          <w:color w:val="222222"/>
          <w:lang w:val="en"/>
        </w:rPr>
        <w:t xml:space="preserve"> Systematically monitors overdue customer receivables. Based on configured dunning keys, grace periods, and dunning levels (e.g., Level 1: Friendly reminder, Level 2: Formal notice, Level 3: Legal demand), the system calculates overdue interest and generates customized dunning notices.</w:t>
      </w:r>
    </w:p>
    <w:p w14:paraId="21D212F4" w14:textId="77777777" w:rsidR="00AD2EC2" w:rsidRDefault="00AD2EC2" w:rsidP="00AD2EC2">
      <w:pPr>
        <w:widowControl/>
        <w:numPr>
          <w:ilvl w:val="0"/>
          <w:numId w:val="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Credit Management:</w:t>
      </w:r>
      <w:r>
        <w:rPr>
          <w:rFonts w:ascii="Calibri" w:eastAsia="Times New Roman" w:hAnsi="Calibri" w:cs="Calibri"/>
          <w:color w:val="222222"/>
          <w:lang w:val="en"/>
        </w:rPr>
        <w:t xml:space="preserve"> Evaluates customer creditworthiness before fulfilling orders. In modern architectures, SAP FI-AR integrates with </w:t>
      </w:r>
      <w:r>
        <w:rPr>
          <w:rFonts w:ascii="Calibri" w:eastAsia="Times New Roman" w:hAnsi="Calibri" w:cs="Calibri"/>
          <w:b/>
          <w:bCs/>
          <w:color w:val="222222"/>
          <w:lang w:val="en"/>
        </w:rPr>
        <w:t>SAP Financial Supply Chain Management (FSCM) Credit Management</w:t>
      </w:r>
      <w:r>
        <w:rPr>
          <w:rFonts w:ascii="Calibri" w:eastAsia="Times New Roman" w:hAnsi="Calibri" w:cs="Calibri"/>
          <w:color w:val="222222"/>
          <w:lang w:val="en"/>
        </w:rPr>
        <w:t>, calculating dynamic credit limits using external credit bureau ratings (Dun &amp; Bradstreet), historical payment behavior, and real-time open sales exposure.</w:t>
      </w:r>
    </w:p>
    <w:p w14:paraId="132DDF5A" w14:textId="77777777" w:rsidR="00AD2EC2" w:rsidRDefault="00AD2EC2" w:rsidP="00AD2EC2">
      <w:pPr>
        <w:widowControl/>
        <w:numPr>
          <w:ilvl w:val="0"/>
          <w:numId w:val="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Incoming Payment Processing &amp; Lockbox:</w:t>
      </w:r>
      <w:r>
        <w:rPr>
          <w:rFonts w:ascii="Calibri" w:eastAsia="Times New Roman" w:hAnsi="Calibri" w:cs="Calibri"/>
          <w:color w:val="222222"/>
          <w:lang w:val="en"/>
        </w:rPr>
        <w:t xml:space="preserve"> Automatically processes remittance advices, bank lockbox files (BAI2 format), and clearing of customer open items. Machine-learning-driven cash application algorithms match customer payment remittances against disputed or deductions-laden invoices.</w:t>
      </w:r>
    </w:p>
    <w:p w14:paraId="61DE48D3"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3.4 Asset Accounting (FI-AA)</w:t>
      </w:r>
    </w:p>
    <w:p w14:paraId="279CAB48"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Asset Accounting manages the complete lifecycle of tangible and intangible fixed assetsâ€”from initial procurement or internal construction to operational capitalization, periodic depreciation, and final disposal. </w:t>
      </w:r>
    </w:p>
    <w:p w14:paraId="4063C0D3" w14:textId="77777777" w:rsidR="00AD2EC2" w:rsidRDefault="00AD2EC2" w:rsidP="00AD2EC2">
      <w:pPr>
        <w:widowControl/>
        <w:numPr>
          <w:ilvl w:val="0"/>
          <w:numId w:val="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Chart of Depreciation:</w:t>
      </w:r>
      <w:r>
        <w:rPr>
          <w:rFonts w:ascii="Calibri" w:eastAsia="Times New Roman" w:hAnsi="Calibri" w:cs="Calibri"/>
          <w:color w:val="222222"/>
          <w:lang w:val="en"/>
        </w:rPr>
        <w:t xml:space="preserve"> A country-specific container defining the legal rules, tax guidelines, and valuation parameters for fixed assets.</w:t>
      </w:r>
    </w:p>
    <w:p w14:paraId="4DE9260F" w14:textId="77777777" w:rsidR="00AD2EC2" w:rsidRDefault="00AD2EC2" w:rsidP="00AD2EC2">
      <w:pPr>
        <w:widowControl/>
        <w:numPr>
          <w:ilvl w:val="0"/>
          <w:numId w:val="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Asset Classes:</w:t>
      </w:r>
      <w:r>
        <w:rPr>
          <w:rFonts w:ascii="Calibri" w:eastAsia="Times New Roman" w:hAnsi="Calibri" w:cs="Calibri"/>
          <w:color w:val="222222"/>
          <w:lang w:val="en"/>
        </w:rPr>
        <w:t xml:space="preserve"> The primary classification mechanism (e.g., Buildings, Machinery, Vehicles, IT Equipment, Assets under Construction - AuC). Each asset class dictates the number range, screen layout, and the G/L account determination keys.</w:t>
      </w:r>
    </w:p>
    <w:p w14:paraId="0465EB43" w14:textId="77777777" w:rsidR="00AD2EC2" w:rsidRDefault="00AD2EC2" w:rsidP="00AD2EC2">
      <w:pPr>
        <w:widowControl/>
        <w:numPr>
          <w:ilvl w:val="0"/>
          <w:numId w:val="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Depreciation Areas:</w:t>
      </w:r>
      <w:r>
        <w:rPr>
          <w:rFonts w:ascii="Calibri" w:eastAsia="Times New Roman" w:hAnsi="Calibri" w:cs="Calibri"/>
          <w:color w:val="222222"/>
          <w:lang w:val="en"/>
        </w:rPr>
        <w:t xml:space="preserve"> Facilitate parallel valuation of the same physical asset across multiple accounting standards: </w:t>
      </w:r>
    </w:p>
    <w:p w14:paraId="54FF2CB3" w14:textId="77777777" w:rsidR="00AD2EC2" w:rsidRDefault="00AD2EC2" w:rsidP="00AD2EC2">
      <w:pPr>
        <w:widowControl/>
        <w:numPr>
          <w:ilvl w:val="1"/>
          <w:numId w:val="7"/>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Area 01 (Book Depreciation):</w:t>
      </w:r>
      <w:r>
        <w:rPr>
          <w:rFonts w:ascii="Calibri" w:eastAsia="Times New Roman" w:hAnsi="Calibri" w:cs="Calibri"/>
          <w:color w:val="222222"/>
          <w:lang w:val="en"/>
        </w:rPr>
        <w:t xml:space="preserve"> Statutory book accounting (IFRS/Local GAAP).</w:t>
      </w:r>
    </w:p>
    <w:p w14:paraId="5C62B42E" w14:textId="77777777" w:rsidR="00AD2EC2" w:rsidRDefault="00AD2EC2" w:rsidP="00AD2EC2">
      <w:pPr>
        <w:widowControl/>
        <w:numPr>
          <w:ilvl w:val="1"/>
          <w:numId w:val="7"/>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Area 15/20 (Tax Depreciation):</w:t>
      </w:r>
      <w:r>
        <w:rPr>
          <w:rFonts w:ascii="Calibri" w:eastAsia="Times New Roman" w:hAnsi="Calibri" w:cs="Calibri"/>
          <w:color w:val="222222"/>
          <w:lang w:val="en"/>
        </w:rPr>
        <w:t xml:space="preserve"> Accelerated tax depreciation schedules according to jurisdictional tax codes.</w:t>
      </w:r>
    </w:p>
    <w:p w14:paraId="51A72ACB" w14:textId="77777777" w:rsidR="00AD2EC2" w:rsidRDefault="00AD2EC2" w:rsidP="00AD2EC2">
      <w:pPr>
        <w:widowControl/>
        <w:numPr>
          <w:ilvl w:val="1"/>
          <w:numId w:val="7"/>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Area 30 (Group Currency):</w:t>
      </w:r>
      <w:r>
        <w:rPr>
          <w:rFonts w:ascii="Calibri" w:eastAsia="Times New Roman" w:hAnsi="Calibri" w:cs="Calibri"/>
          <w:color w:val="222222"/>
          <w:lang w:val="en"/>
        </w:rPr>
        <w:t xml:space="preserve"> Valuation in group currency for multinational consolidated balance sheets.</w:t>
      </w:r>
    </w:p>
    <w:p w14:paraId="15217EAC" w14:textId="77777777" w:rsidR="00AD2EC2" w:rsidRDefault="00AD2EC2" w:rsidP="00AD2EC2">
      <w:pPr>
        <w:widowControl/>
        <w:numPr>
          <w:ilvl w:val="0"/>
          <w:numId w:val="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Capital Work in Progress (Asset under Construction - AuC):</w:t>
      </w:r>
      <w:r>
        <w:rPr>
          <w:rFonts w:ascii="Calibri" w:eastAsia="Times New Roman" w:hAnsi="Calibri" w:cs="Calibri"/>
          <w:color w:val="222222"/>
          <w:lang w:val="en"/>
        </w:rPr>
        <w:t xml:space="preserve"> Captures multi-period project expenditures for assets being built internally. Costs accumulate on AuC master records without depreciation until project completion, at which point an investment settlement transfers balances to final active fixed asset classes.</w:t>
      </w:r>
    </w:p>
    <w:p w14:paraId="4105468E" w14:textId="77777777" w:rsidR="00AD2EC2" w:rsidRDefault="00AD2EC2" w:rsidP="00AD2EC2">
      <w:pPr>
        <w:widowControl/>
        <w:numPr>
          <w:ilvl w:val="0"/>
          <w:numId w:val="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Asset Lifecycle Operations:</w:t>
      </w:r>
      <w:r>
        <w:rPr>
          <w:rFonts w:ascii="Calibri" w:eastAsia="Times New Roman" w:hAnsi="Calibri" w:cs="Calibri"/>
          <w:color w:val="222222"/>
          <w:lang w:val="en"/>
        </w:rPr>
        <w:t xml:space="preserve"> Fully automates asset additions, intra-company transfers, intercompany transfers, retirements with revenue, scrapping without revenue, write-ups, and un-planned depreciation.</w:t>
      </w:r>
    </w:p>
    <w:p w14:paraId="027086AA"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3.5 Bank Ledger &amp; Cash Management (FI-BL)</w:t>
      </w:r>
    </w:p>
    <w:p w14:paraId="31EAC967"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Bank Ledger manages relationships with financial institutions, handles cash flow reconciliation, and governs corporate liquidity: </w:t>
      </w:r>
    </w:p>
    <w:p w14:paraId="173D3D41" w14:textId="77777777" w:rsidR="00AD2EC2" w:rsidRDefault="00AD2EC2" w:rsidP="00AD2EC2">
      <w:pPr>
        <w:widowControl/>
        <w:numPr>
          <w:ilvl w:val="0"/>
          <w:numId w:val="8"/>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House Banks &amp; Account IDs:</w:t>
      </w:r>
      <w:r>
        <w:rPr>
          <w:rFonts w:ascii="Calibri" w:eastAsia="Times New Roman" w:hAnsi="Calibri" w:cs="Calibri"/>
          <w:color w:val="222222"/>
          <w:lang w:val="en"/>
        </w:rPr>
        <w:t xml:space="preserve"> Every external corporate bank account is modeled as a House Bank and Account ID, mapped to a unique G/L bank account alongside transitional clearing accounts (Outgoing Checks, Outgoing Wire, Incoming Cash).</w:t>
      </w:r>
    </w:p>
    <w:p w14:paraId="2363A003" w14:textId="77777777" w:rsidR="00AD2EC2" w:rsidRDefault="00AD2EC2" w:rsidP="00AD2EC2">
      <w:pPr>
        <w:widowControl/>
        <w:numPr>
          <w:ilvl w:val="0"/>
          <w:numId w:val="8"/>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Electronic Bank Statement (EBS):</w:t>
      </w:r>
      <w:r>
        <w:rPr>
          <w:rFonts w:ascii="Calibri" w:eastAsia="Times New Roman" w:hAnsi="Calibri" w:cs="Calibri"/>
          <w:color w:val="222222"/>
          <w:lang w:val="en"/>
        </w:rPr>
        <w:t xml:space="preserve"> Automatically ingests daily statement feeds (MT940, BAI2, CAMT.053). Through configured posting rules and search strings, the system parses transaction codes, clears transitional clearing accounts, records bank charges, and posts unidentified receipts for investigation.</w:t>
      </w:r>
    </w:p>
    <w:p w14:paraId="3FFE4BD0" w14:textId="77777777" w:rsidR="00AD2EC2" w:rsidRDefault="00AD2EC2" w:rsidP="00AD2EC2">
      <w:pPr>
        <w:widowControl/>
        <w:numPr>
          <w:ilvl w:val="0"/>
          <w:numId w:val="8"/>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Liquidity Forecasting:</w:t>
      </w:r>
      <w:r>
        <w:rPr>
          <w:rFonts w:ascii="Calibri" w:eastAsia="Times New Roman" w:hAnsi="Calibri" w:cs="Calibri"/>
          <w:color w:val="222222"/>
          <w:lang w:val="en"/>
        </w:rPr>
        <w:t xml:space="preserve"> Combines open customer invoices (short-term inflows), open vendor invoices (short-term outflows), sales orders (medium-term forecasts), and purchase requisitions to project daily corporate liquidity positions.</w:t>
      </w:r>
    </w:p>
    <w:p w14:paraId="19AF314C"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3.6 Tax Accounting &amp; Statutory Compliance</w:t>
      </w:r>
    </w:p>
    <w:p w14:paraId="7102F611"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Manages regional and international indirect taxation regimes (Sales &amp; Use Tax, Value Added Tax / VAT, Goods and Services Tax / GST): </w:t>
      </w:r>
    </w:p>
    <w:p w14:paraId="19A6D2A1" w14:textId="77777777" w:rsidR="00AD2EC2" w:rsidRDefault="00AD2EC2" w:rsidP="00AD2EC2">
      <w:pPr>
        <w:widowControl/>
        <w:numPr>
          <w:ilvl w:val="0"/>
          <w:numId w:val="9"/>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Tax Codes &amp; Procedures:</w:t>
      </w:r>
      <w:r>
        <w:rPr>
          <w:rFonts w:ascii="Calibri" w:eastAsia="Times New Roman" w:hAnsi="Calibri" w:cs="Calibri"/>
          <w:color w:val="222222"/>
          <w:lang w:val="en"/>
        </w:rPr>
        <w:t xml:space="preserve"> Calculates applicable input tax (recoverable tax paid on purchases) and output tax (tax collected on sales).</w:t>
      </w:r>
    </w:p>
    <w:p w14:paraId="2FEB260F" w14:textId="77777777" w:rsidR="00AD2EC2" w:rsidRDefault="00AD2EC2" w:rsidP="00AD2EC2">
      <w:pPr>
        <w:widowControl/>
        <w:numPr>
          <w:ilvl w:val="0"/>
          <w:numId w:val="9"/>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Reverse Charge Mechanism (RCM):</w:t>
      </w:r>
      <w:r>
        <w:rPr>
          <w:rFonts w:ascii="Calibri" w:eastAsia="Times New Roman" w:hAnsi="Calibri" w:cs="Calibri"/>
          <w:color w:val="222222"/>
          <w:lang w:val="en"/>
        </w:rPr>
        <w:t xml:space="preserve"> Automatically handles cross-border EU service transactions and self-assessed tax obligations.</w:t>
      </w:r>
    </w:p>
    <w:p w14:paraId="6B1FD06F" w14:textId="77777777" w:rsidR="00AD2EC2" w:rsidRDefault="00AD2EC2" w:rsidP="00AD2EC2">
      <w:pPr>
        <w:widowControl/>
        <w:numPr>
          <w:ilvl w:val="0"/>
          <w:numId w:val="9"/>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Tax Reporting &amp; Audit Files:</w:t>
      </w:r>
      <w:r>
        <w:rPr>
          <w:rFonts w:ascii="Calibri" w:eastAsia="Times New Roman" w:hAnsi="Calibri" w:cs="Calibri"/>
          <w:color w:val="222222"/>
          <w:lang w:val="en"/>
        </w:rPr>
        <w:t xml:space="preserve"> Produces statutory tax returns, SAF-T (Standard Audit File for Tax) extracts, and e-invoicing integrations required by tax authorities globally.</w:t>
      </w:r>
    </w:p>
    <w:p w14:paraId="3E8C1B00"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4. Deep Dive: SAP CO (Controlling) Sub-Modules &amp; Functionalities</w:t>
      </w:r>
    </w:p>
    <w:p w14:paraId="1FF49F66"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4.1 Cost and Revenue Element Accounting (CO-CEL)</w:t>
      </w:r>
    </w:p>
    <w:p w14:paraId="0693E214"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Cost Element Accounting forms the structural bridge between Financial Accounting and Controlling. It classifies the types of costs incurred across the enterprise. </w:t>
      </w:r>
    </w:p>
    <w:p w14:paraId="7254BA75" w14:textId="77777777" w:rsidR="00AD2EC2" w:rsidRDefault="00AD2EC2" w:rsidP="00AD2EC2">
      <w:pPr>
        <w:widowControl/>
        <w:numPr>
          <w:ilvl w:val="0"/>
          <w:numId w:val="10"/>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Primary Cost Elements:</w:t>
      </w:r>
      <w:r>
        <w:rPr>
          <w:rFonts w:ascii="Calibri" w:eastAsia="Times New Roman" w:hAnsi="Calibri" w:cs="Calibri"/>
          <w:color w:val="222222"/>
          <w:lang w:val="en"/>
        </w:rPr>
        <w:t xml:space="preserve"> Represent external expenses incurred in Financial Accounting that flow into Controlling without altering their financial nature (e.g., Raw Material Consumption, Salaries, Utility Expenses). Every primary cost element must have a corresponding P&amp;L account in FI.</w:t>
      </w:r>
    </w:p>
    <w:p w14:paraId="37820640" w14:textId="77777777" w:rsidR="00AD2EC2" w:rsidRDefault="00AD2EC2" w:rsidP="00AD2EC2">
      <w:pPr>
        <w:widowControl/>
        <w:numPr>
          <w:ilvl w:val="0"/>
          <w:numId w:val="10"/>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Secondary Cost Elements:</w:t>
      </w:r>
      <w:r>
        <w:rPr>
          <w:rFonts w:ascii="Calibri" w:eastAsia="Times New Roman" w:hAnsi="Calibri" w:cs="Calibri"/>
          <w:color w:val="222222"/>
          <w:lang w:val="en"/>
        </w:rPr>
        <w:t xml:space="preserve"> Exist strictly within Controlling to track internal cost allocations, activity confirmations, and overhead absorptions (e.g., Assessment Category 42, Internal Activity Allocation Category 43). They do not correspond to standalone financial expenses in external reporting.</w:t>
      </w:r>
    </w:p>
    <w:p w14:paraId="1236A6E2" w14:textId="77777777" w:rsidR="00AD2EC2" w:rsidRDefault="00AD2EC2" w:rsidP="00AD2EC2">
      <w:pPr>
        <w:widowControl/>
        <w:numPr>
          <w:ilvl w:val="0"/>
          <w:numId w:val="10"/>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S/4HANA Modernization:</w:t>
      </w:r>
      <w:r>
        <w:rPr>
          <w:rFonts w:ascii="Calibri" w:eastAsia="Times New Roman" w:hAnsi="Calibri" w:cs="Calibri"/>
          <w:color w:val="222222"/>
          <w:lang w:val="en"/>
        </w:rPr>
        <w:t xml:space="preserve"> In SAP S/4HANA, the separate cost element master record (FS00/KA01) is unified. All cost elements are defined directly within the G/L Account Master Data as specific </w:t>
      </w:r>
      <w:r>
        <w:rPr>
          <w:rFonts w:ascii="Calibri" w:eastAsia="Times New Roman" w:hAnsi="Calibri" w:cs="Calibri"/>
          <w:b/>
          <w:bCs/>
          <w:color w:val="222222"/>
          <w:lang w:val="en"/>
        </w:rPr>
        <w:t>G/L Account Types</w:t>
      </w:r>
      <w:r>
        <w:rPr>
          <w:rFonts w:ascii="Calibri" w:eastAsia="Times New Roman" w:hAnsi="Calibri" w:cs="Calibri"/>
          <w:color w:val="222222"/>
          <w:lang w:val="en"/>
        </w:rPr>
        <w:t xml:space="preserve">: </w:t>
      </w:r>
      <w:r>
        <w:rPr>
          <w:rFonts w:ascii="Calibri" w:eastAsia="Times New Roman" w:hAnsi="Calibri" w:cs="Calibri"/>
          <w:i/>
          <w:iCs/>
          <w:color w:val="222222"/>
          <w:lang w:val="en"/>
        </w:rPr>
        <w:t>Primary Costs or Revenue</w:t>
      </w:r>
      <w:r>
        <w:rPr>
          <w:rFonts w:ascii="Calibri" w:eastAsia="Times New Roman" w:hAnsi="Calibri" w:cs="Calibri"/>
          <w:color w:val="222222"/>
          <w:lang w:val="en"/>
        </w:rPr>
        <w:t xml:space="preserve"> or </w:t>
      </w:r>
      <w:r>
        <w:rPr>
          <w:rFonts w:ascii="Calibri" w:eastAsia="Times New Roman" w:hAnsi="Calibri" w:cs="Calibri"/>
          <w:i/>
          <w:iCs/>
          <w:color w:val="222222"/>
          <w:lang w:val="en"/>
        </w:rPr>
        <w:t>Secondary Costs</w:t>
      </w:r>
      <w:r>
        <w:rPr>
          <w:rFonts w:ascii="Calibri" w:eastAsia="Times New Roman" w:hAnsi="Calibri" w:cs="Calibri"/>
          <w:color w:val="222222"/>
          <w:lang w:val="en"/>
        </w:rPr>
        <w:t>.</w:t>
      </w:r>
    </w:p>
    <w:p w14:paraId="55ACF994"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4.2 Cost Center Accounting (CO-CCA)</w:t>
      </w:r>
    </w:p>
    <w:p w14:paraId="67EF758F"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Cost Center Accounting tracks where overhead costs occur within an enterprise. It establishes operational accountability for departmental managers: </w:t>
      </w:r>
    </w:p>
    <w:p w14:paraId="687DE423" w14:textId="77777777" w:rsidR="00AD2EC2" w:rsidRDefault="00AD2EC2" w:rsidP="00AD2EC2">
      <w:pPr>
        <w:widowControl/>
        <w:numPr>
          <w:ilvl w:val="0"/>
          <w:numId w:val="1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Standard Hierarchy:</w:t>
      </w:r>
      <w:r>
        <w:rPr>
          <w:rFonts w:ascii="Calibri" w:eastAsia="Times New Roman" w:hAnsi="Calibri" w:cs="Calibri"/>
          <w:color w:val="222222"/>
          <w:lang w:val="en"/>
        </w:rPr>
        <w:t xml:space="preserve"> A mandatory tree structure grouping all cost centers across organizational departments (e.g., Corporate HQ &gt; IT &gt; Infrastructure / Application Support).</w:t>
      </w:r>
    </w:p>
    <w:p w14:paraId="40A5EFDA" w14:textId="77777777" w:rsidR="00AD2EC2" w:rsidRDefault="00AD2EC2" w:rsidP="00AD2EC2">
      <w:pPr>
        <w:widowControl/>
        <w:numPr>
          <w:ilvl w:val="0"/>
          <w:numId w:val="1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Activity Types:</w:t>
      </w:r>
      <w:r>
        <w:rPr>
          <w:rFonts w:ascii="Calibri" w:eastAsia="Times New Roman" w:hAnsi="Calibri" w:cs="Calibri"/>
          <w:color w:val="222222"/>
          <w:lang w:val="en"/>
        </w:rPr>
        <w:t xml:space="preserve"> Quantifiable internal services rendered by a cost center (e.g., machine production hours, maintenance technician hours, consulting hours). Combining cost center expenses with planned activity volumes determines the </w:t>
      </w:r>
      <w:r>
        <w:rPr>
          <w:rFonts w:ascii="Calibri" w:eastAsia="Times New Roman" w:hAnsi="Calibri" w:cs="Calibri"/>
          <w:i/>
          <w:iCs/>
          <w:color w:val="222222"/>
          <w:lang w:val="en"/>
        </w:rPr>
        <w:t>Activity Price</w:t>
      </w:r>
      <w:r>
        <w:rPr>
          <w:rFonts w:ascii="Calibri" w:eastAsia="Times New Roman" w:hAnsi="Calibri" w:cs="Calibri"/>
          <w:color w:val="222222"/>
          <w:lang w:val="en"/>
        </w:rPr>
        <w:t xml:space="preserve"> ($/hour).</w:t>
      </w:r>
    </w:p>
    <w:p w14:paraId="38EF4F91" w14:textId="77777777" w:rsidR="00AD2EC2" w:rsidRDefault="00AD2EC2" w:rsidP="00AD2EC2">
      <w:pPr>
        <w:widowControl/>
        <w:numPr>
          <w:ilvl w:val="0"/>
          <w:numId w:val="1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Statistical Key Figures (SKF):</w:t>
      </w:r>
      <w:r>
        <w:rPr>
          <w:rFonts w:ascii="Calibri" w:eastAsia="Times New Roman" w:hAnsi="Calibri" w:cs="Calibri"/>
          <w:color w:val="222222"/>
          <w:lang w:val="en"/>
        </w:rPr>
        <w:t xml:space="preserve"> Non-monetary measurable bases used as allocation drivers (e.g., departmental headcount, square footage occupied, number of network ports).</w:t>
      </w:r>
    </w:p>
    <w:p w14:paraId="4FCC518E" w14:textId="77777777" w:rsidR="00AD2EC2" w:rsidRDefault="00AD2EC2" w:rsidP="00AD2EC2">
      <w:pPr>
        <w:widowControl/>
        <w:numPr>
          <w:ilvl w:val="0"/>
          <w:numId w:val="1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Overhead Allocation Methods:</w:t>
      </w:r>
      <w:r>
        <w:rPr>
          <w:rFonts w:ascii="Calibri" w:eastAsia="Times New Roman" w:hAnsi="Calibri" w:cs="Calibri"/>
          <w:color w:val="222222"/>
          <w:lang w:val="en"/>
        </w:rPr>
        <w:t xml:space="preserve"> </w:t>
      </w:r>
    </w:p>
    <w:p w14:paraId="6C61934B" w14:textId="77777777" w:rsidR="00AD2EC2" w:rsidRDefault="00AD2EC2" w:rsidP="00AD2EC2">
      <w:pPr>
        <w:widowControl/>
        <w:numPr>
          <w:ilvl w:val="1"/>
          <w:numId w:val="11"/>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Distribution (Transaction KSV5):</w:t>
      </w:r>
      <w:r>
        <w:rPr>
          <w:rFonts w:ascii="Calibri" w:eastAsia="Times New Roman" w:hAnsi="Calibri" w:cs="Calibri"/>
          <w:color w:val="222222"/>
          <w:lang w:val="en"/>
        </w:rPr>
        <w:t xml:space="preserve"> Allocates primary costs from sender cost centers to receiver cost centers. The original primary cost element identity is preserved.</w:t>
      </w:r>
    </w:p>
    <w:p w14:paraId="765C94DC" w14:textId="77777777" w:rsidR="00AD2EC2" w:rsidRDefault="00AD2EC2" w:rsidP="00AD2EC2">
      <w:pPr>
        <w:widowControl/>
        <w:numPr>
          <w:ilvl w:val="1"/>
          <w:numId w:val="11"/>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Assessment (Transaction KSU5):</w:t>
      </w:r>
      <w:r>
        <w:rPr>
          <w:rFonts w:ascii="Calibri" w:eastAsia="Times New Roman" w:hAnsi="Calibri" w:cs="Calibri"/>
          <w:color w:val="222222"/>
          <w:lang w:val="en"/>
        </w:rPr>
        <w:t xml:space="preserve"> Summarizes diverse operational expenses into a single secondary cost element (Category 42) before allocating to receivers. This simplifies reporting on receiver cost centers.</w:t>
      </w:r>
    </w:p>
    <w:p w14:paraId="58C7BC6C" w14:textId="77777777" w:rsidR="00AD2EC2" w:rsidRDefault="00AD2EC2" w:rsidP="00AD2EC2">
      <w:pPr>
        <w:widowControl/>
        <w:numPr>
          <w:ilvl w:val="1"/>
          <w:numId w:val="11"/>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Direct Activity Allocation (Transaction KB21N):</w:t>
      </w:r>
      <w:r>
        <w:rPr>
          <w:rFonts w:ascii="Calibri" w:eastAsia="Times New Roman" w:hAnsi="Calibri" w:cs="Calibri"/>
          <w:color w:val="222222"/>
          <w:lang w:val="en"/>
        </w:rPr>
        <w:t xml:space="preserve"> Debits the receiver cost object (e.g., a Production Order or WBS Element) and credits the sender cost center based on actual confirmed activity hours multiplied by the activity price.</w:t>
      </w:r>
    </w:p>
    <w:p w14:paraId="019468DC"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4.3 Internal Orders (CO-IO)</w:t>
      </w:r>
    </w:p>
    <w:p w14:paraId="3587696F"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Internal Orders are temporary cost collectors used to plan, accumulate, monitor, and settle the costs of specific internal events, projects, or non-capitalized jobs: </w:t>
      </w:r>
    </w:p>
    <w:p w14:paraId="26E492EE" w14:textId="77777777" w:rsidR="00AD2EC2" w:rsidRDefault="00AD2EC2" w:rsidP="00AD2EC2">
      <w:pPr>
        <w:widowControl/>
        <w:numPr>
          <w:ilvl w:val="0"/>
          <w:numId w:val="1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Real Internal Orders:</w:t>
      </w:r>
      <w:r>
        <w:rPr>
          <w:rFonts w:ascii="Calibri" w:eastAsia="Times New Roman" w:hAnsi="Calibri" w:cs="Calibri"/>
          <w:color w:val="222222"/>
          <w:lang w:val="en"/>
        </w:rPr>
        <w:t xml:space="preserve"> Hold costs temporarily and must be settled at period-end to final cost objects (Cost Centers, Fixed Assets, or G/L Accounts) via configured </w:t>
      </w:r>
      <w:r>
        <w:rPr>
          <w:rFonts w:ascii="Calibri" w:eastAsia="Times New Roman" w:hAnsi="Calibri" w:cs="Calibri"/>
          <w:i/>
          <w:iCs/>
          <w:color w:val="222222"/>
          <w:lang w:val="en"/>
        </w:rPr>
        <w:t>Settlement Rules</w:t>
      </w:r>
      <w:r>
        <w:rPr>
          <w:rFonts w:ascii="Calibri" w:eastAsia="Times New Roman" w:hAnsi="Calibri" w:cs="Calibri"/>
          <w:color w:val="222222"/>
          <w:lang w:val="en"/>
        </w:rPr>
        <w:t xml:space="preserve"> (Transaction KO88).</w:t>
      </w:r>
    </w:p>
    <w:p w14:paraId="29E57DF8" w14:textId="77777777" w:rsidR="00AD2EC2" w:rsidRDefault="00AD2EC2" w:rsidP="00AD2EC2">
      <w:pPr>
        <w:widowControl/>
        <w:numPr>
          <w:ilvl w:val="0"/>
          <w:numId w:val="1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Statistical Internal Orders:</w:t>
      </w:r>
      <w:r>
        <w:rPr>
          <w:rFonts w:ascii="Calibri" w:eastAsia="Times New Roman" w:hAnsi="Calibri" w:cs="Calibri"/>
          <w:color w:val="222222"/>
          <w:lang w:val="en"/>
        </w:rPr>
        <w:t xml:space="preserve"> Cost collectors used purely for analytical and managerial tracking. Actual costs flow directly to a cost center for financial allocation, while simultaneously updating the statistical order for parallel reporting.</w:t>
      </w:r>
    </w:p>
    <w:p w14:paraId="641E4DD6" w14:textId="77777777" w:rsidR="00AD2EC2" w:rsidRDefault="00AD2EC2" w:rsidP="00AD2EC2">
      <w:pPr>
        <w:widowControl/>
        <w:numPr>
          <w:ilvl w:val="0"/>
          <w:numId w:val="1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Budgeting &amp; Availability Control:</w:t>
      </w:r>
      <w:r>
        <w:rPr>
          <w:rFonts w:ascii="Calibri" w:eastAsia="Times New Roman" w:hAnsi="Calibri" w:cs="Calibri"/>
          <w:color w:val="222222"/>
          <w:lang w:val="en"/>
        </w:rPr>
        <w:t xml:space="preserve"> Allows enterprises to set strict financial budgets on internal orders. The system actively monitors commitments (POs) and actual postings, automatically triggering warnings or hard posting errors when tolerance limits (e.g., 90% or 100% of budget) are reached.</w:t>
      </w:r>
    </w:p>
    <w:p w14:paraId="799CF42A"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4.4 Product Cost Controlling (CO-PC)</w:t>
      </w:r>
    </w:p>
    <w:p w14:paraId="154FDEE7"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Product Cost Controlling is widely recognized as one of the most sophisticated and powerful modules in SAP. It establishes the calculated cost of manufactured goods and services, powering manufacturing margin visibility. </w:t>
      </w:r>
    </w:p>
    <w:p w14:paraId="34271045" w14:textId="77777777" w:rsidR="00AD2EC2" w:rsidRDefault="00AD2EC2">
      <w:pPr>
        <w:shd w:val="clear" w:color="auto" w:fill="F1F5F9"/>
        <w:jc w:val="center"/>
        <w:divId w:val="626929733"/>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BILL OF MATERIALS (BOM) ] [ ROUTINGS / WORK CENTERS ] â”‚ â”‚ Quantities &amp; Raw Material Costs Operation Times &amp; Activity Rates â”‚ â”‚ â””â”€â”€â”€â”€â”€â”€â”€â”€â”€â”€â”€â”€â”€â”€â”€â”€â”€â”€â”€â”¬â”€â”€â”€â”€â”€â”€â”€â”€â”€â”€â”€â”€â”€â”€â”€â”€â”€â”€â”˜ â–¼ [ PRODUCT COST PLANNING (CK11N) ] Standard Cost Estimate Created â”‚ â–¼ [ COST OBJECT CONTROLLING (CO-PC-OBJ) ] Tracks Actuals on Production Orders â”‚ â–¼ [ PERIOD-END CLOSING (CO-PC) ] 1. WIP Calculation (KKAO) 2. Variance Calculation (KKS1) 3. Settlement to FI &amp; CO-PA (KO88) </w:t>
      </w:r>
    </w:p>
    <w:p w14:paraId="59A8046D"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CO-PC is subdivided into three core components:</w:t>
      </w:r>
    </w:p>
    <w:p w14:paraId="1DBEAFE1" w14:textId="77777777" w:rsidR="00AD2EC2" w:rsidRDefault="00AD2EC2" w:rsidP="00AD2EC2">
      <w:pPr>
        <w:widowControl/>
        <w:numPr>
          <w:ilvl w:val="0"/>
          <w:numId w:val="1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Product Cost Planning (PCP):</w:t>
      </w:r>
      <w:r>
        <w:rPr>
          <w:rFonts w:ascii="Calibri" w:eastAsia="Times New Roman" w:hAnsi="Calibri" w:cs="Calibri"/>
          <w:color w:val="222222"/>
          <w:lang w:val="en"/>
        </w:rPr>
        <w:t xml:space="preserve"> Calculates the standard cost estimate for manufactured products before production commences. It integrates with Production Planning (PP): </w:t>
      </w:r>
    </w:p>
    <w:p w14:paraId="376DFBE4" w14:textId="77777777" w:rsidR="00AD2EC2" w:rsidRDefault="00AD2EC2" w:rsidP="00AD2EC2">
      <w:pPr>
        <w:widowControl/>
        <w:numPr>
          <w:ilvl w:val="1"/>
          <w:numId w:val="13"/>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Bill of Materials (BOM):</w:t>
      </w:r>
      <w:r>
        <w:rPr>
          <w:rFonts w:ascii="Calibri" w:eastAsia="Times New Roman" w:hAnsi="Calibri" w:cs="Calibri"/>
          <w:color w:val="222222"/>
          <w:lang w:val="en"/>
        </w:rPr>
        <w:t xml:space="preserve"> Explodes required raw material and component quantities.</w:t>
      </w:r>
    </w:p>
    <w:p w14:paraId="116539AA" w14:textId="77777777" w:rsidR="00AD2EC2" w:rsidRDefault="00AD2EC2" w:rsidP="00AD2EC2">
      <w:pPr>
        <w:widowControl/>
        <w:numPr>
          <w:ilvl w:val="1"/>
          <w:numId w:val="13"/>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Routing / Work Centers:</w:t>
      </w:r>
      <w:r>
        <w:rPr>
          <w:rFonts w:ascii="Calibri" w:eastAsia="Times New Roman" w:hAnsi="Calibri" w:cs="Calibri"/>
          <w:color w:val="222222"/>
          <w:lang w:val="en"/>
        </w:rPr>
        <w:t xml:space="preserve"> Details manufacturing steps, setup times, machine hours, and labor hours.</w:t>
      </w:r>
    </w:p>
    <w:p w14:paraId="7361EE72" w14:textId="77777777" w:rsidR="00AD2EC2" w:rsidRDefault="00AD2EC2" w:rsidP="00AD2EC2">
      <w:pPr>
        <w:widowControl/>
        <w:numPr>
          <w:ilvl w:val="1"/>
          <w:numId w:val="13"/>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Costing Sheets:</w:t>
      </w:r>
      <w:r>
        <w:rPr>
          <w:rFonts w:ascii="Calibri" w:eastAsia="Times New Roman" w:hAnsi="Calibri" w:cs="Calibri"/>
          <w:color w:val="222222"/>
          <w:lang w:val="en"/>
        </w:rPr>
        <w:t xml:space="preserve"> Applies calculated material overhead and administrative overhead percentages.</w:t>
      </w:r>
    </w:p>
    <w:p w14:paraId="0F057464" w14:textId="77777777" w:rsidR="00AD2EC2" w:rsidRDefault="00AD2EC2" w:rsidP="00AD2EC2">
      <w:pPr>
        <w:widowControl/>
        <w:numPr>
          <w:ilvl w:val="1"/>
          <w:numId w:val="13"/>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Costing Run (CK40N):</w:t>
      </w:r>
      <w:r>
        <w:rPr>
          <w:rFonts w:ascii="Calibri" w:eastAsia="Times New Roman" w:hAnsi="Calibri" w:cs="Calibri"/>
          <w:color w:val="222222"/>
          <w:lang w:val="en"/>
        </w:rPr>
        <w:t xml:space="preserve"> Simultaneously calculates and releases standard costs across thousands of manufactured parts enterprise-wide, updating the material master record standard price (Field STPRS).</w:t>
      </w:r>
    </w:p>
    <w:p w14:paraId="5F4EE63C" w14:textId="77777777" w:rsidR="00AD2EC2" w:rsidRDefault="00AD2EC2" w:rsidP="00AD2EC2">
      <w:pPr>
        <w:widowControl/>
        <w:numPr>
          <w:ilvl w:val="0"/>
          <w:numId w:val="1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Cost Object Controlling (COC):</w:t>
      </w:r>
      <w:r>
        <w:rPr>
          <w:rFonts w:ascii="Calibri" w:eastAsia="Times New Roman" w:hAnsi="Calibri" w:cs="Calibri"/>
          <w:color w:val="222222"/>
          <w:lang w:val="en"/>
        </w:rPr>
        <w:t xml:space="preserve"> Monitors actual costs during manufacturing execution. As raw materials are issued to a production order and labor hours are confirmed, actual costs accumulate on the order. When completed goods are delivered to inventory, the order is credited at standard cost.</w:t>
      </w:r>
    </w:p>
    <w:p w14:paraId="70E377B1" w14:textId="77777777" w:rsidR="00AD2EC2" w:rsidRDefault="00AD2EC2" w:rsidP="00AD2EC2">
      <w:pPr>
        <w:widowControl/>
        <w:numPr>
          <w:ilvl w:val="0"/>
          <w:numId w:val="1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Actual Costing &amp; Material Ledger (ML):</w:t>
      </w:r>
      <w:r>
        <w:rPr>
          <w:rFonts w:ascii="Calibri" w:eastAsia="Times New Roman" w:hAnsi="Calibri" w:cs="Calibri"/>
          <w:color w:val="222222"/>
          <w:lang w:val="en"/>
        </w:rPr>
        <w:t xml:space="preserve"> Eliminates the historical compromise between standard costing and actual costing. ML tracks inventory movements at standard price throughout the month, but captures all purchase price variances and manufacturing variances. At month-end, it calculates the true </w:t>
      </w:r>
      <w:r>
        <w:rPr>
          <w:rFonts w:ascii="Calibri" w:eastAsia="Times New Roman" w:hAnsi="Calibri" w:cs="Calibri"/>
          <w:i/>
          <w:iCs/>
          <w:color w:val="222222"/>
          <w:lang w:val="en"/>
        </w:rPr>
        <w:t>Periodic Unit Price (PUP)</w:t>
      </w:r>
      <w:r>
        <w:rPr>
          <w:rFonts w:ascii="Calibri" w:eastAsia="Times New Roman" w:hAnsi="Calibri" w:cs="Calibri"/>
          <w:color w:val="222222"/>
          <w:lang w:val="en"/>
        </w:rPr>
        <w:t>, allowing enterprises to revalue closing inventory and Cost of Goods Sold (COGS) to actual costs across multi-level production tiers.</w:t>
      </w:r>
    </w:p>
    <w:p w14:paraId="6173B0B8"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4.5 Profitability Analysis (CO-PA)</w:t>
      </w:r>
    </w:p>
    <w:p w14:paraId="2E4F6095"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Profitability Analysis is the supreme executive reporting sub-module in SAP CO. It evaluates the financial contribution of specific market segments across multiple operational dimensions. </w:t>
      </w:r>
    </w:p>
    <w:p w14:paraId="3638F086" w14:textId="77777777" w:rsidR="00AD2EC2" w:rsidRDefault="00AD2EC2" w:rsidP="00AD2EC2">
      <w:pPr>
        <w:widowControl/>
        <w:numPr>
          <w:ilvl w:val="0"/>
          <w:numId w:val="1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Multidimensional Slicing:</w:t>
      </w:r>
      <w:r>
        <w:rPr>
          <w:rFonts w:ascii="Calibri" w:eastAsia="Times New Roman" w:hAnsi="Calibri" w:cs="Calibri"/>
          <w:color w:val="222222"/>
          <w:lang w:val="en"/>
        </w:rPr>
        <w:t xml:space="preserve"> CO-PA reports on combinations of </w:t>
      </w:r>
      <w:r>
        <w:rPr>
          <w:rFonts w:ascii="Calibri" w:eastAsia="Times New Roman" w:hAnsi="Calibri" w:cs="Calibri"/>
          <w:b/>
          <w:bCs/>
          <w:color w:val="222222"/>
          <w:lang w:val="en"/>
        </w:rPr>
        <w:t>Characteristics</w:t>
      </w:r>
      <w:r>
        <w:rPr>
          <w:rFonts w:ascii="Calibri" w:eastAsia="Times New Roman" w:hAnsi="Calibri" w:cs="Calibri"/>
          <w:color w:val="222222"/>
          <w:lang w:val="en"/>
        </w:rPr>
        <w:t xml:space="preserve"> (</w:t>
      </w:r>
      <w:r>
        <w:rPr>
          <w:rFonts w:ascii="Calibri" w:eastAsia="Times New Roman" w:hAnsi="Calibri" w:cs="Calibri"/>
          <w:i/>
          <w:iCs/>
          <w:color w:val="222222"/>
          <w:lang w:val="en"/>
        </w:rPr>
        <w:t>Who, Where, What:</w:t>
      </w:r>
      <w:r>
        <w:rPr>
          <w:rFonts w:ascii="Calibri" w:eastAsia="Times New Roman" w:hAnsi="Calibri" w:cs="Calibri"/>
          <w:color w:val="222222"/>
          <w:lang w:val="en"/>
        </w:rPr>
        <w:t xml:space="preserve"> Customer, Customer Group, Product, Product Line, Sales Organization, Distribution Channel, Sales Territory) against </w:t>
      </w:r>
      <w:r>
        <w:rPr>
          <w:rFonts w:ascii="Calibri" w:eastAsia="Times New Roman" w:hAnsi="Calibri" w:cs="Calibri"/>
          <w:b/>
          <w:bCs/>
          <w:color w:val="222222"/>
          <w:lang w:val="en"/>
        </w:rPr>
        <w:t>Value Fields / Key Figures</w:t>
      </w:r>
      <w:r>
        <w:rPr>
          <w:rFonts w:ascii="Calibri" w:eastAsia="Times New Roman" w:hAnsi="Calibri" w:cs="Calibri"/>
          <w:color w:val="222222"/>
          <w:lang w:val="en"/>
        </w:rPr>
        <w:t xml:space="preserve"> (Gross Sales, Volume Rebates, Cash Discounts, Standard COGS, Freight Charges, Manufacturing Variances, Net Contribution Margin).</w:t>
      </w:r>
    </w:p>
    <w:p w14:paraId="41700797" w14:textId="77777777" w:rsidR="00AD2EC2" w:rsidRDefault="00AD2EC2" w:rsidP="00AD2EC2">
      <w:pPr>
        <w:widowControl/>
        <w:numPr>
          <w:ilvl w:val="0"/>
          <w:numId w:val="1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Costing-Based CO-PA vs. Account-Based CO-PA:</w:t>
      </w:r>
      <w:r>
        <w:rPr>
          <w:rFonts w:ascii="Calibri" w:eastAsia="Times New Roman" w:hAnsi="Calibri" w:cs="Calibri"/>
          <w:color w:val="222222"/>
          <w:lang w:val="en"/>
        </w:rPr>
        <w:t xml:space="preserve"> </w:t>
      </w:r>
    </w:p>
    <w:p w14:paraId="01E00D91" w14:textId="77777777" w:rsidR="00AD2EC2" w:rsidRDefault="00AD2EC2" w:rsidP="00AD2EC2">
      <w:pPr>
        <w:widowControl/>
        <w:numPr>
          <w:ilvl w:val="1"/>
          <w:numId w:val="14"/>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Costing-Based CO-PA:</w:t>
      </w:r>
      <w:r>
        <w:rPr>
          <w:rFonts w:ascii="Calibri" w:eastAsia="Times New Roman" w:hAnsi="Calibri" w:cs="Calibri"/>
          <w:color w:val="222222"/>
          <w:lang w:val="en"/>
        </w:rPr>
        <w:t xml:space="preserve"> Organizes values into customized Value Fields. It historically provided richer margin breakdown but required complex reconciliation back to FI General Ledger accounts.</w:t>
      </w:r>
    </w:p>
    <w:p w14:paraId="0B7521C3" w14:textId="77777777" w:rsidR="00AD2EC2" w:rsidRDefault="00AD2EC2" w:rsidP="00AD2EC2">
      <w:pPr>
        <w:widowControl/>
        <w:numPr>
          <w:ilvl w:val="1"/>
          <w:numId w:val="14"/>
        </w:numPr>
        <w:spacing w:before="100" w:beforeAutospacing="1" w:after="75"/>
        <w:rPr>
          <w:rFonts w:ascii="Calibri" w:eastAsia="Times New Roman" w:hAnsi="Calibri" w:cs="Calibri"/>
          <w:color w:val="222222"/>
          <w:lang w:val="en"/>
        </w:rPr>
      </w:pPr>
      <w:r>
        <w:rPr>
          <w:rFonts w:ascii="Calibri" w:eastAsia="Times New Roman" w:hAnsi="Calibri" w:cs="Calibri"/>
          <w:i/>
          <w:iCs/>
          <w:color w:val="222222"/>
          <w:lang w:val="en"/>
        </w:rPr>
        <w:t>Account-Based CO-PA (Margin Analysis in S/4HANA):</w:t>
      </w:r>
      <w:r>
        <w:rPr>
          <w:rFonts w:ascii="Calibri" w:eastAsia="Times New Roman" w:hAnsi="Calibri" w:cs="Calibri"/>
          <w:color w:val="222222"/>
          <w:lang w:val="en"/>
        </w:rPr>
        <w:t xml:space="preserve"> Organizes data strictly by G/L accounts and is fully integrated into the Universal Journal (ACDOCA). In S/4HANA, Margin Analysis has superseded Costing-Based CO-PA, delivering line-item margin granularity perfectly reconciled with the financial income statement in real time.</w:t>
      </w:r>
    </w:p>
    <w:p w14:paraId="279CDE28" w14:textId="77777777" w:rsidR="00AD2EC2" w:rsidRDefault="00AD2EC2" w:rsidP="00AD2EC2">
      <w:pPr>
        <w:widowControl/>
        <w:numPr>
          <w:ilvl w:val="0"/>
          <w:numId w:val="1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Multi-Tier Contribution Margin Accounting:</w:t>
      </w:r>
      <w:r>
        <w:rPr>
          <w:rFonts w:ascii="Calibri" w:eastAsia="Times New Roman" w:hAnsi="Calibri" w:cs="Calibri"/>
          <w:color w:val="222222"/>
          <w:lang w:val="en"/>
        </w:rPr>
        <w:t xml:space="preserve"> Enables C-suite executives to analyze Contribution Margin I (Gross margin over direct material/labor), Contribution Margin II (less variable distribution costs), down through Contribution Margin V (operating margin after allocated administrative overhead).</w:t>
      </w:r>
    </w:p>
    <w:p w14:paraId="4803645C"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4.6 Profit Center Accounting (CO-PCA)</w:t>
      </w:r>
    </w:p>
    <w:p w14:paraId="452E0516"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Profit Center Accounting reflects an internal management structure for strategic business units. Unlike cost centers, which strictly monitor expenditures, profit centers track both assigned revenues and allocated costs, enabling the generation of departmental P&amp;L statements and calculation of key financial metrics such as Return on Investment (ROI) and Economic Value Added (EVA). </w:t>
      </w:r>
    </w:p>
    <w:p w14:paraId="1185EF1E"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5. Cross-Module Integration: The Central Engine of SAP</w:t>
      </w:r>
    </w:p>
    <w:p w14:paraId="5A33085F"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The definitive competitive differentiator of SAP FICO is that it does not operate in isolation. It functions as the central clearinghouse for enterprise operational events occurring in logistics, manufacturing, human resources, and project management. </w:t>
      </w:r>
    </w:p>
    <w:p w14:paraId="72D5005F"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5.1 Integration with Materials Management (SAP MM / Procure-to-Pay)</w:t>
      </w:r>
    </w:p>
    <w:p w14:paraId="707C30DF"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The procurement lifecycle represents one of the tightest integration loops in SAP. The bridge connecting MM to FI is configured via </w:t>
      </w:r>
      <w:r>
        <w:rPr>
          <w:rFonts w:ascii="Calibri" w:hAnsi="Calibri" w:cs="Calibri"/>
          <w:b/>
          <w:bCs/>
          <w:color w:val="222222"/>
          <w:sz w:val="22"/>
          <w:szCs w:val="22"/>
          <w:lang w:val="en"/>
        </w:rPr>
        <w:t>Automatic Account Determination (Transaction OBYC)</w:t>
      </w:r>
      <w:r>
        <w:rPr>
          <w:rFonts w:ascii="Calibri" w:hAnsi="Calibri" w:cs="Calibri"/>
          <w:color w:val="222222"/>
          <w:sz w:val="22"/>
          <w:szCs w:val="22"/>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336"/>
        <w:gridCol w:w="3270"/>
        <w:gridCol w:w="3738"/>
      </w:tblGrid>
      <w:tr w:rsidR="00AD2EC2" w14:paraId="66DD4EE4" w14:textId="77777777" w:rsidTr="00A60BC9">
        <w:tc>
          <w:tcPr>
            <w:tcW w:w="12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676BDEA9"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Transaction Key (OBYC)</w:t>
            </w:r>
          </w:p>
        </w:tc>
        <w:tc>
          <w:tcPr>
            <w:tcW w:w="17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3049D8C8"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Business Event / Description</w:t>
            </w:r>
          </w:p>
        </w:tc>
        <w:tc>
          <w:tcPr>
            <w:tcW w:w="200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1C0E2CE7"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Standard Accounting Posting</w:t>
            </w:r>
          </w:p>
        </w:tc>
      </w:tr>
      <w:tr w:rsidR="00AD2EC2" w14:paraId="00D4F48A"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3286AC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BSX (Inventory Posting)</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09527FD"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Valuated goods movements updating warehouse balance-sheet stock accounts.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52BEAA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Debit: Inventory (Balance Sheet)</w:t>
            </w:r>
            <w:r>
              <w:rPr>
                <w:rFonts w:ascii="Calibri" w:eastAsia="Times New Roman" w:hAnsi="Calibri" w:cs="Calibri"/>
                <w:color w:val="222222"/>
                <w:sz w:val="20"/>
                <w:szCs w:val="20"/>
              </w:rPr>
              <w:br/>
              <w:t>Credit: Offsetting Account</w:t>
            </w:r>
          </w:p>
        </w:tc>
      </w:tr>
      <w:tr w:rsidR="00AD2EC2" w14:paraId="649DAB14"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4B601A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WRX (GR/IR Clearing)</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569AA3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Goods Receipt / Invoice Receipt clearing account; acts as an interim liability clearing account.</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1B33FA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Credit at GR; Debited at IR. Clears to zero when invoice matches delivery.</w:t>
            </w:r>
          </w:p>
        </w:tc>
      </w:tr>
      <w:tr w:rsidR="00AD2EC2" w14:paraId="2F37F78A"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FB90E10"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PRD (Price Differences)</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95D2F9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Absorbs differences between invoice purchase price and standard material valuation price.</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6F77B0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Debit/Credit: Purchase Price Variance (P&amp;L)</w:t>
            </w:r>
          </w:p>
        </w:tc>
      </w:tr>
      <w:tr w:rsidR="00AD2EC2" w14:paraId="021DC718"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12038DC"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GBB (Offsetting Entry)</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C320D9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Handles inventory movements not linked to purchase orders (e.g., consumption to cost center, scrap, initial stock upload).</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740202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Debit: Consumption Expense (P&amp;L)</w:t>
            </w:r>
            <w:r>
              <w:rPr>
                <w:rFonts w:ascii="Calibri" w:eastAsia="Times New Roman" w:hAnsi="Calibri" w:cs="Calibri"/>
                <w:color w:val="222222"/>
                <w:sz w:val="20"/>
                <w:szCs w:val="20"/>
              </w:rPr>
              <w:br/>
              <w:t>Credit: Inventory (BSX)</w:t>
            </w:r>
          </w:p>
        </w:tc>
      </w:tr>
    </w:tbl>
    <w:p w14:paraId="4B6B982B" w14:textId="77777777" w:rsidR="00AD2EC2" w:rsidRDefault="00AD2EC2">
      <w:pPr>
        <w:pStyle w:val="Heading3"/>
        <w:rPr>
          <w:rFonts w:ascii="Calibri" w:eastAsia="Times New Roman" w:hAnsi="Calibri" w:cs="Calibri"/>
          <w:lang w:val="en"/>
        </w:rPr>
      </w:pPr>
      <w:r>
        <w:rPr>
          <w:rFonts w:ascii="Calibri" w:eastAsia="Times New Roman" w:hAnsi="Calibri" w:cs="Calibri"/>
          <w:lang w:val="en"/>
        </w:rPr>
        <w:t>Detailed Step-by-Step Accounting Entries in Procure-to-Pay (P2P):</w:t>
      </w:r>
    </w:p>
    <w:p w14:paraId="79B98927" w14:textId="77777777" w:rsidR="00AD2EC2" w:rsidRDefault="00AD2EC2" w:rsidP="00AD2EC2">
      <w:pPr>
        <w:widowControl/>
        <w:numPr>
          <w:ilvl w:val="0"/>
          <w:numId w:val="1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Purchase Order Creation (ME21N):</w:t>
      </w:r>
      <w:r>
        <w:rPr>
          <w:rFonts w:ascii="Calibri" w:eastAsia="Times New Roman" w:hAnsi="Calibri" w:cs="Calibri"/>
          <w:color w:val="222222"/>
          <w:lang w:val="en"/>
        </w:rPr>
        <w:t xml:space="preserve"> </w:t>
      </w:r>
    </w:p>
    <w:p w14:paraId="5DCFA4B6"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 xml:space="preserve">No accounting document is generated in FI. If the purchase order is assigned to an account assignment category (e.g., Cost Center 'K' or Project 'P'), an internal </w:t>
      </w:r>
      <w:r>
        <w:rPr>
          <w:rFonts w:ascii="Calibri" w:hAnsi="Calibri" w:cs="Calibri"/>
          <w:i/>
          <w:iCs/>
          <w:color w:val="222222"/>
          <w:sz w:val="22"/>
          <w:szCs w:val="22"/>
          <w:lang w:val="en"/>
        </w:rPr>
        <w:t>Commitment</w:t>
      </w:r>
      <w:r>
        <w:rPr>
          <w:rFonts w:ascii="Calibri" w:hAnsi="Calibri" w:cs="Calibri"/>
          <w:color w:val="222222"/>
          <w:sz w:val="22"/>
          <w:szCs w:val="22"/>
          <w:lang w:val="en"/>
        </w:rPr>
        <w:t xml:space="preserve"> is recorded in Controlling to reserve available budget.</w:t>
      </w:r>
    </w:p>
    <w:p w14:paraId="01EECA97" w14:textId="77777777" w:rsidR="00AD2EC2" w:rsidRDefault="00AD2EC2" w:rsidP="00AD2EC2">
      <w:pPr>
        <w:widowControl/>
        <w:numPr>
          <w:ilvl w:val="0"/>
          <w:numId w:val="1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Goods Receipt Posting (MIGO - Movement Type 101):</w:t>
      </w:r>
      <w:r>
        <w:rPr>
          <w:rFonts w:ascii="Calibri" w:eastAsia="Times New Roman" w:hAnsi="Calibri" w:cs="Calibri"/>
          <w:color w:val="222222"/>
          <w:lang w:val="en"/>
        </w:rPr>
        <w:t xml:space="preserve"> </w:t>
      </w:r>
    </w:p>
    <w:p w14:paraId="40DEA89F"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Upon physical warehouse receipt and verification, SAP creates an MM Material Document and simultaneously posts an FI Accounting Document:</w:t>
      </w:r>
    </w:p>
    <w:p w14:paraId="38F7A438" w14:textId="77777777" w:rsidR="00AD2EC2" w:rsidRDefault="00AD2EC2">
      <w:pPr>
        <w:shd w:val="clear" w:color="auto" w:fill="F1F5F9"/>
        <w:spacing w:beforeAutospacing="1"/>
        <w:ind w:left="720"/>
        <w:jc w:val="center"/>
        <w:divId w:val="665938814"/>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Goods Receipt Accounting Entry ] Debit: Raw Material Inventory (BSX) ,000 Credit: Goods Receipt / Invoice Receipt (WRX) ,000 </w:t>
      </w:r>
    </w:p>
    <w:p w14:paraId="0F63DBA1" w14:textId="77777777" w:rsidR="00AD2EC2" w:rsidRDefault="00AD2EC2">
      <w:pPr>
        <w:pStyle w:val="NormalWeb"/>
        <w:ind w:left="720"/>
        <w:rPr>
          <w:rFonts w:ascii="Calibri" w:hAnsi="Calibri" w:cs="Calibri"/>
          <w:color w:val="222222"/>
          <w:sz w:val="22"/>
          <w:szCs w:val="22"/>
          <w:lang w:val="en"/>
        </w:rPr>
      </w:pPr>
      <w:r>
        <w:rPr>
          <w:rFonts w:ascii="Calibri" w:hAnsi="Calibri" w:cs="Calibri"/>
          <w:i/>
          <w:iCs/>
          <w:color w:val="222222"/>
          <w:sz w:val="22"/>
          <w:szCs w:val="22"/>
          <w:lang w:val="en"/>
        </w:rPr>
        <w:t>Architectural Note:</w:t>
      </w:r>
      <w:r>
        <w:rPr>
          <w:rFonts w:ascii="Calibri" w:hAnsi="Calibri" w:cs="Calibri"/>
          <w:color w:val="222222"/>
          <w:sz w:val="22"/>
          <w:szCs w:val="22"/>
          <w:lang w:val="en"/>
        </w:rPr>
        <w:t xml:space="preserve"> The GR/IR clearing account represents a provisional liability reflecting goods received for which no vendor bill has yet arrived.</w:t>
      </w:r>
    </w:p>
    <w:p w14:paraId="04ED5674" w14:textId="77777777" w:rsidR="00AD2EC2" w:rsidRDefault="00AD2EC2" w:rsidP="00AD2EC2">
      <w:pPr>
        <w:widowControl/>
        <w:numPr>
          <w:ilvl w:val="0"/>
          <w:numId w:val="1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Invoice Receipt Verification (MIRO):</w:t>
      </w:r>
      <w:r>
        <w:rPr>
          <w:rFonts w:ascii="Calibri" w:eastAsia="Times New Roman" w:hAnsi="Calibri" w:cs="Calibri"/>
          <w:color w:val="222222"/>
          <w:lang w:val="en"/>
        </w:rPr>
        <w:t xml:space="preserve"> </w:t>
      </w:r>
    </w:p>
    <w:p w14:paraId="201A6501"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When the vendor's invoice arrives, accounts payable enters it via MIRO. The system automatically reconciles invoice lines against the prior GR document:</w:t>
      </w:r>
    </w:p>
    <w:p w14:paraId="2FA18811" w14:textId="77777777" w:rsidR="00AD2EC2" w:rsidRDefault="00AD2EC2">
      <w:pPr>
        <w:shd w:val="clear" w:color="auto" w:fill="F1F5F9"/>
        <w:spacing w:beforeAutospacing="1"/>
        <w:ind w:left="720"/>
        <w:jc w:val="center"/>
        <w:divId w:val="1520242401"/>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Invoice Receipt Accounting Entry (Matching Scenario) ] Debit: Goods Receipt / Invoice Receipt (WRX) ,000 Credit: Vendor Sub-ledger / Reconciliation Account ,000 [ Scenario with Price Variance (Invoice billed at ,500 for Standard Costed item) ] Debit: Goods Receipt / Invoice Receipt (WRX) ,000 Debit: Purchase Price Variance Expense (PRD) Credit: Vendor Sub-ledger / Reconciliation Account ,500 </w:t>
      </w:r>
    </w:p>
    <w:p w14:paraId="62EDD090" w14:textId="77777777" w:rsidR="00AD2EC2" w:rsidRDefault="00AD2EC2" w:rsidP="00AD2EC2">
      <w:pPr>
        <w:widowControl/>
        <w:numPr>
          <w:ilvl w:val="0"/>
          <w:numId w:val="1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Outgoing Payment Execution (F110):</w:t>
      </w:r>
      <w:r>
        <w:rPr>
          <w:rFonts w:ascii="Calibri" w:eastAsia="Times New Roman" w:hAnsi="Calibri" w:cs="Calibri"/>
          <w:color w:val="222222"/>
          <w:lang w:val="en"/>
        </w:rPr>
        <w:t xml:space="preserve"> </w:t>
      </w:r>
    </w:p>
    <w:p w14:paraId="5866FCBA" w14:textId="77777777" w:rsidR="00AD2EC2" w:rsidRDefault="00AD2EC2">
      <w:pPr>
        <w:shd w:val="clear" w:color="auto" w:fill="F1F5F9"/>
        <w:spacing w:before="100" w:beforeAutospacing="1" w:after="75"/>
        <w:ind w:left="720"/>
        <w:jc w:val="center"/>
        <w:divId w:val="1212230571"/>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Payment Run Accounting Entry ] Debit: Vendor Sub-ledger / Reconciliation Account ,500 Credit: Bank Outgoing Clearing Account ,500 </w:t>
      </w:r>
    </w:p>
    <w:p w14:paraId="01FA524D"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5.2 Integration with Sales &amp; Distribution (SAP SD / Order-to-Cash)</w:t>
      </w:r>
    </w:p>
    <w:p w14:paraId="7B340892"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The Order-to-Cash (O2C) cycle transitions customer demand into realized revenue. The integration link governing financial postings is </w:t>
      </w:r>
      <w:r>
        <w:rPr>
          <w:rFonts w:ascii="Calibri" w:hAnsi="Calibri" w:cs="Calibri"/>
          <w:b/>
          <w:bCs/>
          <w:color w:val="222222"/>
          <w:sz w:val="22"/>
          <w:szCs w:val="22"/>
          <w:lang w:val="en"/>
        </w:rPr>
        <w:t>Revenue Account Determination (Transaction VKOA)</w:t>
      </w:r>
      <w:r>
        <w:rPr>
          <w:rFonts w:ascii="Calibri" w:hAnsi="Calibri" w:cs="Calibri"/>
          <w:color w:val="222222"/>
          <w:sz w:val="22"/>
          <w:szCs w:val="22"/>
          <w:lang w:val="en"/>
        </w:rPr>
        <w:t xml:space="preserve">. </w:t>
      </w:r>
    </w:p>
    <w:p w14:paraId="1639B684"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VKOA uses the SAP </w:t>
      </w:r>
      <w:r>
        <w:rPr>
          <w:rFonts w:ascii="Calibri" w:hAnsi="Calibri" w:cs="Calibri"/>
          <w:i/>
          <w:iCs/>
          <w:color w:val="222222"/>
          <w:sz w:val="22"/>
          <w:szCs w:val="22"/>
          <w:lang w:val="en"/>
        </w:rPr>
        <w:t>Condition Technique</w:t>
      </w:r>
      <w:r>
        <w:rPr>
          <w:rFonts w:ascii="Calibri" w:hAnsi="Calibri" w:cs="Calibri"/>
          <w:color w:val="222222"/>
          <w:sz w:val="22"/>
          <w:szCs w:val="22"/>
          <w:lang w:val="en"/>
        </w:rPr>
        <w:t xml:space="preserve"> to dynamically determine G/L accounts based on five hierarchy keys: Application (V), Condition Type (KOFI/KOFN), Chart of Accounts, Sales Organization, Customer Account Assignment Group, Material Account Assignment Group, and Account Key (ERL for Gross Revenue, ERS for Sales Discounts, MWS for Sales Taxes). </w:t>
      </w:r>
    </w:p>
    <w:p w14:paraId="3F1B9888" w14:textId="77777777" w:rsidR="00AD2EC2" w:rsidRDefault="00AD2EC2">
      <w:pPr>
        <w:pStyle w:val="Heading3"/>
        <w:rPr>
          <w:rFonts w:ascii="Calibri" w:eastAsia="Times New Roman" w:hAnsi="Calibri" w:cs="Calibri"/>
          <w:lang w:val="en"/>
        </w:rPr>
      </w:pPr>
      <w:r>
        <w:rPr>
          <w:rFonts w:ascii="Calibri" w:eastAsia="Times New Roman" w:hAnsi="Calibri" w:cs="Calibri"/>
          <w:lang w:val="en"/>
        </w:rPr>
        <w:t>Detailed Step-by-Step Accounting Entries in Order-to-Cash (O2C):</w:t>
      </w:r>
    </w:p>
    <w:p w14:paraId="20B76430" w14:textId="77777777" w:rsidR="00AD2EC2" w:rsidRDefault="00AD2EC2" w:rsidP="00AD2EC2">
      <w:pPr>
        <w:widowControl/>
        <w:numPr>
          <w:ilvl w:val="0"/>
          <w:numId w:val="1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Sales Order Creation (VA01):</w:t>
      </w:r>
      <w:r>
        <w:rPr>
          <w:rFonts w:ascii="Calibri" w:eastAsia="Times New Roman" w:hAnsi="Calibri" w:cs="Calibri"/>
          <w:color w:val="222222"/>
          <w:lang w:val="en"/>
        </w:rPr>
        <w:t xml:space="preserve"> </w:t>
      </w:r>
    </w:p>
    <w:p w14:paraId="368B438E"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 xml:space="preserve">No financial accounting document is generated. However, SAP executes an immediate </w:t>
      </w:r>
      <w:r>
        <w:rPr>
          <w:rFonts w:ascii="Calibri" w:hAnsi="Calibri" w:cs="Calibri"/>
          <w:i/>
          <w:iCs/>
          <w:color w:val="222222"/>
          <w:sz w:val="22"/>
          <w:szCs w:val="22"/>
          <w:lang w:val="en"/>
        </w:rPr>
        <w:t>Automated Credit Check</w:t>
      </w:r>
      <w:r>
        <w:rPr>
          <w:rFonts w:ascii="Calibri" w:hAnsi="Calibri" w:cs="Calibri"/>
          <w:color w:val="222222"/>
          <w:sz w:val="22"/>
          <w:szCs w:val="22"/>
          <w:lang w:val="en"/>
        </w:rPr>
        <w:t xml:space="preserve"> against the customer's credit limit defined in FI-AR / FSCM. If the order causes the customer's total exposure to exceed their credit threshold, the sales order is automatically blocked from shipping.</w:t>
      </w:r>
    </w:p>
    <w:p w14:paraId="17AB6851" w14:textId="77777777" w:rsidR="00AD2EC2" w:rsidRDefault="00AD2EC2" w:rsidP="00AD2EC2">
      <w:pPr>
        <w:widowControl/>
        <w:numPr>
          <w:ilvl w:val="0"/>
          <w:numId w:val="1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Outbound Delivery &amp; Post Goods Issue (PGI - VL02N / Movement Type 601):</w:t>
      </w:r>
      <w:r>
        <w:rPr>
          <w:rFonts w:ascii="Calibri" w:eastAsia="Times New Roman" w:hAnsi="Calibri" w:cs="Calibri"/>
          <w:color w:val="222222"/>
          <w:lang w:val="en"/>
        </w:rPr>
        <w:t xml:space="preserve"> </w:t>
      </w:r>
    </w:p>
    <w:p w14:paraId="25CDBB14"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When goods physically leave the warehouse, the inventory valuation drops, triggering an instantaneous FI accounting document:</w:t>
      </w:r>
    </w:p>
    <w:p w14:paraId="608EA4F6" w14:textId="77777777" w:rsidR="00AD2EC2" w:rsidRDefault="00AD2EC2">
      <w:pPr>
        <w:shd w:val="clear" w:color="auto" w:fill="F1F5F9"/>
        <w:spacing w:beforeAutospacing="1"/>
        <w:ind w:left="720"/>
        <w:jc w:val="center"/>
        <w:divId w:val="1688559957"/>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Post Goods Issue (PGI) Accounting Entry ] Debit: Cost of Goods Sold (COGS Expense - P&amp;L) ,000 Credit: Finished Goods Inventory (BSX - Balance Sheet) ,000 </w:t>
      </w:r>
    </w:p>
    <w:p w14:paraId="5B5B6222" w14:textId="77777777" w:rsidR="00AD2EC2" w:rsidRDefault="00AD2EC2" w:rsidP="00AD2EC2">
      <w:pPr>
        <w:widowControl/>
        <w:numPr>
          <w:ilvl w:val="0"/>
          <w:numId w:val="1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Billing Document Generation (VF01):</w:t>
      </w:r>
      <w:r>
        <w:rPr>
          <w:rFonts w:ascii="Calibri" w:eastAsia="Times New Roman" w:hAnsi="Calibri" w:cs="Calibri"/>
          <w:color w:val="222222"/>
          <w:lang w:val="en"/>
        </w:rPr>
        <w:t xml:space="preserve"> </w:t>
      </w:r>
    </w:p>
    <w:p w14:paraId="5BD09A5A"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Generating the customer invoice triggers the creation of the commercial billing document and an integrated FI receivable posting, while simultaneously transmitting data into CO-PA:</w:t>
      </w:r>
    </w:p>
    <w:p w14:paraId="6CBE4D07" w14:textId="77777777" w:rsidR="00AD2EC2" w:rsidRDefault="00AD2EC2">
      <w:pPr>
        <w:shd w:val="clear" w:color="auto" w:fill="F1F5F9"/>
        <w:spacing w:beforeAutospacing="1"/>
        <w:ind w:left="720"/>
        <w:jc w:val="center"/>
        <w:divId w:val="342051915"/>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SD Customer Invoice Accounting Entry ] Debit: Customer Sub-ledger / AR Reconciliation ,500 Credit: Domestic Product Revenue (Account Key ERL) ,000 Credit: Output Sales Tax Payable (Account Key MWS) ,500 [ Simultaneous Real-Time Update in Profitability Analysis (CO-PA) ] Customer: 104492 | Product: Widget-A | Region: North America Gross Revenue: ,000 | COGS: ,000 | Gross Margin: ,000 (40%) </w:t>
      </w:r>
    </w:p>
    <w:p w14:paraId="5B9DF9AE" w14:textId="77777777" w:rsidR="00AD2EC2" w:rsidRDefault="00AD2EC2" w:rsidP="00AD2EC2">
      <w:pPr>
        <w:widowControl/>
        <w:numPr>
          <w:ilvl w:val="0"/>
          <w:numId w:val="16"/>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Incoming Customer Payment (F-28 / Electronic Bank Statement):</w:t>
      </w:r>
      <w:r>
        <w:rPr>
          <w:rFonts w:ascii="Calibri" w:eastAsia="Times New Roman" w:hAnsi="Calibri" w:cs="Calibri"/>
          <w:color w:val="222222"/>
          <w:lang w:val="en"/>
        </w:rPr>
        <w:t xml:space="preserve"> </w:t>
      </w:r>
    </w:p>
    <w:p w14:paraId="56807707" w14:textId="77777777" w:rsidR="00AD2EC2" w:rsidRDefault="00AD2EC2">
      <w:pPr>
        <w:shd w:val="clear" w:color="auto" w:fill="F1F5F9"/>
        <w:spacing w:before="100" w:beforeAutospacing="1" w:after="75"/>
        <w:ind w:left="720"/>
        <w:jc w:val="center"/>
        <w:divId w:val="2017993396"/>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 Cash Receipt Accounting Entry ] Debit: Bank Incoming Clearing Account ,500 Credit: Customer Sub-ledger / AR Reconciliation ,500 </w:t>
      </w:r>
    </w:p>
    <w:p w14:paraId="19633A30"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5.3 Integration with Production Planning (SAP PP / Plan-to-Produce)</w:t>
      </w:r>
    </w:p>
    <w:p w14:paraId="0EBBF378"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Production Planning intersects directly with Product Cost Controlling (CO-PC). As manufacturing orders advance through their shop-floor lifecycle, they trigger continuous financial postings: </w:t>
      </w:r>
    </w:p>
    <w:p w14:paraId="5B7806A1" w14:textId="77777777" w:rsidR="00AD2EC2" w:rsidRDefault="00AD2EC2" w:rsidP="00AD2EC2">
      <w:pPr>
        <w:widowControl/>
        <w:numPr>
          <w:ilvl w:val="0"/>
          <w:numId w:val="1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Goods Issue of Raw Materials to Order (MIGO - Movement Type 261):</w:t>
      </w:r>
      <w:r>
        <w:rPr>
          <w:rFonts w:ascii="Calibri" w:eastAsia="Times New Roman" w:hAnsi="Calibri" w:cs="Calibri"/>
          <w:color w:val="222222"/>
          <w:lang w:val="en"/>
        </w:rPr>
        <w:t xml:space="preserve"> </w:t>
      </w:r>
    </w:p>
    <w:p w14:paraId="26A325A2"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Relieves raw material inventory and charges actual material consumption costs to the production order:</w:t>
      </w:r>
    </w:p>
    <w:p w14:paraId="5BE774D8" w14:textId="77777777" w:rsidR="00AD2EC2" w:rsidRDefault="00AD2EC2">
      <w:pPr>
        <w:shd w:val="clear" w:color="auto" w:fill="F1F5F9"/>
        <w:spacing w:beforeAutospacing="1"/>
        <w:ind w:left="720"/>
        <w:jc w:val="center"/>
        <w:divId w:val="349452425"/>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Debit: Raw Material Consumption Expense (Primary Cost Element) ,000 Credit: Raw Material Inventory (BSX) ,000 Cost Assigned: Production Order #1000452 </w:t>
      </w:r>
    </w:p>
    <w:p w14:paraId="597A56C3" w14:textId="77777777" w:rsidR="00AD2EC2" w:rsidRDefault="00AD2EC2" w:rsidP="00AD2EC2">
      <w:pPr>
        <w:widowControl/>
        <w:numPr>
          <w:ilvl w:val="0"/>
          <w:numId w:val="1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Activity Confirmation (CO11N):</w:t>
      </w:r>
      <w:r>
        <w:rPr>
          <w:rFonts w:ascii="Calibri" w:eastAsia="Times New Roman" w:hAnsi="Calibri" w:cs="Calibri"/>
          <w:color w:val="222222"/>
          <w:lang w:val="en"/>
        </w:rPr>
        <w:t xml:space="preserve"> </w:t>
      </w:r>
    </w:p>
    <w:p w14:paraId="455F5DF1"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Shop-floor operators record machine hours and labor hours expended. The system charges the production order and credits the manufacturing cost center using the planned activity rate:</w:t>
      </w:r>
    </w:p>
    <w:p w14:paraId="76A3BDFD" w14:textId="77777777" w:rsidR="00AD2EC2" w:rsidRDefault="00AD2EC2">
      <w:pPr>
        <w:shd w:val="clear" w:color="auto" w:fill="F1F5F9"/>
        <w:spacing w:beforeAutospacing="1"/>
        <w:ind w:left="720"/>
        <w:jc w:val="center"/>
        <w:divId w:val="1731924821"/>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Debit: Production Order #1000452 (Internal Activity Allocation) ,500 Credit: Manufacturing Cost Center #CC-PLANT1 (Activity Recovery) ,500 Secondary Cost Element: Category 43 (Internal Activity Allocation) </w:t>
      </w:r>
    </w:p>
    <w:p w14:paraId="02BC9224" w14:textId="77777777" w:rsidR="00AD2EC2" w:rsidRDefault="00AD2EC2" w:rsidP="00AD2EC2">
      <w:pPr>
        <w:widowControl/>
        <w:numPr>
          <w:ilvl w:val="0"/>
          <w:numId w:val="1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Goods Receipt of Finished Goods (MIGO - Movement Type 101):</w:t>
      </w:r>
      <w:r>
        <w:rPr>
          <w:rFonts w:ascii="Calibri" w:eastAsia="Times New Roman" w:hAnsi="Calibri" w:cs="Calibri"/>
          <w:color w:val="222222"/>
          <w:lang w:val="en"/>
        </w:rPr>
        <w:t xml:space="preserve"> </w:t>
      </w:r>
    </w:p>
    <w:p w14:paraId="173F330A"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Finished goods are received into stock. Inventory is valued at the active standard cost estimate, and the production order is credited:</w:t>
      </w:r>
    </w:p>
    <w:p w14:paraId="6E95D6CE" w14:textId="77777777" w:rsidR="00AD2EC2" w:rsidRDefault="00AD2EC2">
      <w:pPr>
        <w:shd w:val="clear" w:color="auto" w:fill="F1F5F9"/>
        <w:spacing w:beforeAutospacing="1"/>
        <w:ind w:left="720"/>
        <w:jc w:val="center"/>
        <w:divId w:val="609628793"/>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Debit: Finished Goods Inventory (BSX) ,200 Credit: Factory Output / Production Offset Account (P&amp;L) ,200 </w:t>
      </w:r>
    </w:p>
    <w:p w14:paraId="055E9B52" w14:textId="77777777" w:rsidR="00AD2EC2" w:rsidRDefault="00AD2EC2" w:rsidP="00AD2EC2">
      <w:pPr>
        <w:widowControl/>
        <w:numPr>
          <w:ilvl w:val="0"/>
          <w:numId w:val="17"/>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Period-End Production Order Settlement (Transaction KO88 / CO88):</w:t>
      </w:r>
      <w:r>
        <w:rPr>
          <w:rFonts w:ascii="Calibri" w:eastAsia="Times New Roman" w:hAnsi="Calibri" w:cs="Calibri"/>
          <w:color w:val="222222"/>
          <w:lang w:val="en"/>
        </w:rPr>
        <w:t xml:space="preserve"> </w:t>
      </w:r>
    </w:p>
    <w:p w14:paraId="19793D48"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Any accumulated balance between actual debits (raw materials + labor activities = ,500) and credited standard goods receipts (,200) represents a production variance ( unfavourable). Settlement clears the production order balance to zero and records the variance in FI and CO-PA:</w:t>
      </w:r>
    </w:p>
    <w:p w14:paraId="5B30B83D" w14:textId="77777777" w:rsidR="00AD2EC2" w:rsidRDefault="00AD2EC2">
      <w:pPr>
        <w:shd w:val="clear" w:color="auto" w:fill="F1F5F9"/>
        <w:spacing w:beforeAutospacing="1"/>
        <w:ind w:left="720"/>
        <w:jc w:val="center"/>
        <w:divId w:val="1561593649"/>
        <w:rPr>
          <w:rFonts w:ascii="Consolas" w:eastAsia="Times New Roman" w:hAnsi="Consolas" w:cs="Calibri"/>
          <w:color w:val="222222"/>
          <w:sz w:val="19"/>
          <w:szCs w:val="19"/>
          <w:lang w:val="en"/>
        </w:rPr>
      </w:pPr>
      <w:r>
        <w:rPr>
          <w:rFonts w:ascii="Consolas" w:eastAsia="Times New Roman" w:hAnsi="Consolas" w:cs="Calibri"/>
          <w:color w:val="222222"/>
          <w:sz w:val="19"/>
          <w:szCs w:val="19"/>
          <w:lang w:val="en"/>
        </w:rPr>
        <w:t xml:space="preserve">Debit: Production Variance Expense (P&amp;L) Credit: Factory Output / Order Settlement Account Variance Transferred to CO-PA: Price, Quantity, and Resource Variances </w:t>
      </w:r>
    </w:p>
    <w:p w14:paraId="7718E821"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5.4 Integration with Human Capital Management (SAP HCM) &amp; Project Systems (SAP PS)</w:t>
      </w:r>
    </w:p>
    <w:p w14:paraId="118E3061" w14:textId="77777777" w:rsidR="00AD2EC2" w:rsidRDefault="00AD2EC2" w:rsidP="00AD2EC2">
      <w:pPr>
        <w:widowControl/>
        <w:numPr>
          <w:ilvl w:val="0"/>
          <w:numId w:val="18"/>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SAP HCM / SuccessFactors Payroll Posting:</w:t>
      </w:r>
      <w:r>
        <w:rPr>
          <w:rFonts w:ascii="Calibri" w:eastAsia="Times New Roman" w:hAnsi="Calibri" w:cs="Calibri"/>
          <w:color w:val="222222"/>
          <w:lang w:val="en"/>
        </w:rPr>
        <w:t xml:space="preserve"> The payroll evaluation driver processes employee gross earnings, tax withholdings, social benefits, and net disbursements. The payroll posting program (RPCIPE00) maps internal payroll </w:t>
      </w:r>
      <w:r>
        <w:rPr>
          <w:rFonts w:ascii="Calibri" w:eastAsia="Times New Roman" w:hAnsi="Calibri" w:cs="Calibri"/>
          <w:i/>
          <w:iCs/>
          <w:color w:val="222222"/>
          <w:lang w:val="en"/>
        </w:rPr>
        <w:t>Symbolic Accounts</w:t>
      </w:r>
      <w:r>
        <w:rPr>
          <w:rFonts w:ascii="Calibri" w:eastAsia="Times New Roman" w:hAnsi="Calibri" w:cs="Calibri"/>
          <w:color w:val="222222"/>
          <w:lang w:val="en"/>
        </w:rPr>
        <w:t xml:space="preserve"> to specific G/L accounts and Cost Centers: </w:t>
      </w:r>
    </w:p>
    <w:p w14:paraId="16E2AC6B" w14:textId="77777777" w:rsidR="00AD2EC2" w:rsidRDefault="00AD2EC2" w:rsidP="00AD2EC2">
      <w:pPr>
        <w:widowControl/>
        <w:numPr>
          <w:ilvl w:val="1"/>
          <w:numId w:val="18"/>
        </w:numPr>
        <w:spacing w:before="100" w:beforeAutospacing="1" w:after="75"/>
        <w:rPr>
          <w:rFonts w:ascii="Calibri" w:eastAsia="Times New Roman" w:hAnsi="Calibri" w:cs="Calibri"/>
          <w:color w:val="222222"/>
          <w:lang w:val="en"/>
        </w:rPr>
      </w:pPr>
      <w:r>
        <w:rPr>
          <w:rFonts w:ascii="Calibri" w:eastAsia="Times New Roman" w:hAnsi="Calibri" w:cs="Calibri"/>
          <w:color w:val="222222"/>
          <w:lang w:val="en"/>
        </w:rPr>
        <w:t>Debit: Salary &amp; Wages Expense (assigned to employee's home Cost Center).</w:t>
      </w:r>
    </w:p>
    <w:p w14:paraId="10FD3AAC" w14:textId="77777777" w:rsidR="00AD2EC2" w:rsidRDefault="00AD2EC2" w:rsidP="00AD2EC2">
      <w:pPr>
        <w:widowControl/>
        <w:numPr>
          <w:ilvl w:val="1"/>
          <w:numId w:val="18"/>
        </w:numPr>
        <w:spacing w:before="100" w:beforeAutospacing="1" w:after="75"/>
        <w:rPr>
          <w:rFonts w:ascii="Calibri" w:eastAsia="Times New Roman" w:hAnsi="Calibri" w:cs="Calibri"/>
          <w:color w:val="222222"/>
          <w:lang w:val="en"/>
        </w:rPr>
      </w:pPr>
      <w:r>
        <w:rPr>
          <w:rFonts w:ascii="Calibri" w:eastAsia="Times New Roman" w:hAnsi="Calibri" w:cs="Calibri"/>
          <w:color w:val="222222"/>
          <w:lang w:val="en"/>
        </w:rPr>
        <w:t>Credit: Statutory Tax Withholding Liabilities (FI-GL).</w:t>
      </w:r>
    </w:p>
    <w:p w14:paraId="5DC09BFE" w14:textId="77777777" w:rsidR="00AD2EC2" w:rsidRDefault="00AD2EC2" w:rsidP="00AD2EC2">
      <w:pPr>
        <w:widowControl/>
        <w:numPr>
          <w:ilvl w:val="1"/>
          <w:numId w:val="18"/>
        </w:numPr>
        <w:spacing w:before="100" w:beforeAutospacing="1" w:after="75"/>
        <w:rPr>
          <w:rFonts w:ascii="Calibri" w:eastAsia="Times New Roman" w:hAnsi="Calibri" w:cs="Calibri"/>
          <w:color w:val="222222"/>
          <w:lang w:val="en"/>
        </w:rPr>
      </w:pPr>
      <w:r>
        <w:rPr>
          <w:rFonts w:ascii="Calibri" w:eastAsia="Times New Roman" w:hAnsi="Calibri" w:cs="Calibri"/>
          <w:color w:val="222222"/>
          <w:lang w:val="en"/>
        </w:rPr>
        <w:t>Credit: Social Security &amp; Benefit Liabilities (FI-GL).</w:t>
      </w:r>
    </w:p>
    <w:p w14:paraId="412D525D" w14:textId="77777777" w:rsidR="00AD2EC2" w:rsidRDefault="00AD2EC2" w:rsidP="00AD2EC2">
      <w:pPr>
        <w:widowControl/>
        <w:numPr>
          <w:ilvl w:val="1"/>
          <w:numId w:val="18"/>
        </w:numPr>
        <w:spacing w:before="100" w:beforeAutospacing="1" w:after="75"/>
        <w:rPr>
          <w:rFonts w:ascii="Calibri" w:eastAsia="Times New Roman" w:hAnsi="Calibri" w:cs="Calibri"/>
          <w:color w:val="222222"/>
          <w:lang w:val="en"/>
        </w:rPr>
      </w:pPr>
      <w:r>
        <w:rPr>
          <w:rFonts w:ascii="Calibri" w:eastAsia="Times New Roman" w:hAnsi="Calibri" w:cs="Calibri"/>
          <w:color w:val="222222"/>
          <w:lang w:val="en"/>
        </w:rPr>
        <w:t>Credit: Net Payroll Bank Clearing Account (FI-GL).</w:t>
      </w:r>
    </w:p>
    <w:p w14:paraId="02BD93A1" w14:textId="77777777" w:rsidR="00AD2EC2" w:rsidRDefault="00AD2EC2" w:rsidP="00AD2EC2">
      <w:pPr>
        <w:widowControl/>
        <w:numPr>
          <w:ilvl w:val="0"/>
          <w:numId w:val="18"/>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SAP Project Systems (SAP PS):</w:t>
      </w:r>
      <w:r>
        <w:rPr>
          <w:rFonts w:ascii="Calibri" w:eastAsia="Times New Roman" w:hAnsi="Calibri" w:cs="Calibri"/>
          <w:color w:val="222222"/>
          <w:lang w:val="en"/>
        </w:rPr>
        <w:t xml:space="preserve"> Captures complex, multi-year Capital Expenditure (CapEx) initiatives (e.g., building a manufacturing plant). Expenditures accumulate on </w:t>
      </w:r>
      <w:r>
        <w:rPr>
          <w:rFonts w:ascii="Calibri" w:eastAsia="Times New Roman" w:hAnsi="Calibri" w:cs="Calibri"/>
          <w:b/>
          <w:bCs/>
          <w:color w:val="222222"/>
          <w:lang w:val="en"/>
        </w:rPr>
        <w:t>Work Breakdown Structure (WBS) Elements</w:t>
      </w:r>
      <w:r>
        <w:rPr>
          <w:rFonts w:ascii="Calibri" w:eastAsia="Times New Roman" w:hAnsi="Calibri" w:cs="Calibri"/>
          <w:color w:val="222222"/>
          <w:lang w:val="en"/>
        </w:rPr>
        <w:t xml:space="preserve">. During month-end closing, accumulated balances settle to an </w:t>
      </w:r>
      <w:r>
        <w:rPr>
          <w:rFonts w:ascii="Calibri" w:eastAsia="Times New Roman" w:hAnsi="Calibri" w:cs="Calibri"/>
          <w:i/>
          <w:iCs/>
          <w:color w:val="222222"/>
          <w:lang w:val="en"/>
        </w:rPr>
        <w:t>Asset under Construction (AuC)</w:t>
      </w:r>
      <w:r>
        <w:rPr>
          <w:rFonts w:ascii="Calibri" w:eastAsia="Times New Roman" w:hAnsi="Calibri" w:cs="Calibri"/>
          <w:color w:val="222222"/>
          <w:lang w:val="en"/>
        </w:rPr>
        <w:t xml:space="preserve"> in FI-AA. Upon project commissioning, a final settlement capitalization transfers the accumulated AuC balance into active Fixed Asset classes.</w:t>
      </w:r>
    </w:p>
    <w:p w14:paraId="3DD532CC"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5.5 Architectural Evolution: The S/4HANA Universal Journal (ACDOCA)</w:t>
      </w:r>
    </w:p>
    <w:p w14:paraId="370A9581"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To understand modern SAP FICO, one must appreciate the revolutionary architectural leap from SAP ECC to </w:t>
      </w:r>
      <w:r>
        <w:rPr>
          <w:rFonts w:ascii="Calibri" w:hAnsi="Calibri" w:cs="Calibri"/>
          <w:b/>
          <w:bCs/>
          <w:color w:val="222222"/>
          <w:sz w:val="22"/>
          <w:szCs w:val="22"/>
          <w:lang w:val="en"/>
        </w:rPr>
        <w:t>SAP S/4HANA</w:t>
      </w:r>
      <w:r>
        <w:rPr>
          <w:rFonts w:ascii="Calibri" w:hAnsi="Calibri" w:cs="Calibri"/>
          <w:color w:val="222222"/>
          <w:sz w:val="22"/>
          <w:szCs w:val="22"/>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336"/>
        <w:gridCol w:w="3270"/>
        <w:gridCol w:w="3738"/>
      </w:tblGrid>
      <w:tr w:rsidR="00AD2EC2" w14:paraId="1EECA132" w14:textId="77777777" w:rsidTr="00A60BC9">
        <w:tc>
          <w:tcPr>
            <w:tcW w:w="12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2C1634BB"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Architectural Dimension</w:t>
            </w:r>
          </w:p>
        </w:tc>
        <w:tc>
          <w:tcPr>
            <w:tcW w:w="17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6AF1AC9E"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Traditional SAP ECC 6.0</w:t>
            </w:r>
          </w:p>
        </w:tc>
        <w:tc>
          <w:tcPr>
            <w:tcW w:w="200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54781C90"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Modern SAP S/4HANA (Universal Journal)</w:t>
            </w:r>
          </w:p>
        </w:tc>
      </w:tr>
      <w:tr w:rsidR="00AD2EC2" w14:paraId="00F5CE19"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6F0CFA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Underlying Data Tables</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F5C423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Fragmented tables: BKPF/BSEG (FI), COEP/COSS (CO), ANEK/ANEP (Assets), MLIT (Material Ledger), FAGLFLEXA (New GL).</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165297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Single Table ACDOCA:</w:t>
            </w:r>
            <w:r>
              <w:rPr>
                <w:rFonts w:ascii="Calibri" w:eastAsia="Times New Roman" w:hAnsi="Calibri" w:cs="Calibri"/>
                <w:color w:val="222222"/>
                <w:sz w:val="20"/>
                <w:szCs w:val="20"/>
              </w:rPr>
              <w:t xml:space="preserve"> Over 350 unified fields containing FI, CO, AA, ML, and Profitability dimensions in a single row.</w:t>
            </w:r>
          </w:p>
        </w:tc>
      </w:tr>
      <w:tr w:rsidR="00AD2EC2" w14:paraId="0FB4EEF1"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0F04A3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Reconciliation Requirements</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D5BA4C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Frequent reconciliation runs needed between FI, CO, and Asset Accounting to eliminate inter-table rounding and timing discrepancies.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FCD3D49"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Zero Reconciliation Needed:</w:t>
            </w:r>
            <w:r>
              <w:rPr>
                <w:rFonts w:ascii="Calibri" w:eastAsia="Times New Roman" w:hAnsi="Calibri" w:cs="Calibri"/>
                <w:color w:val="222222"/>
                <w:sz w:val="20"/>
                <w:szCs w:val="20"/>
              </w:rPr>
              <w:t xml:space="preserve"> A single financial posting writes simultaneously to G/L, cost center, profit center, asset, and market segment.</w:t>
            </w:r>
          </w:p>
        </w:tc>
      </w:tr>
      <w:tr w:rsidR="00AD2EC2" w14:paraId="73675E09"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B3F49B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Primary vs. Secondary Costs</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5FC248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Separate master records (P&amp;L G/L accounts in FI vs. Secondary Cost Elements in CO).</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5136070"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Unified G/L account master record with Account Types: Balance Sheet, Non-operating Expense/Income, Primary Costs, Secondary Costs.</w:t>
            </w:r>
          </w:p>
        </w:tc>
      </w:tr>
      <w:tr w:rsidR="00AD2EC2" w14:paraId="0C06E51B"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F8F65B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Profitability Analysis</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B3D433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Costing-based CO-PA operated in separate CE1xxxx tables, making income statement alignment notoriously complex.</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8478D5D"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Margin Analysis:</w:t>
            </w:r>
            <w:r>
              <w:rPr>
                <w:rFonts w:ascii="Calibri" w:eastAsia="Times New Roman" w:hAnsi="Calibri" w:cs="Calibri"/>
                <w:color w:val="222222"/>
                <w:sz w:val="20"/>
                <w:szCs w:val="20"/>
              </w:rPr>
              <w:t xml:space="preserve"> Operates directly within the Universal Journal with instant, line-item reconciliation to the statutory P&amp;L.</w:t>
            </w:r>
          </w:p>
        </w:tc>
      </w:tr>
    </w:tbl>
    <w:p w14:paraId="7F8FF8BF"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6. Real-World Business Use Cases &amp; Industry Applications</w:t>
      </w:r>
    </w:p>
    <w:p w14:paraId="5146C394"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6.1 Case Study 1: Global Discrete Manufacturing Enterprise</w:t>
      </w:r>
    </w:p>
    <w:p w14:paraId="22C9D8EA" w14:textId="77777777" w:rsidR="00AD2EC2" w:rsidRDefault="00AD2EC2">
      <w:pPr>
        <w:shd w:val="clear" w:color="auto" w:fill="F0F4F8"/>
        <w:divId w:val="273559443"/>
        <w:rPr>
          <w:rFonts w:ascii="Calibri" w:eastAsia="Times New Roman" w:hAnsi="Calibri" w:cs="Calibri"/>
          <w:b/>
          <w:bCs/>
          <w:color w:val="003366"/>
          <w:lang w:val="en"/>
        </w:rPr>
      </w:pPr>
      <w:r>
        <w:rPr>
          <w:rFonts w:ascii="Calibri" w:eastAsia="Times New Roman" w:hAnsi="Calibri" w:cs="Calibri"/>
          <w:b/>
          <w:bCs/>
          <w:color w:val="003366"/>
          <w:lang w:val="en"/>
        </w:rPr>
        <w:t>Profile: Precision Automotive Component Manufacturer</w:t>
      </w:r>
    </w:p>
    <w:p w14:paraId="34933BCF" w14:textId="77777777" w:rsidR="00AD2EC2" w:rsidRDefault="00AD2EC2">
      <w:pPr>
        <w:shd w:val="clear" w:color="auto" w:fill="F0F4F8"/>
        <w:divId w:val="958950258"/>
        <w:rPr>
          <w:rFonts w:ascii="Calibri" w:eastAsia="Times New Roman" w:hAnsi="Calibri" w:cs="Calibri"/>
          <w:color w:val="222222"/>
          <w:lang w:val="en"/>
        </w:rPr>
      </w:pPr>
      <w:r>
        <w:rPr>
          <w:rFonts w:ascii="Calibri" w:eastAsia="Times New Roman" w:hAnsi="Calibri" w:cs="Calibri"/>
          <w:b/>
          <w:bCs/>
          <w:color w:val="222222"/>
          <w:lang w:val="en"/>
        </w:rPr>
        <w:t>Context:</w:t>
      </w:r>
      <w:r>
        <w:rPr>
          <w:rFonts w:ascii="Calibri" w:eastAsia="Times New Roman" w:hAnsi="Calibri" w:cs="Calibri"/>
          <w:color w:val="222222"/>
          <w:lang w:val="en"/>
        </w:rPr>
        <w:t xml:space="preserve"> Operating 14 manufacturing plants across the United States, Germany, Mexico, and China, with complex bill of materials, extensive intercompany component transfers, and high raw material volatility (steel, semiconductors). </w:t>
      </w:r>
    </w:p>
    <w:p w14:paraId="0F6A53E3" w14:textId="77777777" w:rsidR="00AD2EC2" w:rsidRDefault="00AD2EC2">
      <w:pPr>
        <w:pStyle w:val="NormalWeb"/>
        <w:rPr>
          <w:rFonts w:ascii="Calibri" w:hAnsi="Calibri" w:cs="Calibri"/>
          <w:color w:val="222222"/>
          <w:sz w:val="22"/>
          <w:szCs w:val="22"/>
          <w:lang w:val="en"/>
        </w:rPr>
      </w:pPr>
      <w:r>
        <w:rPr>
          <w:rFonts w:ascii="Calibri" w:hAnsi="Calibri" w:cs="Calibri"/>
          <w:b/>
          <w:bCs/>
          <w:color w:val="222222"/>
          <w:sz w:val="22"/>
          <w:szCs w:val="22"/>
          <w:lang w:val="en"/>
        </w:rPr>
        <w:t>SAP FICO Implementation Highlights:</w:t>
      </w:r>
    </w:p>
    <w:p w14:paraId="7D20DD37" w14:textId="77777777" w:rsidR="00AD2EC2" w:rsidRDefault="00AD2EC2" w:rsidP="00AD2EC2">
      <w:pPr>
        <w:widowControl/>
        <w:numPr>
          <w:ilvl w:val="0"/>
          <w:numId w:val="19"/>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Cross-Company Code Controlling:</w:t>
      </w:r>
      <w:r>
        <w:rPr>
          <w:rFonts w:ascii="Calibri" w:eastAsia="Times New Roman" w:hAnsi="Calibri" w:cs="Calibri"/>
          <w:color w:val="222222"/>
          <w:lang w:val="en"/>
        </w:rPr>
        <w:t xml:space="preserve"> A single global Controlling Area unified 14 statutory Company Codes, standardizing the Chart of Accounts while maintaining local statutory ledgers (Non-Leading Ledgers for German HGB and Chinese GAAP).</w:t>
      </w:r>
    </w:p>
    <w:p w14:paraId="70D37832" w14:textId="77777777" w:rsidR="00AD2EC2" w:rsidRDefault="00AD2EC2" w:rsidP="00AD2EC2">
      <w:pPr>
        <w:widowControl/>
        <w:numPr>
          <w:ilvl w:val="0"/>
          <w:numId w:val="19"/>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Standard Costing &amp; Variance Transparency:</w:t>
      </w:r>
      <w:r>
        <w:rPr>
          <w:rFonts w:ascii="Calibri" w:eastAsia="Times New Roman" w:hAnsi="Calibri" w:cs="Calibri"/>
          <w:color w:val="222222"/>
          <w:lang w:val="en"/>
        </w:rPr>
        <w:t xml:space="preserve"> Configured Product Cost Controlling (CO-PC) with daily material price feeds. Standard cost estimates updated semi-annually. Variance calculation broken down across input price variances (inflation in raw materials), lot size variances, and shop-floor scrap variances.</w:t>
      </w:r>
    </w:p>
    <w:p w14:paraId="7BB701AF" w14:textId="77777777" w:rsidR="00AD2EC2" w:rsidRDefault="00AD2EC2" w:rsidP="00AD2EC2">
      <w:pPr>
        <w:widowControl/>
        <w:numPr>
          <w:ilvl w:val="0"/>
          <w:numId w:val="19"/>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Material Ledger Actual Costing:</w:t>
      </w:r>
      <w:r>
        <w:rPr>
          <w:rFonts w:ascii="Calibri" w:eastAsia="Times New Roman" w:hAnsi="Calibri" w:cs="Calibri"/>
          <w:color w:val="222222"/>
          <w:lang w:val="en"/>
        </w:rPr>
        <w:t xml:space="preserve"> Implemented 3-period rolling Material Ledger (ML) calculations, revaluing ending inventories and COGS across international borders to actual cost, eliminating artificial transfer pricing distortions.</w:t>
      </w:r>
    </w:p>
    <w:p w14:paraId="36C88997"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6.2 Case Study 2: Fast-Moving Consumer Goods (FMCG) / Omnichannel Retail</w:t>
      </w:r>
    </w:p>
    <w:p w14:paraId="465338CD" w14:textId="77777777" w:rsidR="00AD2EC2" w:rsidRDefault="00AD2EC2">
      <w:pPr>
        <w:shd w:val="clear" w:color="auto" w:fill="F0F4F8"/>
        <w:divId w:val="1807549372"/>
        <w:rPr>
          <w:rFonts w:ascii="Calibri" w:eastAsia="Times New Roman" w:hAnsi="Calibri" w:cs="Calibri"/>
          <w:b/>
          <w:bCs/>
          <w:color w:val="003366"/>
          <w:lang w:val="en"/>
        </w:rPr>
      </w:pPr>
      <w:r>
        <w:rPr>
          <w:rFonts w:ascii="Calibri" w:eastAsia="Times New Roman" w:hAnsi="Calibri" w:cs="Calibri"/>
          <w:b/>
          <w:bCs/>
          <w:color w:val="003366"/>
          <w:lang w:val="en"/>
        </w:rPr>
        <w:t>Profile: Multinational Packaged Goods &amp; Food Corporation</w:t>
      </w:r>
    </w:p>
    <w:p w14:paraId="01B6ED3D" w14:textId="77777777" w:rsidR="00AD2EC2" w:rsidRDefault="00AD2EC2">
      <w:pPr>
        <w:shd w:val="clear" w:color="auto" w:fill="F0F4F8"/>
        <w:divId w:val="1292398122"/>
        <w:rPr>
          <w:rFonts w:ascii="Calibri" w:eastAsia="Times New Roman" w:hAnsi="Calibri" w:cs="Calibri"/>
          <w:color w:val="222222"/>
          <w:lang w:val="en"/>
        </w:rPr>
      </w:pPr>
      <w:r>
        <w:rPr>
          <w:rFonts w:ascii="Calibri" w:eastAsia="Times New Roman" w:hAnsi="Calibri" w:cs="Calibri"/>
          <w:b/>
          <w:bCs/>
          <w:color w:val="222222"/>
          <w:lang w:val="en"/>
        </w:rPr>
        <w:t>Context:</w:t>
      </w:r>
      <w:r>
        <w:rPr>
          <w:rFonts w:ascii="Calibri" w:eastAsia="Times New Roman" w:hAnsi="Calibri" w:cs="Calibri"/>
          <w:color w:val="222222"/>
          <w:lang w:val="en"/>
        </w:rPr>
        <w:t xml:space="preserve"> High transaction volume (over 250,000 customer invoices daily), multi-tier promotional pricing, heavy retail deductions, and customer returns across hypermarkets, wholesalers, and e-commerce platforms. </w:t>
      </w:r>
    </w:p>
    <w:p w14:paraId="61B7EBB0" w14:textId="77777777" w:rsidR="00AD2EC2" w:rsidRDefault="00AD2EC2">
      <w:pPr>
        <w:pStyle w:val="NormalWeb"/>
        <w:rPr>
          <w:rFonts w:ascii="Calibri" w:hAnsi="Calibri" w:cs="Calibri"/>
          <w:color w:val="222222"/>
          <w:sz w:val="22"/>
          <w:szCs w:val="22"/>
          <w:lang w:val="en"/>
        </w:rPr>
      </w:pPr>
      <w:r>
        <w:rPr>
          <w:rFonts w:ascii="Calibri" w:hAnsi="Calibri" w:cs="Calibri"/>
          <w:b/>
          <w:bCs/>
          <w:color w:val="222222"/>
          <w:sz w:val="22"/>
          <w:szCs w:val="22"/>
          <w:lang w:val="en"/>
        </w:rPr>
        <w:t>SAP FICO Implementation Highlights:</w:t>
      </w:r>
    </w:p>
    <w:p w14:paraId="67D9B76C" w14:textId="77777777" w:rsidR="00AD2EC2" w:rsidRDefault="00AD2EC2" w:rsidP="00AD2EC2">
      <w:pPr>
        <w:widowControl/>
        <w:numPr>
          <w:ilvl w:val="0"/>
          <w:numId w:val="20"/>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Automated Cash Application:</w:t>
      </w:r>
      <w:r>
        <w:rPr>
          <w:rFonts w:ascii="Calibri" w:eastAsia="Times New Roman" w:hAnsi="Calibri" w:cs="Calibri"/>
          <w:color w:val="222222"/>
          <w:lang w:val="en"/>
        </w:rPr>
        <w:t xml:space="preserve"> Integrated Electronic Bank Statement (EBS) and machine-learning-based cash application algorithms, automating the clearing of 88% of incoming electronic remittances and lockbox payments without human intervention.</w:t>
      </w:r>
    </w:p>
    <w:p w14:paraId="265E9E13" w14:textId="77777777" w:rsidR="00AD2EC2" w:rsidRDefault="00AD2EC2" w:rsidP="00AD2EC2">
      <w:pPr>
        <w:widowControl/>
        <w:numPr>
          <w:ilvl w:val="0"/>
          <w:numId w:val="20"/>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FSCM Dispute &amp; Collections Management:</w:t>
      </w:r>
      <w:r>
        <w:rPr>
          <w:rFonts w:ascii="Calibri" w:eastAsia="Times New Roman" w:hAnsi="Calibri" w:cs="Calibri"/>
          <w:color w:val="222222"/>
          <w:lang w:val="en"/>
        </w:rPr>
        <w:t xml:space="preserve"> Replaced manual spreadsheets with automated dispute workflows. When a major retailer underpays an invoice due to claimed damaged goods or missing promotional rebates, the unpaid balance automatically creates an FSCM Dispute Case, routing it to logistics for proof of delivery.</w:t>
      </w:r>
    </w:p>
    <w:p w14:paraId="16E311B3" w14:textId="77777777" w:rsidR="00AD2EC2" w:rsidRDefault="00AD2EC2" w:rsidP="00AD2EC2">
      <w:pPr>
        <w:widowControl/>
        <w:numPr>
          <w:ilvl w:val="0"/>
          <w:numId w:val="20"/>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Margin Analysis in CO-PA:</w:t>
      </w:r>
      <w:r>
        <w:rPr>
          <w:rFonts w:ascii="Calibri" w:eastAsia="Times New Roman" w:hAnsi="Calibri" w:cs="Calibri"/>
          <w:color w:val="222222"/>
          <w:lang w:val="en"/>
        </w:rPr>
        <w:t xml:space="preserve"> Captured promotional rebates, trade discounts, and logistics distribution surcharges as distinct value fields, enabling weekly executive reviews of net profitability by customer group, product flavor, and distribution channel.</w:t>
      </w:r>
    </w:p>
    <w:p w14:paraId="202ACEDB"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6.3 Case Study 3: Capital-Intensive Engineering &amp; Construction (EPC)</w:t>
      </w:r>
    </w:p>
    <w:p w14:paraId="254E5E55" w14:textId="77777777" w:rsidR="00AD2EC2" w:rsidRDefault="00AD2EC2">
      <w:pPr>
        <w:shd w:val="clear" w:color="auto" w:fill="F0F4F8"/>
        <w:divId w:val="1026519976"/>
        <w:rPr>
          <w:rFonts w:ascii="Calibri" w:eastAsia="Times New Roman" w:hAnsi="Calibri" w:cs="Calibri"/>
          <w:b/>
          <w:bCs/>
          <w:color w:val="003366"/>
          <w:lang w:val="en"/>
        </w:rPr>
      </w:pPr>
      <w:r>
        <w:rPr>
          <w:rFonts w:ascii="Calibri" w:eastAsia="Times New Roman" w:hAnsi="Calibri" w:cs="Calibri"/>
          <w:b/>
          <w:bCs/>
          <w:color w:val="003366"/>
          <w:lang w:val="en"/>
        </w:rPr>
        <w:t>Profile: Global Infrastructure &amp; Power Generation Contractor</w:t>
      </w:r>
    </w:p>
    <w:p w14:paraId="4A85B440" w14:textId="77777777" w:rsidR="00AD2EC2" w:rsidRDefault="00AD2EC2">
      <w:pPr>
        <w:shd w:val="clear" w:color="auto" w:fill="F0F4F8"/>
        <w:divId w:val="498471749"/>
        <w:rPr>
          <w:rFonts w:ascii="Calibri" w:eastAsia="Times New Roman" w:hAnsi="Calibri" w:cs="Calibri"/>
          <w:color w:val="222222"/>
          <w:lang w:val="en"/>
        </w:rPr>
      </w:pPr>
      <w:r>
        <w:rPr>
          <w:rFonts w:ascii="Calibri" w:eastAsia="Times New Roman" w:hAnsi="Calibri" w:cs="Calibri"/>
          <w:b/>
          <w:bCs/>
          <w:color w:val="222222"/>
          <w:lang w:val="en"/>
        </w:rPr>
        <w:t>Context:</w:t>
      </w:r>
      <w:r>
        <w:rPr>
          <w:rFonts w:ascii="Calibri" w:eastAsia="Times New Roman" w:hAnsi="Calibri" w:cs="Calibri"/>
          <w:color w:val="222222"/>
          <w:lang w:val="en"/>
        </w:rPr>
        <w:t xml:space="preserve"> Managing multi-year engineering mega-projects, severe project liquidity risks, complex subcontractor billing, and stringent revenue recognition standards under IFRS 15 / ASC 606. </w:t>
      </w:r>
    </w:p>
    <w:p w14:paraId="0660DF22" w14:textId="77777777" w:rsidR="00AD2EC2" w:rsidRDefault="00AD2EC2">
      <w:pPr>
        <w:pStyle w:val="NormalWeb"/>
        <w:rPr>
          <w:rFonts w:ascii="Calibri" w:hAnsi="Calibri" w:cs="Calibri"/>
          <w:color w:val="222222"/>
          <w:sz w:val="22"/>
          <w:szCs w:val="22"/>
          <w:lang w:val="en"/>
        </w:rPr>
      </w:pPr>
      <w:r>
        <w:rPr>
          <w:rFonts w:ascii="Calibri" w:hAnsi="Calibri" w:cs="Calibri"/>
          <w:b/>
          <w:bCs/>
          <w:color w:val="222222"/>
          <w:sz w:val="22"/>
          <w:szCs w:val="22"/>
          <w:lang w:val="en"/>
        </w:rPr>
        <w:t>SAP FICO Implementation Highlights:</w:t>
      </w:r>
    </w:p>
    <w:p w14:paraId="4D5CD3B2" w14:textId="77777777" w:rsidR="00AD2EC2" w:rsidRDefault="00AD2EC2" w:rsidP="00AD2EC2">
      <w:pPr>
        <w:widowControl/>
        <w:numPr>
          <w:ilvl w:val="0"/>
          <w:numId w:val="2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Project Systems (PS) &amp; FI-AA Integration:</w:t>
      </w:r>
      <w:r>
        <w:rPr>
          <w:rFonts w:ascii="Calibri" w:eastAsia="Times New Roman" w:hAnsi="Calibri" w:cs="Calibri"/>
          <w:color w:val="222222"/>
          <w:lang w:val="en"/>
        </w:rPr>
        <w:t xml:space="preserve"> Costs captured against granular Work Breakdown Structure (WBS) elements. CapEx equipment purchases capitalized directly as Assets under Construction (AuC), with automatic monthly progress settlements.</w:t>
      </w:r>
    </w:p>
    <w:p w14:paraId="7D324447" w14:textId="77777777" w:rsidR="00AD2EC2" w:rsidRDefault="00AD2EC2" w:rsidP="00AD2EC2">
      <w:pPr>
        <w:widowControl/>
        <w:numPr>
          <w:ilvl w:val="0"/>
          <w:numId w:val="2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Results Analysis (KKAO) for IFRS 15:</w:t>
      </w:r>
      <w:r>
        <w:rPr>
          <w:rFonts w:ascii="Calibri" w:eastAsia="Times New Roman" w:hAnsi="Calibri" w:cs="Calibri"/>
          <w:color w:val="222222"/>
          <w:lang w:val="en"/>
        </w:rPr>
        <w:t xml:space="preserve"> Automated Percentage-of-Completion (PoC) revenue recognition calculations based on confirmed cost-to-cost progress, preventing premature revenue recognition and maintaining regulatory compliance.</w:t>
      </w:r>
    </w:p>
    <w:p w14:paraId="0C725839" w14:textId="77777777" w:rsidR="00AD2EC2" w:rsidRDefault="00AD2EC2" w:rsidP="00AD2EC2">
      <w:pPr>
        <w:widowControl/>
        <w:numPr>
          <w:ilvl w:val="0"/>
          <w:numId w:val="21"/>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Down Payment Processing:</w:t>
      </w:r>
      <w:r>
        <w:rPr>
          <w:rFonts w:ascii="Calibri" w:eastAsia="Times New Roman" w:hAnsi="Calibri" w:cs="Calibri"/>
          <w:color w:val="222222"/>
          <w:lang w:val="en"/>
        </w:rPr>
        <w:t xml:space="preserve"> Automated customer advance billing and vendor milestone disbursements via special G/L indicators (e.g., Special G/L Indicator 'A'), preventing advance receipts from distorting regular accounts receivable and payable balances.</w:t>
      </w:r>
    </w:p>
    <w:p w14:paraId="19AF4313"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7. Key Business &amp; Technical Benefits of SAP FICO</w:t>
      </w:r>
    </w:p>
    <w:p w14:paraId="73ACE480" w14:textId="77777777" w:rsidR="00AD2EC2" w:rsidRDefault="00AD2EC2">
      <w:pPr>
        <w:shd w:val="clear" w:color="auto" w:fill="ECFDF5"/>
        <w:divId w:val="1903517430"/>
        <w:rPr>
          <w:rFonts w:ascii="Calibri" w:eastAsia="Times New Roman" w:hAnsi="Calibri" w:cs="Calibri"/>
          <w:b/>
          <w:bCs/>
          <w:color w:val="065F46"/>
          <w:lang w:val="en"/>
        </w:rPr>
      </w:pPr>
      <w:r>
        <w:rPr>
          <w:rFonts w:ascii="Calibri" w:eastAsia="Times New Roman" w:hAnsi="Calibri" w:cs="Calibri"/>
          <w:b/>
          <w:bCs/>
          <w:color w:val="065F46"/>
          <w:lang w:val="en"/>
        </w:rPr>
        <w:t>Strategic Value Proposition</w:t>
      </w:r>
    </w:p>
    <w:p w14:paraId="4AC6EFF8" w14:textId="77777777" w:rsidR="00AD2EC2" w:rsidRDefault="00AD2EC2">
      <w:pPr>
        <w:shd w:val="clear" w:color="auto" w:fill="ECFDF5"/>
        <w:divId w:val="602691513"/>
        <w:rPr>
          <w:rFonts w:ascii="Calibri" w:eastAsia="Times New Roman" w:hAnsi="Calibri" w:cs="Calibri"/>
          <w:color w:val="222222"/>
          <w:lang w:val="en"/>
        </w:rPr>
      </w:pPr>
      <w:r>
        <w:rPr>
          <w:rFonts w:ascii="Calibri" w:eastAsia="Times New Roman" w:hAnsi="Calibri" w:cs="Calibri"/>
          <w:color w:val="222222"/>
          <w:lang w:val="en"/>
        </w:rPr>
        <w:t xml:space="preserve">When properly architected and governed, SAP FICO transforms an organization's finance function from a backward-looking transaction processing overhead into a proactive strategic advisory engine. </w:t>
      </w:r>
    </w:p>
    <w:p w14:paraId="4CF0E578" w14:textId="77777777" w:rsidR="00AD2EC2" w:rsidRDefault="00AD2EC2" w:rsidP="00AD2EC2">
      <w:pPr>
        <w:widowControl/>
        <w:numPr>
          <w:ilvl w:val="0"/>
          <w:numId w:val="2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Unified Financial Architecture (Single Source of Truth):</w:t>
      </w:r>
      <w:r>
        <w:rPr>
          <w:rFonts w:ascii="Calibri" w:eastAsia="Times New Roman" w:hAnsi="Calibri" w:cs="Calibri"/>
          <w:color w:val="222222"/>
          <w:lang w:val="en"/>
        </w:rPr>
        <w:t xml:space="preserve"> </w:t>
      </w:r>
    </w:p>
    <w:p w14:paraId="50A00768"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By synchronizing statutory Financial Accounting and internal Management Controlling through the Universal Journal, SAP FICO eliminates fragmented spreadsheets, conflicting numbers, and lengthy end-of-month reconciliation marathons between accounting and finance teams.</w:t>
      </w:r>
    </w:p>
    <w:p w14:paraId="26490051" w14:textId="77777777" w:rsidR="00AD2EC2" w:rsidRDefault="00AD2EC2" w:rsidP="00AD2EC2">
      <w:pPr>
        <w:widowControl/>
        <w:numPr>
          <w:ilvl w:val="0"/>
          <w:numId w:val="2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Global Statutory Compliance &amp; Audit Integrity:</w:t>
      </w:r>
      <w:r>
        <w:rPr>
          <w:rFonts w:ascii="Calibri" w:eastAsia="Times New Roman" w:hAnsi="Calibri" w:cs="Calibri"/>
          <w:color w:val="222222"/>
          <w:lang w:val="en"/>
        </w:rPr>
        <w:t xml:space="preserve"> </w:t>
      </w:r>
    </w:p>
    <w:p w14:paraId="599DED9B"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Supports multi-currency, multi-lingual, and multi-GAAP operations within a single database instance. The strict Document Principle provides a permanent, tamper-proof audit trail that satisfies Sarbanes-Oxley (SOX) Section 404 controls, external audit firms, and governmental tax authorities.</w:t>
      </w:r>
    </w:p>
    <w:p w14:paraId="1AB12668" w14:textId="77777777" w:rsidR="00AD2EC2" w:rsidRDefault="00AD2EC2" w:rsidP="00AD2EC2">
      <w:pPr>
        <w:widowControl/>
        <w:numPr>
          <w:ilvl w:val="0"/>
          <w:numId w:val="2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Real-Time Event-Driven Transparency:</w:t>
      </w:r>
      <w:r>
        <w:rPr>
          <w:rFonts w:ascii="Calibri" w:eastAsia="Times New Roman" w:hAnsi="Calibri" w:cs="Calibri"/>
          <w:color w:val="222222"/>
          <w:lang w:val="en"/>
        </w:rPr>
        <w:t xml:space="preserve"> </w:t>
      </w:r>
    </w:p>
    <w:p w14:paraId="191B281E"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Unlike standalone accounting systems that rely on batch data imports from operational systems, SAP FICO reflects business events instantaneously. When a warehouse operator confirms a shipment or an asset is scrapped on a factory floor, financial balances update immediately.</w:t>
      </w:r>
    </w:p>
    <w:p w14:paraId="41DED38D" w14:textId="77777777" w:rsidR="00AD2EC2" w:rsidRDefault="00AD2EC2" w:rsidP="00AD2EC2">
      <w:pPr>
        <w:widowControl/>
        <w:numPr>
          <w:ilvl w:val="0"/>
          <w:numId w:val="2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Granular Profitability &amp; Cost Control:</w:t>
      </w:r>
      <w:r>
        <w:rPr>
          <w:rFonts w:ascii="Calibri" w:eastAsia="Times New Roman" w:hAnsi="Calibri" w:cs="Calibri"/>
          <w:color w:val="222222"/>
          <w:lang w:val="en"/>
        </w:rPr>
        <w:t xml:space="preserve"> </w:t>
      </w:r>
    </w:p>
    <w:p w14:paraId="1C669B19"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Provides multi-dimensional visibility into operational costs and profitability margins. Executive leaders can drill down from high-level corporate P&amp;L figures to the exact machine, customer invoice, employee activity, or component purchase order responsible for an overrun.</w:t>
      </w:r>
    </w:p>
    <w:p w14:paraId="2758BD83" w14:textId="77777777" w:rsidR="00AD2EC2" w:rsidRDefault="00AD2EC2" w:rsidP="00AD2EC2">
      <w:pPr>
        <w:widowControl/>
        <w:numPr>
          <w:ilvl w:val="0"/>
          <w:numId w:val="2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Accelerated Financial Close Cycle:</w:t>
      </w:r>
      <w:r>
        <w:rPr>
          <w:rFonts w:ascii="Calibri" w:eastAsia="Times New Roman" w:hAnsi="Calibri" w:cs="Calibri"/>
          <w:color w:val="222222"/>
          <w:lang w:val="en"/>
        </w:rPr>
        <w:t xml:space="preserve"> </w:t>
      </w:r>
    </w:p>
    <w:p w14:paraId="126B239C"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Features such as automated Document Splitting, Automatic Payment Programs, automated bank statement processing, and real-time reconciliation dramatically shorten the month-end and year-end closing cycles (from weeks down to a matter of days or hours).</w:t>
      </w:r>
    </w:p>
    <w:p w14:paraId="3341C30E" w14:textId="77777777" w:rsidR="00AD2EC2" w:rsidRDefault="00AD2EC2" w:rsidP="00AD2EC2">
      <w:pPr>
        <w:widowControl/>
        <w:numPr>
          <w:ilvl w:val="0"/>
          <w:numId w:val="22"/>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Enterprise Scalability &amp; Extensibility:</w:t>
      </w:r>
      <w:r>
        <w:rPr>
          <w:rFonts w:ascii="Calibri" w:eastAsia="Times New Roman" w:hAnsi="Calibri" w:cs="Calibri"/>
          <w:color w:val="222222"/>
          <w:lang w:val="en"/>
        </w:rPr>
        <w:t xml:space="preserve"> </w:t>
      </w:r>
    </w:p>
    <w:p w14:paraId="7CE4D071"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Capable of supporting enterprise growth from mid-sized single-plant operations to Fortune 50 multinationals processing millions of transactions daily across dozens of jurisdictions and operating entities.</w:t>
      </w:r>
    </w:p>
    <w:p w14:paraId="711D6F84"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8. Implementation Challenges, Risks, and Critical Pitfalls</w:t>
      </w:r>
    </w:p>
    <w:p w14:paraId="114C0D86"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Despite its immense functional power, SAP FICO implementations are notorious for high costs, long project durations, and significant organizational complexity. Enterprise decision-makers must proactively anticipate and mitigate these risks: </w:t>
      </w:r>
    </w:p>
    <w:p w14:paraId="2DAF76D1" w14:textId="77777777" w:rsidR="00AD2EC2" w:rsidRDefault="00AD2EC2">
      <w:pPr>
        <w:shd w:val="clear" w:color="auto" w:fill="FEF3C7"/>
        <w:divId w:val="1465152263"/>
        <w:rPr>
          <w:rFonts w:ascii="Calibri" w:eastAsia="Times New Roman" w:hAnsi="Calibri" w:cs="Calibri"/>
          <w:b/>
          <w:bCs/>
          <w:color w:val="92400E"/>
          <w:lang w:val="en"/>
        </w:rPr>
      </w:pPr>
      <w:r>
        <w:rPr>
          <w:rFonts w:ascii="Calibri" w:eastAsia="Times New Roman" w:hAnsi="Calibri" w:cs="Calibri"/>
          <w:b/>
          <w:bCs/>
          <w:color w:val="92400E"/>
          <w:lang w:val="en"/>
        </w:rPr>
        <w:t>Critical Implementation Risk Summary</w:t>
      </w:r>
    </w:p>
    <w:p w14:paraId="3F6DFF0D" w14:textId="77777777" w:rsidR="00AD2EC2" w:rsidRDefault="00AD2EC2">
      <w:pPr>
        <w:shd w:val="clear" w:color="auto" w:fill="FEF3C7"/>
        <w:divId w:val="2048407661"/>
        <w:rPr>
          <w:rFonts w:ascii="Calibri" w:eastAsia="Times New Roman" w:hAnsi="Calibri" w:cs="Calibri"/>
          <w:color w:val="222222"/>
          <w:lang w:val="en"/>
        </w:rPr>
      </w:pPr>
      <w:r>
        <w:rPr>
          <w:rFonts w:ascii="Calibri" w:eastAsia="Times New Roman" w:hAnsi="Calibri" w:cs="Calibri"/>
          <w:color w:val="222222"/>
          <w:lang w:val="en"/>
        </w:rPr>
        <w:t xml:space="preserve">Technical failures in SAP FICO are rare; project failures almost universally originate from inadequate master data governance, poor organizational change management, and excessive custom code modifications. </w:t>
      </w:r>
    </w:p>
    <w:tbl>
      <w:tblPr>
        <w:tblW w:w="5000" w:type="pct"/>
        <w:tblCellMar>
          <w:top w:w="15" w:type="dxa"/>
          <w:left w:w="15" w:type="dxa"/>
          <w:bottom w:w="15" w:type="dxa"/>
          <w:right w:w="15" w:type="dxa"/>
        </w:tblCellMar>
        <w:tblLook w:val="04A0" w:firstRow="1" w:lastRow="0" w:firstColumn="1" w:lastColumn="0" w:noHBand="0" w:noVBand="1"/>
      </w:tblPr>
      <w:tblGrid>
        <w:gridCol w:w="2336"/>
        <w:gridCol w:w="3270"/>
        <w:gridCol w:w="3738"/>
      </w:tblGrid>
      <w:tr w:rsidR="00AD2EC2" w14:paraId="75C595AF" w14:textId="77777777" w:rsidTr="00A60BC9">
        <w:tc>
          <w:tcPr>
            <w:tcW w:w="12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79DE685E"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Challenge Category</w:t>
            </w:r>
          </w:p>
        </w:tc>
        <w:tc>
          <w:tcPr>
            <w:tcW w:w="17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6456C566"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Root Cause &amp; Nature of Challenge</w:t>
            </w:r>
          </w:p>
        </w:tc>
        <w:tc>
          <w:tcPr>
            <w:tcW w:w="200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6FDFBF94"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Business Impact &amp; Mitigation Strategy</w:t>
            </w:r>
          </w:p>
        </w:tc>
      </w:tr>
      <w:tr w:rsidR="00AD2EC2" w14:paraId="35677BB6"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80C63C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Implementation Cost &amp; Timeline Duration</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E5C468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Enterprise-wide ERP projects require significant consulting expenditures, internal resource allocations, software licensing, and infrastructure costs, typically spanning 12 to 24 months.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50A40D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i/>
                <w:iCs/>
                <w:color w:val="222222"/>
                <w:sz w:val="20"/>
                <w:szCs w:val="20"/>
              </w:rPr>
              <w:t>Impact:</w:t>
            </w:r>
            <w:r>
              <w:rPr>
                <w:rFonts w:ascii="Calibri" w:eastAsia="Times New Roman" w:hAnsi="Calibri" w:cs="Calibri"/>
                <w:color w:val="222222"/>
                <w:sz w:val="20"/>
                <w:szCs w:val="20"/>
              </w:rPr>
              <w:t xml:space="preserve"> Budget overruns and stakeholder fatigue.</w:t>
            </w:r>
            <w:r>
              <w:rPr>
                <w:rFonts w:ascii="Calibri" w:eastAsia="Times New Roman" w:hAnsi="Calibri" w:cs="Calibri"/>
                <w:color w:val="222222"/>
                <w:sz w:val="20"/>
                <w:szCs w:val="20"/>
              </w:rPr>
              <w:br/>
            </w:r>
            <w:r>
              <w:rPr>
                <w:rFonts w:ascii="Calibri" w:eastAsia="Times New Roman" w:hAnsi="Calibri" w:cs="Calibri"/>
                <w:i/>
                <w:iCs/>
                <w:color w:val="222222"/>
                <w:sz w:val="20"/>
                <w:szCs w:val="20"/>
              </w:rPr>
              <w:t>Mitigation:</w:t>
            </w:r>
            <w:r>
              <w:rPr>
                <w:rFonts w:ascii="Calibri" w:eastAsia="Times New Roman" w:hAnsi="Calibri" w:cs="Calibri"/>
                <w:color w:val="222222"/>
                <w:sz w:val="20"/>
                <w:szCs w:val="20"/>
              </w:rPr>
              <w:t xml:space="preserve"> Adopt the </w:t>
            </w:r>
            <w:r>
              <w:rPr>
                <w:rFonts w:ascii="Calibri" w:eastAsia="Times New Roman" w:hAnsi="Calibri" w:cs="Calibri"/>
                <w:b/>
                <w:bCs/>
                <w:color w:val="222222"/>
                <w:sz w:val="20"/>
                <w:szCs w:val="20"/>
              </w:rPr>
              <w:t>SAP Activate Methodology</w:t>
            </w:r>
            <w:r>
              <w:rPr>
                <w:rFonts w:ascii="Calibri" w:eastAsia="Times New Roman" w:hAnsi="Calibri" w:cs="Calibri"/>
                <w:color w:val="222222"/>
                <w:sz w:val="20"/>
                <w:szCs w:val="20"/>
              </w:rPr>
              <w:t xml:space="preserve"> and pre-configured Best Practice templates to compress cycle times.</w:t>
            </w:r>
          </w:p>
        </w:tc>
      </w:tr>
      <w:tr w:rsidR="00AD2EC2" w14:paraId="2FE4D7A9"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E01C0A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Master Data Quality ("Garbage In, Garbage Out")</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448576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Migrating legacy systems often uncovers duplicate vendor records, inconsistent customer definitions, mismatched charts of accounts, and un-reconciled fixed asset sub-ledgers.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64CEB1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i/>
                <w:iCs/>
                <w:color w:val="222222"/>
                <w:sz w:val="20"/>
                <w:szCs w:val="20"/>
              </w:rPr>
              <w:t>Impact:</w:t>
            </w:r>
            <w:r>
              <w:rPr>
                <w:rFonts w:ascii="Calibri" w:eastAsia="Times New Roman" w:hAnsi="Calibri" w:cs="Calibri"/>
                <w:color w:val="222222"/>
                <w:sz w:val="20"/>
                <w:szCs w:val="20"/>
              </w:rPr>
              <w:t xml:space="preserve"> Faulty automatic account postings and inaccurate reporting.</w:t>
            </w:r>
            <w:r>
              <w:rPr>
                <w:rFonts w:ascii="Calibri" w:eastAsia="Times New Roman" w:hAnsi="Calibri" w:cs="Calibri"/>
                <w:color w:val="222222"/>
                <w:sz w:val="20"/>
                <w:szCs w:val="20"/>
              </w:rPr>
              <w:br/>
            </w:r>
            <w:r>
              <w:rPr>
                <w:rFonts w:ascii="Calibri" w:eastAsia="Times New Roman" w:hAnsi="Calibri" w:cs="Calibri"/>
                <w:i/>
                <w:iCs/>
                <w:color w:val="222222"/>
                <w:sz w:val="20"/>
                <w:szCs w:val="20"/>
              </w:rPr>
              <w:t>Mitigation:</w:t>
            </w:r>
            <w:r>
              <w:rPr>
                <w:rFonts w:ascii="Calibri" w:eastAsia="Times New Roman" w:hAnsi="Calibri" w:cs="Calibri"/>
                <w:color w:val="222222"/>
                <w:sz w:val="20"/>
                <w:szCs w:val="20"/>
              </w:rPr>
              <w:t xml:space="preserve"> Implement strict Master Data Governance (SAP MDG) and comprehensive pre-migration data cleansing protocols.</w:t>
            </w:r>
          </w:p>
        </w:tc>
      </w:tr>
      <w:tr w:rsidR="00AD2EC2" w14:paraId="55C49E0F"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932283C"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Over-Customization (The "Z-Trap")</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43E8EB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Business units often insist on replicating legacy habits by commissioning custom ABAP programs, user exits, and custom "Z" tables rather than adopting standard SAP processes.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EF4F0B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i/>
                <w:iCs/>
                <w:color w:val="222222"/>
                <w:sz w:val="20"/>
                <w:szCs w:val="20"/>
              </w:rPr>
              <w:t>Impact:</w:t>
            </w:r>
            <w:r>
              <w:rPr>
                <w:rFonts w:ascii="Calibri" w:eastAsia="Times New Roman" w:hAnsi="Calibri" w:cs="Calibri"/>
                <w:color w:val="222222"/>
                <w:sz w:val="20"/>
                <w:szCs w:val="20"/>
              </w:rPr>
              <w:t xml:space="preserve"> Astronomical long-term maintenance costs and extreme difficulty during future S/4HANA upgrades.</w:t>
            </w:r>
            <w:r>
              <w:rPr>
                <w:rFonts w:ascii="Calibri" w:eastAsia="Times New Roman" w:hAnsi="Calibri" w:cs="Calibri"/>
                <w:color w:val="222222"/>
                <w:sz w:val="20"/>
                <w:szCs w:val="20"/>
              </w:rPr>
              <w:br/>
            </w:r>
            <w:r>
              <w:rPr>
                <w:rFonts w:ascii="Calibri" w:eastAsia="Times New Roman" w:hAnsi="Calibri" w:cs="Calibri"/>
                <w:i/>
                <w:iCs/>
                <w:color w:val="222222"/>
                <w:sz w:val="20"/>
                <w:szCs w:val="20"/>
              </w:rPr>
              <w:t>Mitigation:</w:t>
            </w:r>
            <w:r>
              <w:rPr>
                <w:rFonts w:ascii="Calibri" w:eastAsia="Times New Roman" w:hAnsi="Calibri" w:cs="Calibri"/>
                <w:color w:val="222222"/>
                <w:sz w:val="20"/>
                <w:szCs w:val="20"/>
              </w:rPr>
              <w:t xml:space="preserve"> Enforce a strict "Fit-to-Standard" policy and "Clean Core" architectural governance.</w:t>
            </w:r>
          </w:p>
        </w:tc>
      </w:tr>
      <w:tr w:rsidR="00AD2EC2" w14:paraId="1E9B7312"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2F09B0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Steep Learning Curve &amp; User Resistance</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3779BB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SAP's user interface, transaction codes, and strict posting validations can overwhelm end-users accustomed to flexible, permissive legacy software.</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E9D2B8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i/>
                <w:iCs/>
                <w:color w:val="222222"/>
                <w:sz w:val="20"/>
                <w:szCs w:val="20"/>
              </w:rPr>
              <w:t>Impact:</w:t>
            </w:r>
            <w:r>
              <w:rPr>
                <w:rFonts w:ascii="Calibri" w:eastAsia="Times New Roman" w:hAnsi="Calibri" w:cs="Calibri"/>
                <w:color w:val="222222"/>
                <w:sz w:val="20"/>
                <w:szCs w:val="20"/>
              </w:rPr>
              <w:t xml:space="preserve"> Operational slowdowns, transaction entry errors, and employee resistance.</w:t>
            </w:r>
            <w:r>
              <w:rPr>
                <w:rFonts w:ascii="Calibri" w:eastAsia="Times New Roman" w:hAnsi="Calibri" w:cs="Calibri"/>
                <w:color w:val="222222"/>
                <w:sz w:val="20"/>
                <w:szCs w:val="20"/>
              </w:rPr>
              <w:br/>
            </w:r>
            <w:r>
              <w:rPr>
                <w:rFonts w:ascii="Calibri" w:eastAsia="Times New Roman" w:hAnsi="Calibri" w:cs="Calibri"/>
                <w:i/>
                <w:iCs/>
                <w:color w:val="222222"/>
                <w:sz w:val="20"/>
                <w:szCs w:val="20"/>
              </w:rPr>
              <w:t>Mitigation:</w:t>
            </w:r>
            <w:r>
              <w:rPr>
                <w:rFonts w:ascii="Calibri" w:eastAsia="Times New Roman" w:hAnsi="Calibri" w:cs="Calibri"/>
                <w:color w:val="222222"/>
                <w:sz w:val="20"/>
                <w:szCs w:val="20"/>
              </w:rPr>
              <w:t xml:space="preserve"> Deploy role-based </w:t>
            </w:r>
            <w:r>
              <w:rPr>
                <w:rFonts w:ascii="Calibri" w:eastAsia="Times New Roman" w:hAnsi="Calibri" w:cs="Calibri"/>
                <w:b/>
                <w:bCs/>
                <w:color w:val="222222"/>
                <w:sz w:val="20"/>
                <w:szCs w:val="20"/>
              </w:rPr>
              <w:t>SAP Fiori</w:t>
            </w:r>
            <w:r>
              <w:rPr>
                <w:rFonts w:ascii="Calibri" w:eastAsia="Times New Roman" w:hAnsi="Calibri" w:cs="Calibri"/>
                <w:color w:val="222222"/>
                <w:sz w:val="20"/>
                <w:szCs w:val="20"/>
              </w:rPr>
              <w:t xml:space="preserve"> modern web applications and comprehensive, continuous end-user change management training.</w:t>
            </w:r>
          </w:p>
        </w:tc>
      </w:tr>
      <w:tr w:rsidR="00AD2EC2" w14:paraId="0133026F" w14:textId="77777777" w:rsidTr="00A60BC9">
        <w:tc>
          <w:tcPr>
            <w:tcW w:w="12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C9A46C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Cross-Module Interdependency Pitfalls</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59A97A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Because FICO is tightly coupled with MM, SD, and PP, an innocent configuration or operational error in logistics (e.g., incorrect valuation class on a material) immediately halts accounting postings.</w:t>
            </w:r>
          </w:p>
        </w:tc>
        <w:tc>
          <w:tcPr>
            <w:tcW w:w="200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6B8236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i/>
                <w:iCs/>
                <w:color w:val="222222"/>
                <w:sz w:val="20"/>
                <w:szCs w:val="20"/>
              </w:rPr>
              <w:t>Impact:</w:t>
            </w:r>
            <w:r>
              <w:rPr>
                <w:rFonts w:ascii="Calibri" w:eastAsia="Times New Roman" w:hAnsi="Calibri" w:cs="Calibri"/>
                <w:color w:val="222222"/>
                <w:sz w:val="20"/>
                <w:szCs w:val="20"/>
              </w:rPr>
              <w:t xml:space="preserve"> Inability to post invoices, ship goods, or complete month-end close.</w:t>
            </w:r>
            <w:r>
              <w:rPr>
                <w:rFonts w:ascii="Calibri" w:eastAsia="Times New Roman" w:hAnsi="Calibri" w:cs="Calibri"/>
                <w:color w:val="222222"/>
                <w:sz w:val="20"/>
                <w:szCs w:val="20"/>
              </w:rPr>
              <w:br/>
            </w:r>
            <w:r>
              <w:rPr>
                <w:rFonts w:ascii="Calibri" w:eastAsia="Times New Roman" w:hAnsi="Calibri" w:cs="Calibri"/>
                <w:i/>
                <w:iCs/>
                <w:color w:val="222222"/>
                <w:sz w:val="20"/>
                <w:szCs w:val="20"/>
              </w:rPr>
              <w:t>Mitigation:</w:t>
            </w:r>
            <w:r>
              <w:rPr>
                <w:rFonts w:ascii="Calibri" w:eastAsia="Times New Roman" w:hAnsi="Calibri" w:cs="Calibri"/>
                <w:color w:val="222222"/>
                <w:sz w:val="20"/>
                <w:szCs w:val="20"/>
              </w:rPr>
              <w:t xml:space="preserve"> Conduct rigorous cross-functional integration testing (SIT 1 and SIT 2) prior to production cutover.</w:t>
            </w:r>
          </w:p>
        </w:tc>
      </w:tr>
    </w:tbl>
    <w:p w14:paraId="1CF111E7"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9. Implementation Best Practice Framework</w:t>
      </w:r>
    </w:p>
    <w:p w14:paraId="67487986"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To navigate the risks identified above, leading enterprise implementations adhere to a structured execution framework: </w:t>
      </w:r>
    </w:p>
    <w:p w14:paraId="626AEE45" w14:textId="77777777" w:rsidR="00AD2EC2" w:rsidRDefault="00AD2EC2" w:rsidP="00AD2EC2">
      <w:pPr>
        <w:widowControl/>
        <w:numPr>
          <w:ilvl w:val="0"/>
          <w:numId w:val="2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Adopt the SAP Activate Methodology:</w:t>
      </w:r>
      <w:r>
        <w:rPr>
          <w:rFonts w:ascii="Calibri" w:eastAsia="Times New Roman" w:hAnsi="Calibri" w:cs="Calibri"/>
          <w:color w:val="222222"/>
          <w:lang w:val="en"/>
        </w:rPr>
        <w:t xml:space="preserve"> </w:t>
      </w:r>
    </w:p>
    <w:p w14:paraId="3B43B478"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 xml:space="preserve">Structure the implementation around six standardized agile phases: </w:t>
      </w:r>
      <w:r>
        <w:rPr>
          <w:rFonts w:ascii="Calibri" w:hAnsi="Calibri" w:cs="Calibri"/>
          <w:b/>
          <w:bCs/>
          <w:color w:val="222222"/>
          <w:sz w:val="22"/>
          <w:szCs w:val="22"/>
          <w:lang w:val="en"/>
        </w:rPr>
        <w:t>Discover</w:t>
      </w:r>
      <w:r>
        <w:rPr>
          <w:rFonts w:ascii="Calibri" w:hAnsi="Calibri" w:cs="Calibri"/>
          <w:color w:val="222222"/>
          <w:sz w:val="22"/>
          <w:szCs w:val="22"/>
          <w:lang w:val="en"/>
        </w:rPr>
        <w:t xml:space="preserve"> (strategy and solution scope), </w:t>
      </w:r>
      <w:r>
        <w:rPr>
          <w:rFonts w:ascii="Calibri" w:hAnsi="Calibri" w:cs="Calibri"/>
          <w:b/>
          <w:bCs/>
          <w:color w:val="222222"/>
          <w:sz w:val="22"/>
          <w:szCs w:val="22"/>
          <w:lang w:val="en"/>
        </w:rPr>
        <w:t>Prepare</w:t>
      </w:r>
      <w:r>
        <w:rPr>
          <w:rFonts w:ascii="Calibri" w:hAnsi="Calibri" w:cs="Calibri"/>
          <w:color w:val="222222"/>
          <w:sz w:val="22"/>
          <w:szCs w:val="22"/>
          <w:lang w:val="en"/>
        </w:rPr>
        <w:t xml:space="preserve"> (project governance and kickoff), </w:t>
      </w:r>
      <w:r>
        <w:rPr>
          <w:rFonts w:ascii="Calibri" w:hAnsi="Calibri" w:cs="Calibri"/>
          <w:b/>
          <w:bCs/>
          <w:color w:val="222222"/>
          <w:sz w:val="22"/>
          <w:szCs w:val="22"/>
          <w:lang w:val="en"/>
        </w:rPr>
        <w:t>Explore</w:t>
      </w:r>
      <w:r>
        <w:rPr>
          <w:rFonts w:ascii="Calibri" w:hAnsi="Calibri" w:cs="Calibri"/>
          <w:color w:val="222222"/>
          <w:sz w:val="22"/>
          <w:szCs w:val="22"/>
          <w:lang w:val="en"/>
        </w:rPr>
        <w:t xml:space="preserve"> (Fit-to-Standard workshops using SAP standard processes), </w:t>
      </w:r>
      <w:r>
        <w:rPr>
          <w:rFonts w:ascii="Calibri" w:hAnsi="Calibri" w:cs="Calibri"/>
          <w:b/>
          <w:bCs/>
          <w:color w:val="222222"/>
          <w:sz w:val="22"/>
          <w:szCs w:val="22"/>
          <w:lang w:val="en"/>
        </w:rPr>
        <w:t>Realize</w:t>
      </w:r>
      <w:r>
        <w:rPr>
          <w:rFonts w:ascii="Calibri" w:hAnsi="Calibri" w:cs="Calibri"/>
          <w:color w:val="222222"/>
          <w:sz w:val="22"/>
          <w:szCs w:val="22"/>
          <w:lang w:val="en"/>
        </w:rPr>
        <w:t xml:space="preserve"> (configuration and agile sprints), </w:t>
      </w:r>
      <w:r>
        <w:rPr>
          <w:rFonts w:ascii="Calibri" w:hAnsi="Calibri" w:cs="Calibri"/>
          <w:b/>
          <w:bCs/>
          <w:color w:val="222222"/>
          <w:sz w:val="22"/>
          <w:szCs w:val="22"/>
          <w:lang w:val="en"/>
        </w:rPr>
        <w:t>Deploy</w:t>
      </w:r>
      <w:r>
        <w:rPr>
          <w:rFonts w:ascii="Calibri" w:hAnsi="Calibri" w:cs="Calibri"/>
          <w:color w:val="222222"/>
          <w:sz w:val="22"/>
          <w:szCs w:val="22"/>
          <w:lang w:val="en"/>
        </w:rPr>
        <w:t xml:space="preserve"> (cutover, dress rehearsals, and go-live), and </w:t>
      </w:r>
      <w:r>
        <w:rPr>
          <w:rFonts w:ascii="Calibri" w:hAnsi="Calibri" w:cs="Calibri"/>
          <w:b/>
          <w:bCs/>
          <w:color w:val="222222"/>
          <w:sz w:val="22"/>
          <w:szCs w:val="22"/>
          <w:lang w:val="en"/>
        </w:rPr>
        <w:t>Run</w:t>
      </w:r>
      <w:r>
        <w:rPr>
          <w:rFonts w:ascii="Calibri" w:hAnsi="Calibri" w:cs="Calibri"/>
          <w:color w:val="222222"/>
          <w:sz w:val="22"/>
          <w:szCs w:val="22"/>
          <w:lang w:val="en"/>
        </w:rPr>
        <w:t xml:space="preserve"> (operations and continuous improvement).</w:t>
      </w:r>
    </w:p>
    <w:p w14:paraId="2F6F2C8C" w14:textId="77777777" w:rsidR="00AD2EC2" w:rsidRDefault="00AD2EC2" w:rsidP="00AD2EC2">
      <w:pPr>
        <w:widowControl/>
        <w:numPr>
          <w:ilvl w:val="0"/>
          <w:numId w:val="2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Enforce "Fit-to-Standard" Architectural Principles:</w:t>
      </w:r>
      <w:r>
        <w:rPr>
          <w:rFonts w:ascii="Calibri" w:eastAsia="Times New Roman" w:hAnsi="Calibri" w:cs="Calibri"/>
          <w:color w:val="222222"/>
          <w:lang w:val="en"/>
        </w:rPr>
        <w:t xml:space="preserve"> </w:t>
      </w:r>
    </w:p>
    <w:p w14:paraId="570CBF3D"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Mandate that 85% to 90% of all financial processes adhere strictly to out-of-the-box SAP Best Practice workflows. Any proposed custom development ("Z-enhancement") must undergo formal executive Architectural Review Board approval demonstrating clear competitive differentiation.</w:t>
      </w:r>
    </w:p>
    <w:p w14:paraId="1F1172D6" w14:textId="77777777" w:rsidR="00AD2EC2" w:rsidRDefault="00AD2EC2" w:rsidP="00AD2EC2">
      <w:pPr>
        <w:widowControl/>
        <w:numPr>
          <w:ilvl w:val="0"/>
          <w:numId w:val="2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Establish Early Chart of Accounts Governance:</w:t>
      </w:r>
      <w:r>
        <w:rPr>
          <w:rFonts w:ascii="Calibri" w:eastAsia="Times New Roman" w:hAnsi="Calibri" w:cs="Calibri"/>
          <w:color w:val="222222"/>
          <w:lang w:val="en"/>
        </w:rPr>
        <w:t xml:space="preserve"> </w:t>
      </w:r>
    </w:p>
    <w:p w14:paraId="7B6F2FE4"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Design a lean, standardized Operational Chart of Accounts early in the blueprint phase. Prohibit the creation of redundant G/L accounts where cost centers, internal orders, or profit centers can achieve the required analytical breakdown.</w:t>
      </w:r>
    </w:p>
    <w:p w14:paraId="738D27D9" w14:textId="77777777" w:rsidR="00AD2EC2" w:rsidRDefault="00AD2EC2" w:rsidP="00AD2EC2">
      <w:pPr>
        <w:widowControl/>
        <w:numPr>
          <w:ilvl w:val="0"/>
          <w:numId w:val="2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Multi-Stage Testing Regimen:</w:t>
      </w:r>
      <w:r>
        <w:rPr>
          <w:rFonts w:ascii="Calibri" w:eastAsia="Times New Roman" w:hAnsi="Calibri" w:cs="Calibri"/>
          <w:color w:val="222222"/>
          <w:lang w:val="en"/>
        </w:rPr>
        <w:t xml:space="preserve"> </w:t>
      </w:r>
    </w:p>
    <w:p w14:paraId="093EB0F0"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 xml:space="preserve">Never rely solely on unit tests. Execute at least two full rounds of </w:t>
      </w:r>
      <w:r>
        <w:rPr>
          <w:rFonts w:ascii="Calibri" w:hAnsi="Calibri" w:cs="Calibri"/>
          <w:b/>
          <w:bCs/>
          <w:color w:val="222222"/>
          <w:sz w:val="22"/>
          <w:szCs w:val="22"/>
          <w:lang w:val="en"/>
        </w:rPr>
        <w:t>System Integration Testing (SIT)</w:t>
      </w:r>
      <w:r>
        <w:rPr>
          <w:rFonts w:ascii="Calibri" w:hAnsi="Calibri" w:cs="Calibri"/>
          <w:color w:val="222222"/>
          <w:sz w:val="22"/>
          <w:szCs w:val="22"/>
          <w:lang w:val="en"/>
        </w:rPr>
        <w:t xml:space="preserve"> simulating real-world cross-module workflows (P2P, O2C, Plan-to-Produce), followed by formal </w:t>
      </w:r>
      <w:r>
        <w:rPr>
          <w:rFonts w:ascii="Calibri" w:hAnsi="Calibri" w:cs="Calibri"/>
          <w:b/>
          <w:bCs/>
          <w:color w:val="222222"/>
          <w:sz w:val="22"/>
          <w:szCs w:val="22"/>
          <w:lang w:val="en"/>
        </w:rPr>
        <w:t>User Acceptance Testing (UAT)</w:t>
      </w:r>
      <w:r>
        <w:rPr>
          <w:rFonts w:ascii="Calibri" w:hAnsi="Calibri" w:cs="Calibri"/>
          <w:color w:val="222222"/>
          <w:sz w:val="22"/>
          <w:szCs w:val="22"/>
          <w:lang w:val="en"/>
        </w:rPr>
        <w:t xml:space="preserve"> and at least two complete </w:t>
      </w:r>
      <w:r>
        <w:rPr>
          <w:rFonts w:ascii="Calibri" w:hAnsi="Calibri" w:cs="Calibri"/>
          <w:b/>
          <w:bCs/>
          <w:color w:val="222222"/>
          <w:sz w:val="22"/>
          <w:szCs w:val="22"/>
          <w:lang w:val="en"/>
        </w:rPr>
        <w:t>Mock Cutover Dress Rehearsals</w:t>
      </w:r>
      <w:r>
        <w:rPr>
          <w:rFonts w:ascii="Calibri" w:hAnsi="Calibri" w:cs="Calibri"/>
          <w:color w:val="222222"/>
          <w:sz w:val="22"/>
          <w:szCs w:val="22"/>
          <w:lang w:val="en"/>
        </w:rPr>
        <w:t xml:space="preserve"> to validate timing and data migration integrity.</w:t>
      </w:r>
    </w:p>
    <w:p w14:paraId="45169977" w14:textId="77777777" w:rsidR="00AD2EC2" w:rsidRDefault="00AD2EC2" w:rsidP="00AD2EC2">
      <w:pPr>
        <w:widowControl/>
        <w:numPr>
          <w:ilvl w:val="0"/>
          <w:numId w:val="23"/>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Establish a Permanent Center of Excellence (CoE):</w:t>
      </w:r>
      <w:r>
        <w:rPr>
          <w:rFonts w:ascii="Calibri" w:eastAsia="Times New Roman" w:hAnsi="Calibri" w:cs="Calibri"/>
          <w:color w:val="222222"/>
          <w:lang w:val="en"/>
        </w:rPr>
        <w:t xml:space="preserve"> </w:t>
      </w:r>
    </w:p>
    <w:p w14:paraId="0F0A3F81" w14:textId="77777777" w:rsidR="00AD2EC2" w:rsidRDefault="00AD2EC2">
      <w:pPr>
        <w:pStyle w:val="NormalWeb"/>
        <w:ind w:left="720"/>
        <w:rPr>
          <w:rFonts w:ascii="Calibri" w:hAnsi="Calibri" w:cs="Calibri"/>
          <w:color w:val="222222"/>
          <w:sz w:val="22"/>
          <w:szCs w:val="22"/>
          <w:lang w:val="en"/>
        </w:rPr>
      </w:pPr>
      <w:r>
        <w:rPr>
          <w:rFonts w:ascii="Calibri" w:hAnsi="Calibri" w:cs="Calibri"/>
          <w:color w:val="222222"/>
          <w:sz w:val="22"/>
          <w:szCs w:val="22"/>
          <w:lang w:val="en"/>
        </w:rPr>
        <w:t>Form an internal SAP Center of Excellence staffed by cross-functional business analysts and technical specialists to oversee post-go-live stabilization, ongoing user training, and continuous innovation adoption.</w:t>
      </w:r>
    </w:p>
    <w:p w14:paraId="1732E01A"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10. Future Outlook: SAP FICO in the Cloud and AI Era</w:t>
      </w:r>
    </w:p>
    <w:p w14:paraId="15CC0DAE" w14:textId="77777777" w:rsidR="00AD2EC2" w:rsidRDefault="00AD2EC2">
      <w:pPr>
        <w:pStyle w:val="NormalWeb"/>
        <w:rPr>
          <w:rFonts w:ascii="Calibri" w:hAnsi="Calibri" w:cs="Calibri"/>
          <w:color w:val="222222"/>
          <w:sz w:val="22"/>
          <w:szCs w:val="22"/>
          <w:lang w:val="en"/>
        </w:rPr>
      </w:pPr>
      <w:r>
        <w:rPr>
          <w:rFonts w:ascii="Calibri" w:hAnsi="Calibri" w:cs="Calibri"/>
          <w:color w:val="222222"/>
          <w:sz w:val="22"/>
          <w:szCs w:val="22"/>
          <w:lang w:val="en"/>
        </w:rPr>
        <w:t xml:space="preserve">The discipline of enterprise financial management is undergoing rapid transformation, propelled by cloud architectures and artificial intelligence: </w:t>
      </w:r>
    </w:p>
    <w:p w14:paraId="50358395" w14:textId="77777777" w:rsidR="00AD2EC2" w:rsidRDefault="00AD2EC2" w:rsidP="00AD2EC2">
      <w:pPr>
        <w:widowControl/>
        <w:numPr>
          <w:ilvl w:val="0"/>
          <w:numId w:val="2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SAP S/4HANA Cloud (Public &amp; Private Editions):</w:t>
      </w:r>
      <w:r>
        <w:rPr>
          <w:rFonts w:ascii="Calibri" w:eastAsia="Times New Roman" w:hAnsi="Calibri" w:cs="Calibri"/>
          <w:color w:val="222222"/>
          <w:lang w:val="en"/>
        </w:rPr>
        <w:t xml:space="preserve"> The market is rapidly transitioning from on-premise perpetual instances toward cloud-native subscription models. S/4HANA Public Cloud enforces strict automated bi-annual upgrades, requiring a clean core with zero custom core modifications.</w:t>
      </w:r>
    </w:p>
    <w:p w14:paraId="3005CDE3" w14:textId="77777777" w:rsidR="00AD2EC2" w:rsidRDefault="00AD2EC2" w:rsidP="00AD2EC2">
      <w:pPr>
        <w:widowControl/>
        <w:numPr>
          <w:ilvl w:val="0"/>
          <w:numId w:val="2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The "Clean Core" Paradigm &amp; SAP BTP:</w:t>
      </w:r>
      <w:r>
        <w:rPr>
          <w:rFonts w:ascii="Calibri" w:eastAsia="Times New Roman" w:hAnsi="Calibri" w:cs="Calibri"/>
          <w:color w:val="222222"/>
          <w:lang w:val="en"/>
        </w:rPr>
        <w:t xml:space="preserve"> Rather than writing custom ABAP code inside the core ERP kernel, modern SAP architectures utilize the </w:t>
      </w:r>
      <w:r>
        <w:rPr>
          <w:rFonts w:ascii="Calibri" w:eastAsia="Times New Roman" w:hAnsi="Calibri" w:cs="Calibri"/>
          <w:b/>
          <w:bCs/>
          <w:color w:val="222222"/>
          <w:lang w:val="en"/>
        </w:rPr>
        <w:t>SAP Business Technology Platform (BTP)</w:t>
      </w:r>
      <w:r>
        <w:rPr>
          <w:rFonts w:ascii="Calibri" w:eastAsia="Times New Roman" w:hAnsi="Calibri" w:cs="Calibri"/>
          <w:color w:val="222222"/>
          <w:lang w:val="en"/>
        </w:rPr>
        <w:t>. Custom sidecar applications, integrations, and extensions connect to the core system via clean APIs and event meshes, ensuring seamless future ERP kernel upgrades.</w:t>
      </w:r>
    </w:p>
    <w:p w14:paraId="69B84060" w14:textId="77777777" w:rsidR="00AD2EC2" w:rsidRDefault="00AD2EC2" w:rsidP="00AD2EC2">
      <w:pPr>
        <w:widowControl/>
        <w:numPr>
          <w:ilvl w:val="0"/>
          <w:numId w:val="2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Generative AI &amp; Copilot (SAP Joule):</w:t>
      </w:r>
      <w:r>
        <w:rPr>
          <w:rFonts w:ascii="Calibri" w:eastAsia="Times New Roman" w:hAnsi="Calibri" w:cs="Calibri"/>
          <w:color w:val="222222"/>
          <w:lang w:val="en"/>
        </w:rPr>
        <w:t xml:space="preserve"> SAP's embedded AI assistant, Joule, is reshaping daily financial operations. Controllers can query complex financial variances via natural language (e.g., </w:t>
      </w:r>
      <w:r>
        <w:rPr>
          <w:rFonts w:ascii="Calibri" w:eastAsia="Times New Roman" w:hAnsi="Calibri" w:cs="Calibri"/>
          <w:i/>
          <w:iCs/>
          <w:color w:val="222222"/>
          <w:lang w:val="en"/>
        </w:rPr>
        <w:t>"Explain the 14% material cost variance in Munich plant during Q3"</w:t>
      </w:r>
      <w:r>
        <w:rPr>
          <w:rFonts w:ascii="Calibri" w:eastAsia="Times New Roman" w:hAnsi="Calibri" w:cs="Calibri"/>
          <w:color w:val="222222"/>
          <w:lang w:val="en"/>
        </w:rPr>
        <w:t>), while AI copilots draft dunning responses, suggest journal entry reconciliations, and predict cash flow bottlenecks.</w:t>
      </w:r>
    </w:p>
    <w:p w14:paraId="5C8A8494" w14:textId="77777777" w:rsidR="00AD2EC2" w:rsidRDefault="00AD2EC2" w:rsidP="00AD2EC2">
      <w:pPr>
        <w:widowControl/>
        <w:numPr>
          <w:ilvl w:val="0"/>
          <w:numId w:val="24"/>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Continuous &amp; Autonomous Accounting:</w:t>
      </w:r>
      <w:r>
        <w:rPr>
          <w:rFonts w:ascii="Calibri" w:eastAsia="Times New Roman" w:hAnsi="Calibri" w:cs="Calibri"/>
          <w:color w:val="222222"/>
          <w:lang w:val="en"/>
        </w:rPr>
        <w:t xml:space="preserve"> The industry is shifting from traditional episodic month-end close batched into high-stress 5-day windows toward </w:t>
      </w:r>
      <w:r>
        <w:rPr>
          <w:rFonts w:ascii="Calibri" w:eastAsia="Times New Roman" w:hAnsi="Calibri" w:cs="Calibri"/>
          <w:b/>
          <w:bCs/>
          <w:color w:val="222222"/>
          <w:lang w:val="en"/>
        </w:rPr>
        <w:t>Continuous Close</w:t>
      </w:r>
      <w:r>
        <w:rPr>
          <w:rFonts w:ascii="Calibri" w:eastAsia="Times New Roman" w:hAnsi="Calibri" w:cs="Calibri"/>
          <w:color w:val="222222"/>
          <w:lang w:val="en"/>
        </w:rPr>
        <w:t>. High-volume routine transactions (invoice matching, cash application, intercompany reconciliations) are settled continuously in real time by automated autonomous agents.</w:t>
      </w:r>
    </w:p>
    <w:p w14:paraId="490D1C93" w14:textId="77777777" w:rsidR="00AD2EC2" w:rsidRDefault="00AD2EC2">
      <w:pPr>
        <w:pStyle w:val="Heading1"/>
        <w:rPr>
          <w:rFonts w:ascii="Calibri" w:eastAsia="Times New Roman" w:hAnsi="Calibri" w:cs="Calibri"/>
          <w:lang w:val="en"/>
        </w:rPr>
      </w:pPr>
      <w:r>
        <w:rPr>
          <w:rFonts w:ascii="Calibri" w:eastAsia="Times New Roman" w:hAnsi="Calibri" w:cs="Calibri"/>
          <w:lang w:val="en"/>
        </w:rPr>
        <w:t>11. Appendices: Key Transaction Codes (T-Codes) &amp; Comprehensive Glossary</w:t>
      </w:r>
    </w:p>
    <w:p w14:paraId="170E0214"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11.1 Master Cheat Sheet of Essential SAP FICO Transaction Codes</w:t>
      </w:r>
    </w:p>
    <w:tbl>
      <w:tblPr>
        <w:tblW w:w="5000" w:type="pct"/>
        <w:tblCellMar>
          <w:top w:w="15" w:type="dxa"/>
          <w:left w:w="15" w:type="dxa"/>
          <w:bottom w:w="15" w:type="dxa"/>
          <w:right w:w="15" w:type="dxa"/>
        </w:tblCellMar>
        <w:tblLook w:val="04A0" w:firstRow="1" w:lastRow="0" w:firstColumn="1" w:lastColumn="0" w:noHBand="0" w:noVBand="1"/>
      </w:tblPr>
      <w:tblGrid>
        <w:gridCol w:w="1402"/>
        <w:gridCol w:w="1402"/>
        <w:gridCol w:w="3270"/>
        <w:gridCol w:w="3270"/>
      </w:tblGrid>
      <w:tr w:rsidR="00AD2EC2" w14:paraId="21B6CE58" w14:textId="77777777" w:rsidTr="00A60BC9">
        <w:tc>
          <w:tcPr>
            <w:tcW w:w="7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0F728878"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Module Area</w:t>
            </w:r>
          </w:p>
        </w:tc>
        <w:tc>
          <w:tcPr>
            <w:tcW w:w="7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37EA16D8"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T-Code</w:t>
            </w:r>
          </w:p>
        </w:tc>
        <w:tc>
          <w:tcPr>
            <w:tcW w:w="17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2A7B3F9A"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Functional Name</w:t>
            </w:r>
          </w:p>
        </w:tc>
        <w:tc>
          <w:tcPr>
            <w:tcW w:w="1750" w:type="pct"/>
            <w:tcBorders>
              <w:top w:val="single" w:sz="6" w:space="0" w:color="003366"/>
              <w:left w:val="single" w:sz="6" w:space="0" w:color="003366"/>
              <w:bottom w:val="single" w:sz="6" w:space="0" w:color="003366"/>
              <w:right w:val="single" w:sz="6" w:space="0" w:color="003366"/>
            </w:tcBorders>
            <w:shd w:val="clear" w:color="auto" w:fill="003366"/>
            <w:tcMar>
              <w:top w:w="120" w:type="dxa"/>
              <w:left w:w="150" w:type="dxa"/>
              <w:bottom w:w="120" w:type="dxa"/>
              <w:right w:w="150" w:type="dxa"/>
            </w:tcMar>
            <w:vAlign w:val="center"/>
            <w:hideMark/>
          </w:tcPr>
          <w:p w14:paraId="5543B655" w14:textId="77777777" w:rsidR="00AD2EC2" w:rsidRDefault="00AD2EC2">
            <w:pPr>
              <w:spacing w:before="24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Operational Purpose / Usage</w:t>
            </w:r>
          </w:p>
        </w:tc>
      </w:tr>
      <w:tr w:rsidR="00AD2EC2" w14:paraId="742F0F1C"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D16DC4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General Ledger</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10DBFF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FS00</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789A89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G/L Account Master Data</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716790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Create, view, or modify General Ledger accounts at chart of accounts and company code level.</w:t>
            </w:r>
          </w:p>
        </w:tc>
      </w:tr>
      <w:tr w:rsidR="00AD2EC2" w14:paraId="1B67B7B0"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C639D22"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General Ledger</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48FF3D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FB50 / F-02</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18AA52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Enter G/L Account Document</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EEE6A0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Single-screen entry of direct journal entries affecting balance sheet and P&amp;L accounts.</w:t>
            </w:r>
          </w:p>
        </w:tc>
      </w:tr>
      <w:tr w:rsidR="00AD2EC2" w14:paraId="41D0A093"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4FEA6B0"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General Ledger</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84DA04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FAGLL03</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50AA4D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G/L Account Line Item Display</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462151D"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Display open, cleared, or all line items for specified G/L accounts in New GL / S/4HANA.</w:t>
            </w:r>
          </w:p>
        </w:tc>
      </w:tr>
      <w:tr w:rsidR="00AD2EC2" w14:paraId="619B5C34"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BACF33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Accounts Payable</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4FBF161"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BP</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067F31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Maintain Business Partner</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EE4FBC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Central S/4HANA transaction to manage vendors, customers, and business partner relationships.</w:t>
            </w:r>
          </w:p>
        </w:tc>
      </w:tr>
      <w:tr w:rsidR="00AD2EC2" w14:paraId="34A3C736"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02D142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Accounts Payable</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C6BE1A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MIRO</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1BCC5AB"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Enter Incoming Logistics Invoice</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1F810A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Perform three-way invoice matching against Purchase Orders and Goods Receipts (MM integration).</w:t>
            </w:r>
          </w:p>
        </w:tc>
      </w:tr>
      <w:tr w:rsidR="00AD2EC2" w14:paraId="79EB0601"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A1E35B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Accounts Payable</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3FF71D1"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F110</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9BE2B9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Automatic Payment Program</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F9A9FA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Schedule automated disbursement runs to clear open vendor invoices and generate bank payment media.</w:t>
            </w:r>
          </w:p>
        </w:tc>
      </w:tr>
      <w:tr w:rsidR="00AD2EC2" w14:paraId="75486F04"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85253B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Accounts Receivable</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96371C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VF01</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71072ED"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Create Billing Document</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D15B83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Generate customer invoices from outbound deliveries, triggering FI-AR and CO-PA postings.</w:t>
            </w:r>
          </w:p>
        </w:tc>
      </w:tr>
      <w:tr w:rsidR="00AD2EC2" w14:paraId="1FA3A87E"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6D7DB4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Accounts Receivable</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203D8C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F150</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8A04E1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Dunning Run</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8E0B59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Execute automated dunning procedures to send overdue payment notices to delinquent customers.</w:t>
            </w:r>
          </w:p>
        </w:tc>
      </w:tr>
      <w:tr w:rsidR="00AD2EC2" w14:paraId="70506CF1"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483B18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Asset Accounting</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B3F6EE0"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AS01 / AS02</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B8D5C7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Create / Change Asset Master</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92234CD"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Establish fixed asset master records under specific asset classes with depreciation parameters.</w:t>
            </w:r>
          </w:p>
        </w:tc>
      </w:tr>
      <w:tr w:rsidR="00AD2EC2" w14:paraId="5279E1F7"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8705CE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FI - Asset Accounting</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9A8CD6D"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AFAB</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BDDC1B1"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Execute Depreciation Posting Run</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55C56C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Calculate and post periodic depreciation expense to the G/L across all active fixed assets.</w:t>
            </w:r>
          </w:p>
        </w:tc>
      </w:tr>
      <w:tr w:rsidR="00AD2EC2" w14:paraId="31BF118D"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8DE9A1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 - Cost Centers</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ECB657C"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KS01 / KS02</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C013829"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Create / Change Cost Center</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5D46F50"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Define cost center master records within the standard organizational hierarchy.</w:t>
            </w:r>
          </w:p>
        </w:tc>
      </w:tr>
      <w:tr w:rsidR="00AD2EC2" w14:paraId="064A7345"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A111EA0"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 - Cost Allocations</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DD08FC7"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KSU5 / KSV5</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528B33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Execute Assessment / Distribution</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5700A5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Run period-end cost allocation cycles to distribute or assess costs between sender and receiver cost centers.</w:t>
            </w:r>
          </w:p>
        </w:tc>
      </w:tr>
      <w:tr w:rsidR="00AD2EC2" w14:paraId="65102A7A"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134DD9A"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 - Internal Orders</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4265E59"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KO01 / KO88</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EFE4A7C"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Create Order / Settle Order</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C7C3BD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Establish internal order collectors and execute period-end settlement to final cost objects.</w:t>
            </w:r>
          </w:p>
        </w:tc>
      </w:tr>
      <w:tr w:rsidR="00AD2EC2" w14:paraId="45D77316"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83A6AD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 - Product Costing</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4211F0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CK11N / CK24</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5B14655"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Create Cost Estimate / Release Price</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2CE41A73"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Calculate standard product cost estimate via BOM/Routing explosion and release standard price to material master.</w:t>
            </w:r>
          </w:p>
        </w:tc>
      </w:tr>
      <w:tr w:rsidR="00AD2EC2" w14:paraId="09B357CF"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7566ED81"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CO - Product Costing</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08B257E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CK40N</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CE27A3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Costing Run</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5776F574"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Execute mass cost estimates across thousands of materials enterprise-wide.</w:t>
            </w:r>
          </w:p>
        </w:tc>
      </w:tr>
      <w:tr w:rsidR="00AD2EC2" w14:paraId="65AF4DE1"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403C4C8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Cross-Module Integration</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451D1C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OBYC</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1EAAD1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Configure Automatic Postings (MM-FI)</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2FF42B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Core configuration table mapping material movements to G/L accounts (BSX, WRX, PRD, GBB).</w:t>
            </w:r>
          </w:p>
        </w:tc>
      </w:tr>
      <w:tr w:rsidR="00AD2EC2" w14:paraId="6DE006FB" w14:textId="77777777" w:rsidTr="00A60BC9">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14BA40E"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Cross-Module Integration</w:t>
            </w:r>
          </w:p>
        </w:tc>
        <w:tc>
          <w:tcPr>
            <w:tcW w:w="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1DE17578"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b/>
                <w:bCs/>
                <w:color w:val="222222"/>
                <w:sz w:val="20"/>
                <w:szCs w:val="20"/>
              </w:rPr>
              <w:t>VKOA</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6D6441E6"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Configure Revenue Determination (SD-FI)</w:t>
            </w:r>
          </w:p>
        </w:tc>
        <w:tc>
          <w:tcPr>
            <w:tcW w:w="1750" w:type="pct"/>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hideMark/>
          </w:tcPr>
          <w:p w14:paraId="3A41156F" w14:textId="77777777" w:rsidR="00AD2EC2" w:rsidRDefault="00AD2EC2">
            <w:pPr>
              <w:spacing w:before="240" w:after="240"/>
              <w:rPr>
                <w:rFonts w:ascii="Calibri" w:eastAsia="Times New Roman" w:hAnsi="Calibri" w:cs="Calibri"/>
                <w:color w:val="222222"/>
                <w:sz w:val="20"/>
                <w:szCs w:val="20"/>
              </w:rPr>
            </w:pPr>
            <w:r>
              <w:rPr>
                <w:rFonts w:ascii="Calibri" w:eastAsia="Times New Roman" w:hAnsi="Calibri" w:cs="Calibri"/>
                <w:color w:val="222222"/>
                <w:sz w:val="20"/>
                <w:szCs w:val="20"/>
              </w:rPr>
              <w:t>Core configuration table mapping sales pricing conditions to revenue and deduction G/L accounts.</w:t>
            </w:r>
          </w:p>
        </w:tc>
      </w:tr>
    </w:tbl>
    <w:p w14:paraId="4678CC36" w14:textId="77777777" w:rsidR="00AD2EC2" w:rsidRDefault="00AD2EC2">
      <w:pPr>
        <w:pStyle w:val="Heading2"/>
        <w:rPr>
          <w:rFonts w:ascii="Calibri" w:eastAsia="Times New Roman" w:hAnsi="Calibri" w:cs="Calibri"/>
          <w:lang w:val="en"/>
        </w:rPr>
      </w:pPr>
      <w:r>
        <w:rPr>
          <w:rFonts w:ascii="Calibri" w:eastAsia="Times New Roman" w:hAnsi="Calibri" w:cs="Calibri"/>
          <w:lang w:val="en"/>
        </w:rPr>
        <w:t>11.2 Comprehensive Glossary of SAP FICO Terminology</w:t>
      </w:r>
    </w:p>
    <w:p w14:paraId="233F055E"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ACDOCA (Universal Journal):</w:t>
      </w:r>
      <w:r>
        <w:rPr>
          <w:rFonts w:ascii="Calibri" w:eastAsia="Times New Roman" w:hAnsi="Calibri" w:cs="Calibri"/>
          <w:color w:val="222222"/>
          <w:lang w:val="en"/>
        </w:rPr>
        <w:t xml:space="preserve"> The single database table introduced in SAP S/4HANA that unifies line items from General Ledger, Controlling, Asset Accounting, Material Ledger, and Profitability Analysis into a single source of financial truth.</w:t>
      </w:r>
    </w:p>
    <w:p w14:paraId="43BDA125"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Activity Type:</w:t>
      </w:r>
      <w:r>
        <w:rPr>
          <w:rFonts w:ascii="Calibri" w:eastAsia="Times New Roman" w:hAnsi="Calibri" w:cs="Calibri"/>
          <w:color w:val="222222"/>
          <w:lang w:val="en"/>
        </w:rPr>
        <w:t xml:space="preserve"> A unit of work performed by a cost center (e.g., machine hours, labor hours) valued at a planned or actual hourly price used to allocate overhead costs to production orders.</w:t>
      </w:r>
    </w:p>
    <w:p w14:paraId="5CDBD28B"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Assessment (KSU5):</w:t>
      </w:r>
      <w:r>
        <w:rPr>
          <w:rFonts w:ascii="Calibri" w:eastAsia="Times New Roman" w:hAnsi="Calibri" w:cs="Calibri"/>
          <w:color w:val="222222"/>
          <w:lang w:val="en"/>
        </w:rPr>
        <w:t xml:space="preserve"> An internal controlling allocation technique that groups diverse primary costs and transfers them to receiver cost centers under a secondary cost element (Category 42).</w:t>
      </w:r>
    </w:p>
    <w:p w14:paraId="782910FC"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Business Partner (BP):</w:t>
      </w:r>
      <w:r>
        <w:rPr>
          <w:rFonts w:ascii="Calibri" w:eastAsia="Times New Roman" w:hAnsi="Calibri" w:cs="Calibri"/>
          <w:color w:val="222222"/>
          <w:lang w:val="en"/>
        </w:rPr>
        <w:t xml:space="preserve"> The modernized master data entity in SAP S/4HANA representing persons, organizations, or groups, harmonizing legacy vendor and customer records.</w:t>
      </w:r>
    </w:p>
    <w:p w14:paraId="5A7D825D"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Chart of Accounts (COA):</w:t>
      </w:r>
      <w:r>
        <w:rPr>
          <w:rFonts w:ascii="Calibri" w:eastAsia="Times New Roman" w:hAnsi="Calibri" w:cs="Calibri"/>
          <w:color w:val="222222"/>
          <w:lang w:val="en"/>
        </w:rPr>
        <w:t xml:space="preserve"> An organized framework of General Ledger accounts used to record transactions and compile financial statements.</w:t>
      </w:r>
    </w:p>
    <w:p w14:paraId="1BFF1C81"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Company Code (BUKRS):</w:t>
      </w:r>
      <w:r>
        <w:rPr>
          <w:rFonts w:ascii="Calibri" w:eastAsia="Times New Roman" w:hAnsi="Calibri" w:cs="Calibri"/>
          <w:color w:val="222222"/>
          <w:lang w:val="en"/>
        </w:rPr>
        <w:t xml:space="preserve"> The smallest legally distinct organizational unit in SAP FI capable of generating independent, statutory financial statements (Balance Sheet, P&amp;L).</w:t>
      </w:r>
    </w:p>
    <w:p w14:paraId="24F537DD"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Controlling Area (KOKRS):</w:t>
      </w:r>
      <w:r>
        <w:rPr>
          <w:rFonts w:ascii="Calibri" w:eastAsia="Times New Roman" w:hAnsi="Calibri" w:cs="Calibri"/>
          <w:color w:val="222222"/>
          <w:lang w:val="en"/>
        </w:rPr>
        <w:t xml:space="preserve"> The highest organizational unit in SAP CO, representing a closed cost accounting boundary across which internal cost allocations can occur.</w:t>
      </w:r>
    </w:p>
    <w:p w14:paraId="6E6CD932"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Distribution (KSV5):</w:t>
      </w:r>
      <w:r>
        <w:rPr>
          <w:rFonts w:ascii="Calibri" w:eastAsia="Times New Roman" w:hAnsi="Calibri" w:cs="Calibri"/>
          <w:color w:val="222222"/>
          <w:lang w:val="en"/>
        </w:rPr>
        <w:t xml:space="preserve"> An internal controlling allocation technique that transfers primary costs while preserving the original primary cost element identity.</w:t>
      </w:r>
    </w:p>
    <w:p w14:paraId="60D5510B"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Document Splitting:</w:t>
      </w:r>
      <w:r>
        <w:rPr>
          <w:rFonts w:ascii="Calibri" w:eastAsia="Times New Roman" w:hAnsi="Calibri" w:cs="Calibri"/>
          <w:color w:val="222222"/>
          <w:lang w:val="en"/>
        </w:rPr>
        <w:t xml:space="preserve"> An automated engine in New GL and S/4HANA that splits non-assigned balance-sheet line items (e.g., Payables, Taxes) across Segments or Profit Centers to guarantee balanced multi-dimensional balance sheets.</w:t>
      </w:r>
    </w:p>
    <w:p w14:paraId="7292F2D4"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GR/IR Clearing Account (WRX):</w:t>
      </w:r>
      <w:r>
        <w:rPr>
          <w:rFonts w:ascii="Calibri" w:eastAsia="Times New Roman" w:hAnsi="Calibri" w:cs="Calibri"/>
          <w:color w:val="222222"/>
          <w:lang w:val="en"/>
        </w:rPr>
        <w:t xml:space="preserve"> A transitional liability account in FI-GL that bridges Goods Receipt and Invoice Receipt in the Procure-to-Pay cycle, clearing to zero when invoices match deliveries.</w:t>
      </w:r>
    </w:p>
    <w:p w14:paraId="0A7A9512"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Material Ledger (ML):</w:t>
      </w:r>
      <w:r>
        <w:rPr>
          <w:rFonts w:ascii="Calibri" w:eastAsia="Times New Roman" w:hAnsi="Calibri" w:cs="Calibri"/>
          <w:color w:val="222222"/>
          <w:lang w:val="en"/>
        </w:rPr>
        <w:t xml:space="preserve"> An SAP tool that tracks inventory values across multiple currencies and provides multi-level actual costing calculations at month-end.</w:t>
      </w:r>
    </w:p>
    <w:p w14:paraId="1BB5964D"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Posting Key:</w:t>
      </w:r>
      <w:r>
        <w:rPr>
          <w:rFonts w:ascii="Calibri" w:eastAsia="Times New Roman" w:hAnsi="Calibri" w:cs="Calibri"/>
          <w:color w:val="222222"/>
          <w:lang w:val="en"/>
        </w:rPr>
        <w:t xml:space="preserve"> A two-digit numeric code that governs line item behavior, controlling whether an entry is a debit or credit, the applicable account type, and field status requirements.</w:t>
      </w:r>
    </w:p>
    <w:p w14:paraId="2053DBBF"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Reconciliation Account:</w:t>
      </w:r>
      <w:r>
        <w:rPr>
          <w:rFonts w:ascii="Calibri" w:eastAsia="Times New Roman" w:hAnsi="Calibri" w:cs="Calibri"/>
          <w:color w:val="222222"/>
          <w:lang w:val="en"/>
        </w:rPr>
        <w:t xml:space="preserve"> A General Ledger account linked to sub-ledger master records (Customers, Vendors, Assets) that is automatically updated in real time whenever sub-ledger postings occur.</w:t>
      </w:r>
    </w:p>
    <w:p w14:paraId="4C21E4B6" w14:textId="77777777" w:rsidR="00AD2EC2" w:rsidRDefault="00AD2EC2" w:rsidP="00AD2EC2">
      <w:pPr>
        <w:widowControl/>
        <w:numPr>
          <w:ilvl w:val="0"/>
          <w:numId w:val="25"/>
        </w:numPr>
        <w:spacing w:before="100" w:beforeAutospacing="1" w:after="75"/>
        <w:rPr>
          <w:rFonts w:ascii="Calibri" w:eastAsia="Times New Roman" w:hAnsi="Calibri" w:cs="Calibri"/>
          <w:color w:val="222222"/>
          <w:lang w:val="en"/>
        </w:rPr>
      </w:pPr>
      <w:r>
        <w:rPr>
          <w:rFonts w:ascii="Calibri" w:eastAsia="Times New Roman" w:hAnsi="Calibri" w:cs="Calibri"/>
          <w:b/>
          <w:bCs/>
          <w:color w:val="222222"/>
          <w:lang w:val="en"/>
        </w:rPr>
        <w:t>Three-Way Matching:</w:t>
      </w:r>
      <w:r>
        <w:rPr>
          <w:rFonts w:ascii="Calibri" w:eastAsia="Times New Roman" w:hAnsi="Calibri" w:cs="Calibri"/>
          <w:color w:val="222222"/>
          <w:lang w:val="en"/>
        </w:rPr>
        <w:t xml:space="preserve"> An automated verification process comparing the Purchase Order price, Goods Receipt quantity, and Vendor Invoice amount before approving payment.</w:t>
      </w:r>
    </w:p>
    <w:p w14:paraId="4B4FE80B" w14:textId="77777777" w:rsidR="00AD2EC2" w:rsidRDefault="00AD2EC2">
      <w:pPr>
        <w:shd w:val="clear" w:color="auto" w:fill="F0F4F8"/>
        <w:ind w:left="0"/>
        <w:jc w:val="center"/>
        <w:divId w:val="1421219174"/>
        <w:rPr>
          <w:rFonts w:ascii="Calibri" w:eastAsia="Times New Roman" w:hAnsi="Calibri" w:cs="Calibri"/>
          <w:color w:val="222222"/>
          <w:lang w:val="en"/>
        </w:rPr>
      </w:pPr>
      <w:r>
        <w:rPr>
          <w:rFonts w:ascii="Calibri" w:eastAsia="Times New Roman" w:hAnsi="Calibri" w:cs="Calibri"/>
          <w:b/>
          <w:bCs/>
          <w:color w:val="222222"/>
          <w:lang w:val="en"/>
        </w:rPr>
        <w:t>End of Research Report • Week 1 Task: Understanding SAP FICO</w:t>
      </w:r>
      <w:r>
        <w:rPr>
          <w:rFonts w:ascii="Calibri" w:eastAsia="Times New Roman" w:hAnsi="Calibri" w:cs="Calibri"/>
          <w:color w:val="222222"/>
          <w:lang w:val="en"/>
        </w:rPr>
        <w:br/>
      </w:r>
      <w:r>
        <w:rPr>
          <w:rFonts w:ascii="Calibri" w:eastAsia="Times New Roman" w:hAnsi="Calibri" w:cs="Calibri"/>
          <w:color w:val="555555"/>
          <w:sz w:val="19"/>
          <w:szCs w:val="19"/>
          <w:lang w:val="en"/>
        </w:rPr>
        <w:t>Prepared for Academic &amp; Professional Financial Systems Evaluation • Published October 2026</w:t>
      </w:r>
      <w:r>
        <w:rPr>
          <w:rFonts w:ascii="Calibri" w:eastAsia="Times New Roman" w:hAnsi="Calibri" w:cs="Calibri"/>
          <w:color w:val="222222"/>
          <w:lang w:val="en"/>
        </w:rPr>
        <w:t xml:space="preserve"> </w:t>
      </w:r>
    </w:p>
    <w:p w14:paraId="5A879B43" w14:textId="77777777" w:rsidR="003141E0" w:rsidRDefault="003141E0"/>
    <w:sectPr w:rsidR="003141E0" w:rsidSect="00A60BC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CB790" w14:textId="77777777" w:rsidR="00A60BC9" w:rsidRDefault="00A60BC9" w:rsidP="00A60BC9">
      <w:r>
        <w:separator/>
      </w:r>
    </w:p>
  </w:endnote>
  <w:endnote w:type="continuationSeparator" w:id="0">
    <w:p w14:paraId="49FF87E8" w14:textId="77777777" w:rsidR="00A60BC9" w:rsidRDefault="00A60BC9" w:rsidP="00A6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080CF" w14:textId="77777777" w:rsidR="00A60BC9" w:rsidRDefault="00A60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F03E" w14:textId="44A427E9" w:rsidR="00A60BC9" w:rsidRPr="00A60BC9" w:rsidRDefault="00A60BC9">
    <w:pPr>
      <w:pStyle w:val="Footer"/>
      <w:rPr>
        <w:rFonts w:ascii="Calibri" w:hAnsi="Calibri" w:cs="Calibri"/>
        <w:color w:val="555555"/>
        <w:sz w:val="18"/>
      </w:rPr>
    </w:pPr>
    <w:r w:rsidRPr="00A60BC9">
      <w:rPr>
        <w:rFonts w:ascii="Calibri" w:hAnsi="Calibri" w:cs="Calibri"/>
        <w:color w:val="555555"/>
        <w:sz w:val="18"/>
      </w:rPr>
      <w:t>SAP FICO Comprehensive Research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D578" w14:textId="77777777" w:rsidR="00A60BC9" w:rsidRDefault="00A6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AD71E" w14:textId="77777777" w:rsidR="00A60BC9" w:rsidRDefault="00A60BC9" w:rsidP="00A60BC9">
      <w:r>
        <w:separator/>
      </w:r>
    </w:p>
  </w:footnote>
  <w:footnote w:type="continuationSeparator" w:id="0">
    <w:p w14:paraId="7C8CFF5B" w14:textId="77777777" w:rsidR="00A60BC9" w:rsidRDefault="00A60BC9" w:rsidP="00A60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BFF2" w14:textId="77777777" w:rsidR="00A60BC9" w:rsidRDefault="00A60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3EACB" w14:textId="6C7E4EDB" w:rsidR="00A60BC9" w:rsidRPr="00A60BC9" w:rsidRDefault="00A60BC9">
    <w:pPr>
      <w:pStyle w:val="Header"/>
      <w:rPr>
        <w:rFonts w:ascii="Calibri" w:hAnsi="Calibri" w:cs="Calibri"/>
        <w:i/>
        <w:color w:val="666666"/>
        <w:sz w:val="17"/>
      </w:rPr>
    </w:pPr>
    <w:r w:rsidRPr="00A60BC9">
      <w:rPr>
        <w:rFonts w:ascii="Calibri" w:hAnsi="Calibri" w:cs="Calibri"/>
        <w:i/>
        <w:color w:val="666666"/>
        <w:sz w:val="17"/>
      </w:rPr>
      <w:t>Enterprise Financial Systems Deliverable | Week 1: Understanding SAP FICO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B3B00" w14:textId="77777777" w:rsidR="00A60BC9" w:rsidRDefault="00A60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13FA2"/>
    <w:multiLevelType w:val="multilevel"/>
    <w:tmpl w:val="DA0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610B1"/>
    <w:multiLevelType w:val="multilevel"/>
    <w:tmpl w:val="F8D4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21033"/>
    <w:multiLevelType w:val="multilevel"/>
    <w:tmpl w:val="4F7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D634B"/>
    <w:multiLevelType w:val="multilevel"/>
    <w:tmpl w:val="EDDC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C2AB8"/>
    <w:multiLevelType w:val="multilevel"/>
    <w:tmpl w:val="355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C2AC8"/>
    <w:multiLevelType w:val="multilevel"/>
    <w:tmpl w:val="C7BE4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A5AC2"/>
    <w:multiLevelType w:val="multilevel"/>
    <w:tmpl w:val="2B4C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F4566"/>
    <w:multiLevelType w:val="multilevel"/>
    <w:tmpl w:val="5972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E52066"/>
    <w:multiLevelType w:val="multilevel"/>
    <w:tmpl w:val="438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8085B"/>
    <w:multiLevelType w:val="multilevel"/>
    <w:tmpl w:val="71B6F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16383"/>
    <w:multiLevelType w:val="multilevel"/>
    <w:tmpl w:val="A40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717F0"/>
    <w:multiLevelType w:val="multilevel"/>
    <w:tmpl w:val="326A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91D92"/>
    <w:multiLevelType w:val="multilevel"/>
    <w:tmpl w:val="21A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051DF"/>
    <w:multiLevelType w:val="multilevel"/>
    <w:tmpl w:val="2F5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557ED"/>
    <w:multiLevelType w:val="multilevel"/>
    <w:tmpl w:val="CE0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F0DEE"/>
    <w:multiLevelType w:val="multilevel"/>
    <w:tmpl w:val="2AD6D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B22E09"/>
    <w:multiLevelType w:val="multilevel"/>
    <w:tmpl w:val="72AA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6164E"/>
    <w:multiLevelType w:val="multilevel"/>
    <w:tmpl w:val="E010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7267B"/>
    <w:multiLevelType w:val="multilevel"/>
    <w:tmpl w:val="E57E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FC015B"/>
    <w:multiLevelType w:val="multilevel"/>
    <w:tmpl w:val="4008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E263E2"/>
    <w:multiLevelType w:val="multilevel"/>
    <w:tmpl w:val="26AC0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99618F"/>
    <w:multiLevelType w:val="multilevel"/>
    <w:tmpl w:val="E28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22B17"/>
    <w:multiLevelType w:val="multilevel"/>
    <w:tmpl w:val="761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F0F84"/>
    <w:multiLevelType w:val="multilevel"/>
    <w:tmpl w:val="D6C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458B0"/>
    <w:multiLevelType w:val="multilevel"/>
    <w:tmpl w:val="2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22"/>
  </w:num>
  <w:num w:numId="4">
    <w:abstractNumId w:val="5"/>
  </w:num>
  <w:num w:numId="5">
    <w:abstractNumId w:val="9"/>
  </w:num>
  <w:num w:numId="6">
    <w:abstractNumId w:val="21"/>
  </w:num>
  <w:num w:numId="7">
    <w:abstractNumId w:val="6"/>
  </w:num>
  <w:num w:numId="8">
    <w:abstractNumId w:val="24"/>
  </w:num>
  <w:num w:numId="9">
    <w:abstractNumId w:val="14"/>
  </w:num>
  <w:num w:numId="10">
    <w:abstractNumId w:val="0"/>
  </w:num>
  <w:num w:numId="11">
    <w:abstractNumId w:val="11"/>
  </w:num>
  <w:num w:numId="12">
    <w:abstractNumId w:val="8"/>
  </w:num>
  <w:num w:numId="13">
    <w:abstractNumId w:val="20"/>
  </w:num>
  <w:num w:numId="14">
    <w:abstractNumId w:val="1"/>
  </w:num>
  <w:num w:numId="15">
    <w:abstractNumId w:val="7"/>
  </w:num>
  <w:num w:numId="16">
    <w:abstractNumId w:val="16"/>
  </w:num>
  <w:num w:numId="17">
    <w:abstractNumId w:val="18"/>
  </w:num>
  <w:num w:numId="18">
    <w:abstractNumId w:val="17"/>
  </w:num>
  <w:num w:numId="19">
    <w:abstractNumId w:val="2"/>
  </w:num>
  <w:num w:numId="20">
    <w:abstractNumId w:val="23"/>
  </w:num>
  <w:num w:numId="21">
    <w:abstractNumId w:val="10"/>
  </w:num>
  <w:num w:numId="22">
    <w:abstractNumId w:val="19"/>
  </w:num>
  <w:num w:numId="23">
    <w:abstractNumId w:val="3"/>
  </w:num>
  <w:num w:numId="24">
    <w:abstractNumId w:val="13"/>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C2"/>
    <w:rsid w:val="003141E0"/>
    <w:rsid w:val="00A60BC9"/>
    <w:rsid w:val="00AD2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0EC5"/>
  <w15:chartTrackingRefBased/>
  <w15:docId w15:val="{B88BD21A-AA01-4466-AB9C-4125AD5F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ind w:left="4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uto"/>
    </w:pPr>
  </w:style>
  <w:style w:type="paragraph" w:styleId="Heading1">
    <w:name w:val="heading 1"/>
    <w:basedOn w:val="Normal"/>
    <w:link w:val="Heading1Char"/>
    <w:uiPriority w:val="9"/>
    <w:qFormat/>
    <w:rsid w:val="00AD2EC2"/>
    <w:pPr>
      <w:keepNext/>
      <w:widowControl/>
      <w:pBdr>
        <w:bottom w:val="single" w:sz="12" w:space="5" w:color="003366"/>
      </w:pBdr>
      <w:spacing w:before="525" w:after="225"/>
      <w:ind w:left="0"/>
      <w:outlineLvl w:val="0"/>
    </w:pPr>
    <w:rPr>
      <w:rFonts w:ascii="Times New Roman" w:eastAsiaTheme="minorEastAsia" w:hAnsi="Times New Roman" w:cs="Times New Roman"/>
      <w:b/>
      <w:bCs/>
      <w:color w:val="003366"/>
      <w:kern w:val="36"/>
      <w:sz w:val="36"/>
      <w:szCs w:val="36"/>
    </w:rPr>
  </w:style>
  <w:style w:type="paragraph" w:styleId="Heading2">
    <w:name w:val="heading 2"/>
    <w:basedOn w:val="Normal"/>
    <w:link w:val="Heading2Char"/>
    <w:uiPriority w:val="9"/>
    <w:qFormat/>
    <w:rsid w:val="00AD2EC2"/>
    <w:pPr>
      <w:keepNext/>
      <w:widowControl/>
      <w:spacing w:before="375" w:after="150"/>
      <w:ind w:left="0"/>
      <w:outlineLvl w:val="1"/>
    </w:pPr>
    <w:rPr>
      <w:rFonts w:ascii="Times New Roman" w:eastAsiaTheme="minorEastAsia" w:hAnsi="Times New Roman" w:cs="Times New Roman"/>
      <w:b/>
      <w:bCs/>
      <w:color w:val="1F4E78"/>
      <w:sz w:val="28"/>
      <w:szCs w:val="28"/>
    </w:rPr>
  </w:style>
  <w:style w:type="paragraph" w:styleId="Heading3">
    <w:name w:val="heading 3"/>
    <w:basedOn w:val="Normal"/>
    <w:link w:val="Heading3Char"/>
    <w:uiPriority w:val="9"/>
    <w:qFormat/>
    <w:rsid w:val="00AD2EC2"/>
    <w:pPr>
      <w:keepNext/>
      <w:widowControl/>
      <w:spacing w:before="270" w:after="120"/>
      <w:ind w:left="0"/>
      <w:outlineLvl w:val="2"/>
    </w:pPr>
    <w:rPr>
      <w:rFonts w:ascii="Times New Roman" w:eastAsiaTheme="minorEastAsia" w:hAnsi="Times New Roman" w:cs="Times New Roman"/>
      <w:b/>
      <w:bCs/>
      <w:color w:val="2D374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EC2"/>
    <w:rPr>
      <w:rFonts w:ascii="Times New Roman" w:eastAsiaTheme="minorEastAsia" w:hAnsi="Times New Roman" w:cs="Times New Roman"/>
      <w:b/>
      <w:bCs/>
      <w:color w:val="003366"/>
      <w:kern w:val="36"/>
      <w:sz w:val="36"/>
      <w:szCs w:val="36"/>
    </w:rPr>
  </w:style>
  <w:style w:type="character" w:customStyle="1" w:styleId="Heading2Char">
    <w:name w:val="Heading 2 Char"/>
    <w:basedOn w:val="DefaultParagraphFont"/>
    <w:link w:val="Heading2"/>
    <w:uiPriority w:val="9"/>
    <w:rsid w:val="00AD2EC2"/>
    <w:rPr>
      <w:rFonts w:ascii="Times New Roman" w:eastAsiaTheme="minorEastAsia" w:hAnsi="Times New Roman" w:cs="Times New Roman"/>
      <w:b/>
      <w:bCs/>
      <w:color w:val="1F4E78"/>
      <w:sz w:val="28"/>
      <w:szCs w:val="28"/>
    </w:rPr>
  </w:style>
  <w:style w:type="character" w:customStyle="1" w:styleId="Heading3Char">
    <w:name w:val="Heading 3 Char"/>
    <w:basedOn w:val="DefaultParagraphFont"/>
    <w:link w:val="Heading3"/>
    <w:uiPriority w:val="9"/>
    <w:rsid w:val="00AD2EC2"/>
    <w:rPr>
      <w:rFonts w:ascii="Times New Roman" w:eastAsiaTheme="minorEastAsia" w:hAnsi="Times New Roman" w:cs="Times New Roman"/>
      <w:b/>
      <w:bCs/>
      <w:color w:val="2D3748"/>
      <w:sz w:val="24"/>
      <w:szCs w:val="24"/>
    </w:rPr>
  </w:style>
  <w:style w:type="paragraph" w:styleId="NormalWeb">
    <w:name w:val="Normal (Web)"/>
    <w:basedOn w:val="Normal"/>
    <w:uiPriority w:val="99"/>
    <w:semiHidden/>
    <w:unhideWhenUsed/>
    <w:rsid w:val="00AD2EC2"/>
    <w:pPr>
      <w:widowControl/>
      <w:spacing w:after="150"/>
      <w:ind w:left="0"/>
      <w:jc w:val="both"/>
    </w:pPr>
    <w:rPr>
      <w:rFonts w:ascii="Times New Roman" w:eastAsiaTheme="minorEastAsia" w:hAnsi="Times New Roman" w:cs="Times New Roman"/>
      <w:sz w:val="24"/>
      <w:szCs w:val="24"/>
    </w:rPr>
  </w:style>
  <w:style w:type="character" w:customStyle="1" w:styleId="toc-number1">
    <w:name w:val="toc-number1"/>
    <w:basedOn w:val="DefaultParagraphFont"/>
    <w:rsid w:val="00AD2EC2"/>
    <w:rPr>
      <w:b/>
      <w:bCs/>
      <w:color w:val="003366"/>
    </w:rPr>
  </w:style>
  <w:style w:type="paragraph" w:styleId="Header">
    <w:name w:val="header"/>
    <w:basedOn w:val="Normal"/>
    <w:link w:val="HeaderChar"/>
    <w:uiPriority w:val="99"/>
    <w:unhideWhenUsed/>
    <w:rsid w:val="00A60BC9"/>
    <w:pPr>
      <w:tabs>
        <w:tab w:val="center" w:pos="4680"/>
        <w:tab w:val="right" w:pos="9360"/>
      </w:tabs>
    </w:pPr>
  </w:style>
  <w:style w:type="character" w:customStyle="1" w:styleId="HeaderChar">
    <w:name w:val="Header Char"/>
    <w:basedOn w:val="DefaultParagraphFont"/>
    <w:link w:val="Header"/>
    <w:uiPriority w:val="99"/>
    <w:rsid w:val="00A60BC9"/>
  </w:style>
  <w:style w:type="paragraph" w:styleId="Footer">
    <w:name w:val="footer"/>
    <w:basedOn w:val="Normal"/>
    <w:link w:val="FooterChar"/>
    <w:uiPriority w:val="99"/>
    <w:unhideWhenUsed/>
    <w:rsid w:val="00A60BC9"/>
    <w:pPr>
      <w:tabs>
        <w:tab w:val="center" w:pos="4680"/>
        <w:tab w:val="right" w:pos="9360"/>
      </w:tabs>
    </w:pPr>
  </w:style>
  <w:style w:type="character" w:customStyle="1" w:styleId="FooterChar">
    <w:name w:val="Footer Char"/>
    <w:basedOn w:val="DefaultParagraphFont"/>
    <w:link w:val="Footer"/>
    <w:uiPriority w:val="99"/>
    <w:rsid w:val="00A60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051915">
      <w:marLeft w:val="0"/>
      <w:marRight w:val="0"/>
      <w:marTop w:val="225"/>
      <w:marBottom w:val="225"/>
      <w:divBdr>
        <w:top w:val="single" w:sz="6" w:space="11" w:color="CBD5E1"/>
        <w:left w:val="single" w:sz="6" w:space="11" w:color="CBD5E1"/>
        <w:bottom w:val="single" w:sz="6" w:space="11" w:color="CBD5E1"/>
        <w:right w:val="single" w:sz="6" w:space="11" w:color="CBD5E1"/>
      </w:divBdr>
    </w:div>
    <w:div w:id="349452425">
      <w:marLeft w:val="0"/>
      <w:marRight w:val="0"/>
      <w:marTop w:val="225"/>
      <w:marBottom w:val="225"/>
      <w:divBdr>
        <w:top w:val="single" w:sz="6" w:space="11" w:color="CBD5E1"/>
        <w:left w:val="single" w:sz="6" w:space="11" w:color="CBD5E1"/>
        <w:bottom w:val="single" w:sz="6" w:space="11" w:color="CBD5E1"/>
        <w:right w:val="single" w:sz="6" w:space="11" w:color="CBD5E1"/>
      </w:divBdr>
    </w:div>
    <w:div w:id="490216092">
      <w:marLeft w:val="0"/>
      <w:marRight w:val="0"/>
      <w:marTop w:val="0"/>
      <w:marBottom w:val="450"/>
      <w:divBdr>
        <w:top w:val="single" w:sz="12" w:space="31" w:color="003366"/>
        <w:left w:val="single" w:sz="12" w:space="15" w:color="003366"/>
        <w:bottom w:val="single" w:sz="12" w:space="30" w:color="003366"/>
        <w:right w:val="single" w:sz="12" w:space="15" w:color="003366"/>
      </w:divBdr>
      <w:divsChild>
        <w:div w:id="1231505040">
          <w:marLeft w:val="0"/>
          <w:marRight w:val="0"/>
          <w:marTop w:val="0"/>
          <w:marBottom w:val="375"/>
          <w:divBdr>
            <w:top w:val="none" w:sz="0" w:space="0" w:color="auto"/>
            <w:left w:val="none" w:sz="0" w:space="0" w:color="auto"/>
            <w:bottom w:val="none" w:sz="0" w:space="0" w:color="auto"/>
            <w:right w:val="none" w:sz="0" w:space="0" w:color="auto"/>
          </w:divBdr>
        </w:div>
        <w:div w:id="217057205">
          <w:marLeft w:val="0"/>
          <w:marRight w:val="0"/>
          <w:marTop w:val="225"/>
          <w:marBottom w:val="225"/>
          <w:divBdr>
            <w:top w:val="none" w:sz="0" w:space="0" w:color="auto"/>
            <w:left w:val="none" w:sz="0" w:space="0" w:color="auto"/>
            <w:bottom w:val="none" w:sz="0" w:space="0" w:color="auto"/>
            <w:right w:val="none" w:sz="0" w:space="0" w:color="auto"/>
          </w:divBdr>
        </w:div>
        <w:div w:id="947353398">
          <w:marLeft w:val="0"/>
          <w:marRight w:val="0"/>
          <w:marTop w:val="300"/>
          <w:marBottom w:val="600"/>
          <w:divBdr>
            <w:top w:val="none" w:sz="0" w:space="0" w:color="auto"/>
            <w:left w:val="none" w:sz="0" w:space="0" w:color="auto"/>
            <w:bottom w:val="none" w:sz="0" w:space="0" w:color="auto"/>
            <w:right w:val="none" w:sz="0" w:space="0" w:color="auto"/>
          </w:divBdr>
        </w:div>
        <w:div w:id="310252663">
          <w:marLeft w:val="0"/>
          <w:marRight w:val="0"/>
          <w:marTop w:val="750"/>
          <w:marBottom w:val="0"/>
          <w:divBdr>
            <w:top w:val="single" w:sz="6" w:space="19" w:color="CBD5E1"/>
            <w:left w:val="none" w:sz="0" w:space="0" w:color="auto"/>
            <w:bottom w:val="none" w:sz="0" w:space="0" w:color="auto"/>
            <w:right w:val="none" w:sz="0" w:space="0" w:color="auto"/>
          </w:divBdr>
        </w:div>
      </w:divsChild>
    </w:div>
    <w:div w:id="498471749">
      <w:marLeft w:val="0"/>
      <w:marRight w:val="0"/>
      <w:marTop w:val="240"/>
      <w:marBottom w:val="240"/>
      <w:divBdr>
        <w:top w:val="none" w:sz="0" w:space="0" w:color="auto"/>
        <w:left w:val="single" w:sz="36" w:space="12" w:color="003366"/>
        <w:bottom w:val="none" w:sz="0" w:space="0" w:color="auto"/>
        <w:right w:val="none" w:sz="0" w:space="0" w:color="auto"/>
      </w:divBdr>
      <w:divsChild>
        <w:div w:id="1026519976">
          <w:marLeft w:val="0"/>
          <w:marRight w:val="0"/>
          <w:marTop w:val="0"/>
          <w:marBottom w:val="75"/>
          <w:divBdr>
            <w:top w:val="none" w:sz="0" w:space="0" w:color="auto"/>
            <w:left w:val="none" w:sz="0" w:space="0" w:color="auto"/>
            <w:bottom w:val="none" w:sz="0" w:space="0" w:color="auto"/>
            <w:right w:val="none" w:sz="0" w:space="0" w:color="auto"/>
          </w:divBdr>
        </w:div>
      </w:divsChild>
    </w:div>
    <w:div w:id="602691513">
      <w:marLeft w:val="0"/>
      <w:marRight w:val="0"/>
      <w:marTop w:val="240"/>
      <w:marBottom w:val="240"/>
      <w:divBdr>
        <w:top w:val="none" w:sz="0" w:space="0" w:color="auto"/>
        <w:left w:val="single" w:sz="36" w:space="12" w:color="059669"/>
        <w:bottom w:val="none" w:sz="0" w:space="0" w:color="auto"/>
        <w:right w:val="none" w:sz="0" w:space="0" w:color="auto"/>
      </w:divBdr>
      <w:divsChild>
        <w:div w:id="1903517430">
          <w:marLeft w:val="0"/>
          <w:marRight w:val="0"/>
          <w:marTop w:val="0"/>
          <w:marBottom w:val="75"/>
          <w:divBdr>
            <w:top w:val="none" w:sz="0" w:space="0" w:color="auto"/>
            <w:left w:val="none" w:sz="0" w:space="0" w:color="auto"/>
            <w:bottom w:val="none" w:sz="0" w:space="0" w:color="auto"/>
            <w:right w:val="none" w:sz="0" w:space="0" w:color="auto"/>
          </w:divBdr>
        </w:div>
      </w:divsChild>
    </w:div>
    <w:div w:id="609628793">
      <w:marLeft w:val="0"/>
      <w:marRight w:val="0"/>
      <w:marTop w:val="225"/>
      <w:marBottom w:val="225"/>
      <w:divBdr>
        <w:top w:val="single" w:sz="6" w:space="11" w:color="CBD5E1"/>
        <w:left w:val="single" w:sz="6" w:space="11" w:color="CBD5E1"/>
        <w:bottom w:val="single" w:sz="6" w:space="11" w:color="CBD5E1"/>
        <w:right w:val="single" w:sz="6" w:space="11" w:color="CBD5E1"/>
      </w:divBdr>
    </w:div>
    <w:div w:id="626929733">
      <w:marLeft w:val="0"/>
      <w:marRight w:val="0"/>
      <w:marTop w:val="225"/>
      <w:marBottom w:val="225"/>
      <w:divBdr>
        <w:top w:val="single" w:sz="6" w:space="11" w:color="CBD5E1"/>
        <w:left w:val="single" w:sz="6" w:space="11" w:color="CBD5E1"/>
        <w:bottom w:val="single" w:sz="6" w:space="11" w:color="CBD5E1"/>
        <w:right w:val="single" w:sz="6" w:space="11" w:color="CBD5E1"/>
      </w:divBdr>
    </w:div>
    <w:div w:id="665938814">
      <w:marLeft w:val="0"/>
      <w:marRight w:val="0"/>
      <w:marTop w:val="225"/>
      <w:marBottom w:val="225"/>
      <w:divBdr>
        <w:top w:val="single" w:sz="6" w:space="11" w:color="CBD5E1"/>
        <w:left w:val="single" w:sz="6" w:space="11" w:color="CBD5E1"/>
        <w:bottom w:val="single" w:sz="6" w:space="11" w:color="CBD5E1"/>
        <w:right w:val="single" w:sz="6" w:space="11" w:color="CBD5E1"/>
      </w:divBdr>
    </w:div>
    <w:div w:id="837577761">
      <w:marLeft w:val="0"/>
      <w:marRight w:val="0"/>
      <w:marTop w:val="225"/>
      <w:marBottom w:val="225"/>
      <w:divBdr>
        <w:top w:val="single" w:sz="6" w:space="11" w:color="CBD5E1"/>
        <w:left w:val="single" w:sz="6" w:space="11" w:color="CBD5E1"/>
        <w:bottom w:val="single" w:sz="6" w:space="11" w:color="CBD5E1"/>
        <w:right w:val="single" w:sz="6" w:space="11" w:color="CBD5E1"/>
      </w:divBdr>
    </w:div>
    <w:div w:id="958950258">
      <w:marLeft w:val="0"/>
      <w:marRight w:val="0"/>
      <w:marTop w:val="240"/>
      <w:marBottom w:val="240"/>
      <w:divBdr>
        <w:top w:val="none" w:sz="0" w:space="0" w:color="auto"/>
        <w:left w:val="single" w:sz="36" w:space="12" w:color="003366"/>
        <w:bottom w:val="none" w:sz="0" w:space="0" w:color="auto"/>
        <w:right w:val="none" w:sz="0" w:space="0" w:color="auto"/>
      </w:divBdr>
      <w:divsChild>
        <w:div w:id="273559443">
          <w:marLeft w:val="0"/>
          <w:marRight w:val="0"/>
          <w:marTop w:val="0"/>
          <w:marBottom w:val="75"/>
          <w:divBdr>
            <w:top w:val="none" w:sz="0" w:space="0" w:color="auto"/>
            <w:left w:val="none" w:sz="0" w:space="0" w:color="auto"/>
            <w:bottom w:val="none" w:sz="0" w:space="0" w:color="auto"/>
            <w:right w:val="none" w:sz="0" w:space="0" w:color="auto"/>
          </w:divBdr>
        </w:div>
      </w:divsChild>
    </w:div>
    <w:div w:id="1212230571">
      <w:marLeft w:val="0"/>
      <w:marRight w:val="0"/>
      <w:marTop w:val="225"/>
      <w:marBottom w:val="225"/>
      <w:divBdr>
        <w:top w:val="single" w:sz="6" w:space="11" w:color="CBD5E1"/>
        <w:left w:val="single" w:sz="6" w:space="11" w:color="CBD5E1"/>
        <w:bottom w:val="single" w:sz="6" w:space="11" w:color="CBD5E1"/>
        <w:right w:val="single" w:sz="6" w:space="11" w:color="CBD5E1"/>
      </w:divBdr>
    </w:div>
    <w:div w:id="1292398122">
      <w:marLeft w:val="0"/>
      <w:marRight w:val="0"/>
      <w:marTop w:val="240"/>
      <w:marBottom w:val="240"/>
      <w:divBdr>
        <w:top w:val="none" w:sz="0" w:space="0" w:color="auto"/>
        <w:left w:val="single" w:sz="36" w:space="12" w:color="003366"/>
        <w:bottom w:val="none" w:sz="0" w:space="0" w:color="auto"/>
        <w:right w:val="none" w:sz="0" w:space="0" w:color="auto"/>
      </w:divBdr>
      <w:divsChild>
        <w:div w:id="1807549372">
          <w:marLeft w:val="0"/>
          <w:marRight w:val="0"/>
          <w:marTop w:val="0"/>
          <w:marBottom w:val="75"/>
          <w:divBdr>
            <w:top w:val="none" w:sz="0" w:space="0" w:color="auto"/>
            <w:left w:val="none" w:sz="0" w:space="0" w:color="auto"/>
            <w:bottom w:val="none" w:sz="0" w:space="0" w:color="auto"/>
            <w:right w:val="none" w:sz="0" w:space="0" w:color="auto"/>
          </w:divBdr>
        </w:div>
      </w:divsChild>
    </w:div>
    <w:div w:id="1421219174">
      <w:marLeft w:val="0"/>
      <w:marRight w:val="0"/>
      <w:marTop w:val="525"/>
      <w:marBottom w:val="240"/>
      <w:divBdr>
        <w:top w:val="none" w:sz="0" w:space="0" w:color="auto"/>
        <w:left w:val="single" w:sz="36" w:space="12" w:color="003366"/>
        <w:bottom w:val="none" w:sz="0" w:space="0" w:color="auto"/>
        <w:right w:val="none" w:sz="0" w:space="0" w:color="auto"/>
      </w:divBdr>
    </w:div>
    <w:div w:id="1520242401">
      <w:marLeft w:val="0"/>
      <w:marRight w:val="0"/>
      <w:marTop w:val="225"/>
      <w:marBottom w:val="225"/>
      <w:divBdr>
        <w:top w:val="single" w:sz="6" w:space="11" w:color="CBD5E1"/>
        <w:left w:val="single" w:sz="6" w:space="11" w:color="CBD5E1"/>
        <w:bottom w:val="single" w:sz="6" w:space="11" w:color="CBD5E1"/>
        <w:right w:val="single" w:sz="6" w:space="11" w:color="CBD5E1"/>
      </w:divBdr>
    </w:div>
    <w:div w:id="1534414407">
      <w:marLeft w:val="0"/>
      <w:marRight w:val="0"/>
      <w:marTop w:val="240"/>
      <w:marBottom w:val="240"/>
      <w:divBdr>
        <w:top w:val="none" w:sz="0" w:space="0" w:color="auto"/>
        <w:left w:val="single" w:sz="36" w:space="12" w:color="003366"/>
        <w:bottom w:val="none" w:sz="0" w:space="0" w:color="auto"/>
        <w:right w:val="none" w:sz="0" w:space="0" w:color="auto"/>
      </w:divBdr>
      <w:divsChild>
        <w:div w:id="1657687071">
          <w:marLeft w:val="0"/>
          <w:marRight w:val="0"/>
          <w:marTop w:val="0"/>
          <w:marBottom w:val="75"/>
          <w:divBdr>
            <w:top w:val="none" w:sz="0" w:space="0" w:color="auto"/>
            <w:left w:val="none" w:sz="0" w:space="0" w:color="auto"/>
            <w:bottom w:val="none" w:sz="0" w:space="0" w:color="auto"/>
            <w:right w:val="none" w:sz="0" w:space="0" w:color="auto"/>
          </w:divBdr>
        </w:div>
      </w:divsChild>
    </w:div>
    <w:div w:id="1561593649">
      <w:marLeft w:val="0"/>
      <w:marRight w:val="0"/>
      <w:marTop w:val="225"/>
      <w:marBottom w:val="225"/>
      <w:divBdr>
        <w:top w:val="single" w:sz="6" w:space="11" w:color="CBD5E1"/>
        <w:left w:val="single" w:sz="6" w:space="11" w:color="CBD5E1"/>
        <w:bottom w:val="single" w:sz="6" w:space="11" w:color="CBD5E1"/>
        <w:right w:val="single" w:sz="6" w:space="11" w:color="CBD5E1"/>
      </w:divBdr>
    </w:div>
    <w:div w:id="1688559957">
      <w:marLeft w:val="0"/>
      <w:marRight w:val="0"/>
      <w:marTop w:val="225"/>
      <w:marBottom w:val="225"/>
      <w:divBdr>
        <w:top w:val="single" w:sz="6" w:space="11" w:color="CBD5E1"/>
        <w:left w:val="single" w:sz="6" w:space="11" w:color="CBD5E1"/>
        <w:bottom w:val="single" w:sz="6" w:space="11" w:color="CBD5E1"/>
        <w:right w:val="single" w:sz="6" w:space="11" w:color="CBD5E1"/>
      </w:divBdr>
    </w:div>
    <w:div w:id="1731924821">
      <w:marLeft w:val="0"/>
      <w:marRight w:val="0"/>
      <w:marTop w:val="225"/>
      <w:marBottom w:val="225"/>
      <w:divBdr>
        <w:top w:val="single" w:sz="6" w:space="11" w:color="CBD5E1"/>
        <w:left w:val="single" w:sz="6" w:space="11" w:color="CBD5E1"/>
        <w:bottom w:val="single" w:sz="6" w:space="11" w:color="CBD5E1"/>
        <w:right w:val="single" w:sz="6" w:space="11" w:color="CBD5E1"/>
      </w:divBdr>
    </w:div>
    <w:div w:id="2017993396">
      <w:marLeft w:val="0"/>
      <w:marRight w:val="0"/>
      <w:marTop w:val="225"/>
      <w:marBottom w:val="225"/>
      <w:divBdr>
        <w:top w:val="single" w:sz="6" w:space="11" w:color="CBD5E1"/>
        <w:left w:val="single" w:sz="6" w:space="11" w:color="CBD5E1"/>
        <w:bottom w:val="single" w:sz="6" w:space="11" w:color="CBD5E1"/>
        <w:right w:val="single" w:sz="6" w:space="11" w:color="CBD5E1"/>
      </w:divBdr>
    </w:div>
    <w:div w:id="2046130382">
      <w:marLeft w:val="0"/>
      <w:marRight w:val="0"/>
      <w:marTop w:val="0"/>
      <w:marBottom w:val="450"/>
      <w:divBdr>
        <w:top w:val="single" w:sz="6" w:space="15" w:color="CBD5E1"/>
        <w:left w:val="single" w:sz="6" w:space="19" w:color="CBD5E1"/>
        <w:bottom w:val="single" w:sz="6" w:space="15" w:color="CBD5E1"/>
        <w:right w:val="single" w:sz="6" w:space="19" w:color="CBD5E1"/>
      </w:divBdr>
      <w:divsChild>
        <w:div w:id="1644314149">
          <w:marLeft w:val="0"/>
          <w:marRight w:val="0"/>
          <w:marTop w:val="120"/>
          <w:marBottom w:val="120"/>
          <w:divBdr>
            <w:top w:val="none" w:sz="0" w:space="0" w:color="auto"/>
            <w:left w:val="none" w:sz="0" w:space="0" w:color="auto"/>
            <w:bottom w:val="none" w:sz="0" w:space="0" w:color="auto"/>
            <w:right w:val="none" w:sz="0" w:space="0" w:color="auto"/>
          </w:divBdr>
        </w:div>
        <w:div w:id="445195200">
          <w:marLeft w:val="0"/>
          <w:marRight w:val="0"/>
          <w:marTop w:val="120"/>
          <w:marBottom w:val="120"/>
          <w:divBdr>
            <w:top w:val="none" w:sz="0" w:space="0" w:color="auto"/>
            <w:left w:val="none" w:sz="0" w:space="0" w:color="auto"/>
            <w:bottom w:val="none" w:sz="0" w:space="0" w:color="auto"/>
            <w:right w:val="none" w:sz="0" w:space="0" w:color="auto"/>
          </w:divBdr>
        </w:div>
        <w:div w:id="56124195">
          <w:marLeft w:val="0"/>
          <w:marRight w:val="0"/>
          <w:marTop w:val="120"/>
          <w:marBottom w:val="120"/>
          <w:divBdr>
            <w:top w:val="none" w:sz="0" w:space="0" w:color="auto"/>
            <w:left w:val="none" w:sz="0" w:space="0" w:color="auto"/>
            <w:bottom w:val="none" w:sz="0" w:space="0" w:color="auto"/>
            <w:right w:val="none" w:sz="0" w:space="0" w:color="auto"/>
          </w:divBdr>
        </w:div>
        <w:div w:id="1660691721">
          <w:marLeft w:val="0"/>
          <w:marRight w:val="0"/>
          <w:marTop w:val="120"/>
          <w:marBottom w:val="120"/>
          <w:divBdr>
            <w:top w:val="none" w:sz="0" w:space="0" w:color="auto"/>
            <w:left w:val="none" w:sz="0" w:space="0" w:color="auto"/>
            <w:bottom w:val="none" w:sz="0" w:space="0" w:color="auto"/>
            <w:right w:val="none" w:sz="0" w:space="0" w:color="auto"/>
          </w:divBdr>
        </w:div>
        <w:div w:id="1826237566">
          <w:marLeft w:val="0"/>
          <w:marRight w:val="0"/>
          <w:marTop w:val="120"/>
          <w:marBottom w:val="120"/>
          <w:divBdr>
            <w:top w:val="none" w:sz="0" w:space="0" w:color="auto"/>
            <w:left w:val="none" w:sz="0" w:space="0" w:color="auto"/>
            <w:bottom w:val="none" w:sz="0" w:space="0" w:color="auto"/>
            <w:right w:val="none" w:sz="0" w:space="0" w:color="auto"/>
          </w:divBdr>
        </w:div>
        <w:div w:id="1620455820">
          <w:marLeft w:val="0"/>
          <w:marRight w:val="0"/>
          <w:marTop w:val="120"/>
          <w:marBottom w:val="120"/>
          <w:divBdr>
            <w:top w:val="none" w:sz="0" w:space="0" w:color="auto"/>
            <w:left w:val="none" w:sz="0" w:space="0" w:color="auto"/>
            <w:bottom w:val="none" w:sz="0" w:space="0" w:color="auto"/>
            <w:right w:val="none" w:sz="0" w:space="0" w:color="auto"/>
          </w:divBdr>
        </w:div>
        <w:div w:id="1475483001">
          <w:marLeft w:val="0"/>
          <w:marRight w:val="0"/>
          <w:marTop w:val="120"/>
          <w:marBottom w:val="120"/>
          <w:divBdr>
            <w:top w:val="none" w:sz="0" w:space="0" w:color="auto"/>
            <w:left w:val="none" w:sz="0" w:space="0" w:color="auto"/>
            <w:bottom w:val="none" w:sz="0" w:space="0" w:color="auto"/>
            <w:right w:val="none" w:sz="0" w:space="0" w:color="auto"/>
          </w:divBdr>
        </w:div>
        <w:div w:id="1573351778">
          <w:marLeft w:val="0"/>
          <w:marRight w:val="0"/>
          <w:marTop w:val="120"/>
          <w:marBottom w:val="120"/>
          <w:divBdr>
            <w:top w:val="none" w:sz="0" w:space="0" w:color="auto"/>
            <w:left w:val="none" w:sz="0" w:space="0" w:color="auto"/>
            <w:bottom w:val="none" w:sz="0" w:space="0" w:color="auto"/>
            <w:right w:val="none" w:sz="0" w:space="0" w:color="auto"/>
          </w:divBdr>
        </w:div>
        <w:div w:id="1657343817">
          <w:marLeft w:val="0"/>
          <w:marRight w:val="0"/>
          <w:marTop w:val="120"/>
          <w:marBottom w:val="120"/>
          <w:divBdr>
            <w:top w:val="none" w:sz="0" w:space="0" w:color="auto"/>
            <w:left w:val="none" w:sz="0" w:space="0" w:color="auto"/>
            <w:bottom w:val="none" w:sz="0" w:space="0" w:color="auto"/>
            <w:right w:val="none" w:sz="0" w:space="0" w:color="auto"/>
          </w:divBdr>
        </w:div>
        <w:div w:id="48311221">
          <w:marLeft w:val="0"/>
          <w:marRight w:val="0"/>
          <w:marTop w:val="120"/>
          <w:marBottom w:val="120"/>
          <w:divBdr>
            <w:top w:val="none" w:sz="0" w:space="0" w:color="auto"/>
            <w:left w:val="none" w:sz="0" w:space="0" w:color="auto"/>
            <w:bottom w:val="none" w:sz="0" w:space="0" w:color="auto"/>
            <w:right w:val="none" w:sz="0" w:space="0" w:color="auto"/>
          </w:divBdr>
        </w:div>
        <w:div w:id="1393385834">
          <w:marLeft w:val="0"/>
          <w:marRight w:val="0"/>
          <w:marTop w:val="120"/>
          <w:marBottom w:val="120"/>
          <w:divBdr>
            <w:top w:val="none" w:sz="0" w:space="0" w:color="auto"/>
            <w:left w:val="none" w:sz="0" w:space="0" w:color="auto"/>
            <w:bottom w:val="none" w:sz="0" w:space="0" w:color="auto"/>
            <w:right w:val="none" w:sz="0" w:space="0" w:color="auto"/>
          </w:divBdr>
        </w:div>
        <w:div w:id="1024400995">
          <w:marLeft w:val="0"/>
          <w:marRight w:val="0"/>
          <w:marTop w:val="120"/>
          <w:marBottom w:val="120"/>
          <w:divBdr>
            <w:top w:val="none" w:sz="0" w:space="0" w:color="auto"/>
            <w:left w:val="none" w:sz="0" w:space="0" w:color="auto"/>
            <w:bottom w:val="none" w:sz="0" w:space="0" w:color="auto"/>
            <w:right w:val="none" w:sz="0" w:space="0" w:color="auto"/>
          </w:divBdr>
        </w:div>
        <w:div w:id="1309431046">
          <w:marLeft w:val="0"/>
          <w:marRight w:val="0"/>
          <w:marTop w:val="120"/>
          <w:marBottom w:val="120"/>
          <w:divBdr>
            <w:top w:val="none" w:sz="0" w:space="0" w:color="auto"/>
            <w:left w:val="none" w:sz="0" w:space="0" w:color="auto"/>
            <w:bottom w:val="none" w:sz="0" w:space="0" w:color="auto"/>
            <w:right w:val="none" w:sz="0" w:space="0" w:color="auto"/>
          </w:divBdr>
        </w:div>
        <w:div w:id="1767531544">
          <w:marLeft w:val="0"/>
          <w:marRight w:val="0"/>
          <w:marTop w:val="120"/>
          <w:marBottom w:val="120"/>
          <w:divBdr>
            <w:top w:val="none" w:sz="0" w:space="0" w:color="auto"/>
            <w:left w:val="none" w:sz="0" w:space="0" w:color="auto"/>
            <w:bottom w:val="none" w:sz="0" w:space="0" w:color="auto"/>
            <w:right w:val="none" w:sz="0" w:space="0" w:color="auto"/>
          </w:divBdr>
        </w:div>
        <w:div w:id="35853650">
          <w:marLeft w:val="0"/>
          <w:marRight w:val="0"/>
          <w:marTop w:val="120"/>
          <w:marBottom w:val="120"/>
          <w:divBdr>
            <w:top w:val="none" w:sz="0" w:space="0" w:color="auto"/>
            <w:left w:val="none" w:sz="0" w:space="0" w:color="auto"/>
            <w:bottom w:val="none" w:sz="0" w:space="0" w:color="auto"/>
            <w:right w:val="none" w:sz="0" w:space="0" w:color="auto"/>
          </w:divBdr>
        </w:div>
        <w:div w:id="2038307818">
          <w:marLeft w:val="0"/>
          <w:marRight w:val="0"/>
          <w:marTop w:val="120"/>
          <w:marBottom w:val="120"/>
          <w:divBdr>
            <w:top w:val="none" w:sz="0" w:space="0" w:color="auto"/>
            <w:left w:val="none" w:sz="0" w:space="0" w:color="auto"/>
            <w:bottom w:val="none" w:sz="0" w:space="0" w:color="auto"/>
            <w:right w:val="none" w:sz="0" w:space="0" w:color="auto"/>
          </w:divBdr>
        </w:div>
        <w:div w:id="1858739220">
          <w:marLeft w:val="0"/>
          <w:marRight w:val="0"/>
          <w:marTop w:val="120"/>
          <w:marBottom w:val="120"/>
          <w:divBdr>
            <w:top w:val="none" w:sz="0" w:space="0" w:color="auto"/>
            <w:left w:val="none" w:sz="0" w:space="0" w:color="auto"/>
            <w:bottom w:val="none" w:sz="0" w:space="0" w:color="auto"/>
            <w:right w:val="none" w:sz="0" w:space="0" w:color="auto"/>
          </w:divBdr>
        </w:div>
        <w:div w:id="909925104">
          <w:marLeft w:val="0"/>
          <w:marRight w:val="0"/>
          <w:marTop w:val="120"/>
          <w:marBottom w:val="120"/>
          <w:divBdr>
            <w:top w:val="none" w:sz="0" w:space="0" w:color="auto"/>
            <w:left w:val="none" w:sz="0" w:space="0" w:color="auto"/>
            <w:bottom w:val="none" w:sz="0" w:space="0" w:color="auto"/>
            <w:right w:val="none" w:sz="0" w:space="0" w:color="auto"/>
          </w:divBdr>
        </w:div>
        <w:div w:id="1409813930">
          <w:marLeft w:val="0"/>
          <w:marRight w:val="0"/>
          <w:marTop w:val="120"/>
          <w:marBottom w:val="120"/>
          <w:divBdr>
            <w:top w:val="none" w:sz="0" w:space="0" w:color="auto"/>
            <w:left w:val="none" w:sz="0" w:space="0" w:color="auto"/>
            <w:bottom w:val="none" w:sz="0" w:space="0" w:color="auto"/>
            <w:right w:val="none" w:sz="0" w:space="0" w:color="auto"/>
          </w:divBdr>
        </w:div>
        <w:div w:id="1290933598">
          <w:marLeft w:val="0"/>
          <w:marRight w:val="0"/>
          <w:marTop w:val="120"/>
          <w:marBottom w:val="120"/>
          <w:divBdr>
            <w:top w:val="none" w:sz="0" w:space="0" w:color="auto"/>
            <w:left w:val="none" w:sz="0" w:space="0" w:color="auto"/>
            <w:bottom w:val="none" w:sz="0" w:space="0" w:color="auto"/>
            <w:right w:val="none" w:sz="0" w:space="0" w:color="auto"/>
          </w:divBdr>
        </w:div>
        <w:div w:id="1295334736">
          <w:marLeft w:val="0"/>
          <w:marRight w:val="0"/>
          <w:marTop w:val="120"/>
          <w:marBottom w:val="120"/>
          <w:divBdr>
            <w:top w:val="none" w:sz="0" w:space="0" w:color="auto"/>
            <w:left w:val="none" w:sz="0" w:space="0" w:color="auto"/>
            <w:bottom w:val="none" w:sz="0" w:space="0" w:color="auto"/>
            <w:right w:val="none" w:sz="0" w:space="0" w:color="auto"/>
          </w:divBdr>
        </w:div>
        <w:div w:id="876820776">
          <w:marLeft w:val="0"/>
          <w:marRight w:val="0"/>
          <w:marTop w:val="120"/>
          <w:marBottom w:val="120"/>
          <w:divBdr>
            <w:top w:val="none" w:sz="0" w:space="0" w:color="auto"/>
            <w:left w:val="none" w:sz="0" w:space="0" w:color="auto"/>
            <w:bottom w:val="none" w:sz="0" w:space="0" w:color="auto"/>
            <w:right w:val="none" w:sz="0" w:space="0" w:color="auto"/>
          </w:divBdr>
        </w:div>
        <w:div w:id="989138988">
          <w:marLeft w:val="0"/>
          <w:marRight w:val="0"/>
          <w:marTop w:val="120"/>
          <w:marBottom w:val="120"/>
          <w:divBdr>
            <w:top w:val="none" w:sz="0" w:space="0" w:color="auto"/>
            <w:left w:val="none" w:sz="0" w:space="0" w:color="auto"/>
            <w:bottom w:val="none" w:sz="0" w:space="0" w:color="auto"/>
            <w:right w:val="none" w:sz="0" w:space="0" w:color="auto"/>
          </w:divBdr>
        </w:div>
        <w:div w:id="1734040726">
          <w:marLeft w:val="0"/>
          <w:marRight w:val="0"/>
          <w:marTop w:val="120"/>
          <w:marBottom w:val="120"/>
          <w:divBdr>
            <w:top w:val="none" w:sz="0" w:space="0" w:color="auto"/>
            <w:left w:val="none" w:sz="0" w:space="0" w:color="auto"/>
            <w:bottom w:val="none" w:sz="0" w:space="0" w:color="auto"/>
            <w:right w:val="none" w:sz="0" w:space="0" w:color="auto"/>
          </w:divBdr>
        </w:div>
        <w:div w:id="476148080">
          <w:marLeft w:val="0"/>
          <w:marRight w:val="0"/>
          <w:marTop w:val="120"/>
          <w:marBottom w:val="120"/>
          <w:divBdr>
            <w:top w:val="none" w:sz="0" w:space="0" w:color="auto"/>
            <w:left w:val="none" w:sz="0" w:space="0" w:color="auto"/>
            <w:bottom w:val="none" w:sz="0" w:space="0" w:color="auto"/>
            <w:right w:val="none" w:sz="0" w:space="0" w:color="auto"/>
          </w:divBdr>
        </w:div>
        <w:div w:id="2073891426">
          <w:marLeft w:val="0"/>
          <w:marRight w:val="0"/>
          <w:marTop w:val="120"/>
          <w:marBottom w:val="120"/>
          <w:divBdr>
            <w:top w:val="none" w:sz="0" w:space="0" w:color="auto"/>
            <w:left w:val="none" w:sz="0" w:space="0" w:color="auto"/>
            <w:bottom w:val="none" w:sz="0" w:space="0" w:color="auto"/>
            <w:right w:val="none" w:sz="0" w:space="0" w:color="auto"/>
          </w:divBdr>
        </w:div>
        <w:div w:id="1423063201">
          <w:marLeft w:val="0"/>
          <w:marRight w:val="0"/>
          <w:marTop w:val="120"/>
          <w:marBottom w:val="120"/>
          <w:divBdr>
            <w:top w:val="none" w:sz="0" w:space="0" w:color="auto"/>
            <w:left w:val="none" w:sz="0" w:space="0" w:color="auto"/>
            <w:bottom w:val="none" w:sz="0" w:space="0" w:color="auto"/>
            <w:right w:val="none" w:sz="0" w:space="0" w:color="auto"/>
          </w:divBdr>
        </w:div>
        <w:div w:id="583496271">
          <w:marLeft w:val="0"/>
          <w:marRight w:val="0"/>
          <w:marTop w:val="120"/>
          <w:marBottom w:val="120"/>
          <w:divBdr>
            <w:top w:val="none" w:sz="0" w:space="0" w:color="auto"/>
            <w:left w:val="none" w:sz="0" w:space="0" w:color="auto"/>
            <w:bottom w:val="none" w:sz="0" w:space="0" w:color="auto"/>
            <w:right w:val="none" w:sz="0" w:space="0" w:color="auto"/>
          </w:divBdr>
        </w:div>
        <w:div w:id="2068264112">
          <w:marLeft w:val="0"/>
          <w:marRight w:val="0"/>
          <w:marTop w:val="120"/>
          <w:marBottom w:val="120"/>
          <w:divBdr>
            <w:top w:val="none" w:sz="0" w:space="0" w:color="auto"/>
            <w:left w:val="none" w:sz="0" w:space="0" w:color="auto"/>
            <w:bottom w:val="none" w:sz="0" w:space="0" w:color="auto"/>
            <w:right w:val="none" w:sz="0" w:space="0" w:color="auto"/>
          </w:divBdr>
        </w:div>
        <w:div w:id="1540556351">
          <w:marLeft w:val="0"/>
          <w:marRight w:val="0"/>
          <w:marTop w:val="120"/>
          <w:marBottom w:val="120"/>
          <w:divBdr>
            <w:top w:val="none" w:sz="0" w:space="0" w:color="auto"/>
            <w:left w:val="none" w:sz="0" w:space="0" w:color="auto"/>
            <w:bottom w:val="none" w:sz="0" w:space="0" w:color="auto"/>
            <w:right w:val="none" w:sz="0" w:space="0" w:color="auto"/>
          </w:divBdr>
        </w:div>
        <w:div w:id="907770060">
          <w:marLeft w:val="0"/>
          <w:marRight w:val="0"/>
          <w:marTop w:val="120"/>
          <w:marBottom w:val="120"/>
          <w:divBdr>
            <w:top w:val="none" w:sz="0" w:space="0" w:color="auto"/>
            <w:left w:val="none" w:sz="0" w:space="0" w:color="auto"/>
            <w:bottom w:val="none" w:sz="0" w:space="0" w:color="auto"/>
            <w:right w:val="none" w:sz="0" w:space="0" w:color="auto"/>
          </w:divBdr>
        </w:div>
        <w:div w:id="1306736058">
          <w:marLeft w:val="0"/>
          <w:marRight w:val="0"/>
          <w:marTop w:val="120"/>
          <w:marBottom w:val="120"/>
          <w:divBdr>
            <w:top w:val="none" w:sz="0" w:space="0" w:color="auto"/>
            <w:left w:val="none" w:sz="0" w:space="0" w:color="auto"/>
            <w:bottom w:val="none" w:sz="0" w:space="0" w:color="auto"/>
            <w:right w:val="none" w:sz="0" w:space="0" w:color="auto"/>
          </w:divBdr>
        </w:div>
        <w:div w:id="952246847">
          <w:marLeft w:val="0"/>
          <w:marRight w:val="0"/>
          <w:marTop w:val="120"/>
          <w:marBottom w:val="120"/>
          <w:divBdr>
            <w:top w:val="none" w:sz="0" w:space="0" w:color="auto"/>
            <w:left w:val="none" w:sz="0" w:space="0" w:color="auto"/>
            <w:bottom w:val="none" w:sz="0" w:space="0" w:color="auto"/>
            <w:right w:val="none" w:sz="0" w:space="0" w:color="auto"/>
          </w:divBdr>
        </w:div>
        <w:div w:id="1774745818">
          <w:marLeft w:val="0"/>
          <w:marRight w:val="0"/>
          <w:marTop w:val="120"/>
          <w:marBottom w:val="120"/>
          <w:divBdr>
            <w:top w:val="none" w:sz="0" w:space="0" w:color="auto"/>
            <w:left w:val="none" w:sz="0" w:space="0" w:color="auto"/>
            <w:bottom w:val="none" w:sz="0" w:space="0" w:color="auto"/>
            <w:right w:val="none" w:sz="0" w:space="0" w:color="auto"/>
          </w:divBdr>
        </w:div>
      </w:divsChild>
    </w:div>
    <w:div w:id="2048407661">
      <w:marLeft w:val="0"/>
      <w:marRight w:val="0"/>
      <w:marTop w:val="240"/>
      <w:marBottom w:val="240"/>
      <w:divBdr>
        <w:top w:val="none" w:sz="0" w:space="0" w:color="auto"/>
        <w:left w:val="single" w:sz="36" w:space="12" w:color="D97706"/>
        <w:bottom w:val="none" w:sz="0" w:space="0" w:color="auto"/>
        <w:right w:val="none" w:sz="0" w:space="0" w:color="auto"/>
      </w:divBdr>
      <w:divsChild>
        <w:div w:id="1465152263">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7983</Words>
  <Characters>45507</Characters>
  <Application>Microsoft Office Word</Application>
  <DocSecurity>0</DocSecurity>
  <Lines>379</Lines>
  <Paragraphs>106</Paragraphs>
  <ScaleCrop>false</ScaleCrop>
  <Company/>
  <LinksUpToDate>false</LinksUpToDate>
  <CharactersWithSpaces>53384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Satpute</dc:creator>
  <cp:keywords/>
  <dc:description/>
  <cp:lastModifiedBy>Prathamesh Satpute</cp:lastModifiedBy>
  <cp:revision>2</cp:revision>
  <dcterms:created xsi:type="dcterms:W3CDTF">2026-10-13T07:42:00Z</dcterms:created>
  <dcterms:modified xsi:type="dcterms:W3CDTF">2026-10-13T07:42:00Z</dcterms:modified>
</cp:coreProperties>
</file>