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</w:pPr>
      <w:r>
        <w:rPr>
          <w:rFonts w:ascii="Calibri" w:cs="Calibri" w:eastAsia="Calibri" w:hAnsi="Calibri"/>
          <w:b/>
          <w:bCs/>
          <w:caps/>
          <w:color w:val="B76E79"/>
          <w:sz w:val="20"/>
          <w:szCs w:val="20"/>
        </w:rPr>
        <w:t xml:space="preserve">BUSINESS REQUIREMENTS DOCUMENT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2937"/>
          <w:sz w:val="48"/>
          <w:szCs w:val="48"/>
        </w:rPr>
        <w:t xml:space="preserve">IndoSynth Gramin Bank</w:t>
      </w:r>
    </w:p>
    <w:p>
      <w:pPr>
        <w:spacing w:after="300"/>
      </w:pPr>
      <w:r>
        <w:rPr>
          <w:rFonts w:ascii="Calibri" w:cs="Calibri" w:eastAsia="Calibri" w:hAnsi="Calibri"/>
          <w:i/>
          <w:iCs/>
          <w:color w:val="B76E79"/>
          <w:sz w:val="26"/>
          <w:szCs w:val="26"/>
        </w:rPr>
        <w:t xml:space="preserve">Data Analytics &amp; Business Intelligence Solution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F3EAE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Document Version</w:t>
            </w:r>
          </w:p>
        </w:tc>
        <w:tc>
          <w:tcPr>
            <w:tcW w:type="dxa" w:w="6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9"/>
                <w:szCs w:val="19"/>
              </w:rPr>
              <w:t xml:space="preserve">v1.0</w:t>
            </w:r>
          </w:p>
        </w:tc>
      </w:tr>
      <w:tr>
        <w:tc>
          <w:tcPr>
            <w:tcW w:type="dxa" w:w="3000"/>
            <w:shd w:fill="F3EAE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Prepared By</w:t>
            </w:r>
          </w:p>
        </w:tc>
        <w:tc>
          <w:tcPr>
            <w:tcW w:type="dxa" w:w="6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9"/>
                <w:szCs w:val="19"/>
              </w:rPr>
              <w:t xml:space="preserve">Business Analyst — Data &amp; BI Team</w:t>
            </w:r>
          </w:p>
        </w:tc>
      </w:tr>
      <w:tr>
        <w:tc>
          <w:tcPr>
            <w:tcW w:type="dxa" w:w="3000"/>
            <w:shd w:fill="F3EAE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Date</w:t>
            </w:r>
          </w:p>
        </w:tc>
        <w:tc>
          <w:tcPr>
            <w:tcW w:type="dxa" w:w="6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9"/>
                <w:szCs w:val="19"/>
              </w:rPr>
              <w:t xml:space="preserve">August 2026</w:t>
            </w:r>
          </w:p>
        </w:tc>
      </w:tr>
      <w:tr>
        <w:tc>
          <w:tcPr>
            <w:tcW w:type="dxa" w:w="3000"/>
            <w:shd w:fill="F3EAE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Status</w:t>
            </w:r>
          </w:p>
        </w:tc>
        <w:tc>
          <w:tcPr>
            <w:tcW w:type="dxa" w:w="6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9"/>
                <w:szCs w:val="19"/>
              </w:rPr>
              <w:t xml:space="preserve">Approved</w:t>
            </w:r>
          </w:p>
        </w:tc>
      </w:tr>
      <w:tr>
        <w:tc>
          <w:tcPr>
            <w:tcW w:type="dxa" w:w="3000"/>
            <w:shd w:fill="F3EAE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Project Code</w:t>
            </w:r>
          </w:p>
        </w:tc>
        <w:tc>
          <w:tcPr>
            <w:tcW w:type="dxa" w:w="6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9"/>
                <w:szCs w:val="19"/>
              </w:rPr>
              <w:t xml:space="preserve">IGB-BI-2026</w:t>
            </w:r>
          </w:p>
        </w:tc>
      </w:tr>
    </w:tbl>
    <w:p>
      <w:pPr>
        <w:spacing w:after="300"/>
      </w:pPr>
    </w:p>
    <w:p>
      <w:pPr>
        <w:pStyle w:val="Heading1"/>
        <w:pBdr>
          <w:bottom w:val="single" w:color="B76E79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1.  Executive Summary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64A"/>
          <w:sz w:val="21"/>
          <w:szCs w:val="21"/>
        </w:rPr>
        <w:t xml:space="preserve">IndoSynth Gramin Bank (IGB) operates a network of 250 branches across rural, semi-urban, and urban India, serving 100,000+ customers with a portfolio of 300,000+ loan applications and 1.5 million transactions annually. The bank lacks a unified, real-time analytics infrastructure, resulting in the challenges below.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44464A"/>
          <w:sz w:val="21"/>
          <w:szCs w:val="21"/>
        </w:rPr>
        <w:t xml:space="preserve">Delayed risk detection — NPA (Non-Performing Asset) defaults identified weeks after they occur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44464A"/>
          <w:sz w:val="21"/>
          <w:szCs w:val="21"/>
        </w:rPr>
        <w:t xml:space="preserve">Siloed reporting — branch managers operate without visibility into network-wide trends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44464A"/>
          <w:sz w:val="21"/>
          <w:szCs w:val="21"/>
        </w:rPr>
        <w:t xml:space="preserve">No digital adoption tracking — UPI growth not quantified or strategized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44464A"/>
          <w:sz w:val="21"/>
          <w:szCs w:val="21"/>
        </w:rPr>
        <w:t xml:space="preserve">Manual KPI reporting — weekly Excel-based reports that are error-prone and stale</w:t>
      </w:r>
    </w:p>
    <w:p>
      <w:pPr>
        <w:spacing w:after="20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64A"/>
          <w:sz w:val="21"/>
          <w:szCs w:val="21"/>
        </w:rPr>
        <w:t xml:space="preserve">This project delivers a 3-phase integrated analytics solution (MySQL → Python EDA → Power BI) to replace manual processes with automated, reliable, and interactive insights for all stakeholder levels.</w:t>
      </w:r>
    </w:p>
    <w:p>
      <w:pPr>
        <w:pStyle w:val="Heading1"/>
        <w:pBdr>
          <w:bottom w:val="single" w:color="B76E79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2.  Project Scope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B76E79"/>
          <w:sz w:val="23"/>
          <w:szCs w:val="23"/>
        </w:rPr>
        <w:t xml:space="preserve">2.1  In Scope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44464A"/>
          <w:sz w:val="21"/>
          <w:szCs w:val="21"/>
        </w:rPr>
        <w:t xml:space="preserve">Design and populate a normalized MySQL relational database from 9 raw CSV datasets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44464A"/>
          <w:sz w:val="21"/>
          <w:szCs w:val="21"/>
        </w:rPr>
        <w:t xml:space="preserve">Perform Exploratory Data Analysis (EDA) to validate, clean, and feature-engineer the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44464A"/>
          <w:sz w:val="21"/>
          <w:szCs w:val="21"/>
        </w:rPr>
        <w:t xml:space="preserve">Build a 6-page interactive Power BI dashboard (Executive, Customers, Loans, Risk, Transactions, Branches)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44464A"/>
          <w:sz w:val="21"/>
          <w:szCs w:val="21"/>
        </w:rPr>
        <w:t xml:space="preserve">Create a BA analysis layer with SQL queries, automated Python reports, and KPI monitoring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B76E79"/>
          <w:sz w:val="23"/>
          <w:szCs w:val="23"/>
        </w:rPr>
        <w:t xml:space="preserve">2.2  Out of Scope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44464A"/>
          <w:sz w:val="21"/>
          <w:szCs w:val="21"/>
        </w:rPr>
        <w:t xml:space="preserve">Real-time data streaming or live database connections (batch/scheduled refresh only)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44464A"/>
          <w:sz w:val="21"/>
          <w:szCs w:val="21"/>
        </w:rPr>
        <w:t xml:space="preserve">Predictive machine learning models (beyond feature engineering for future use)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44464A"/>
          <w:sz w:val="21"/>
          <w:szCs w:val="21"/>
        </w:rPr>
        <w:t xml:space="preserve">Mobile application development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44464A"/>
          <w:sz w:val="21"/>
          <w:szCs w:val="21"/>
        </w:rPr>
        <w:t xml:space="preserve">Integration with the bank's core banking system (CBS)</w:t>
      </w:r>
    </w:p>
    <w:p>
      <w:r>
        <w:br w:type="page"/>
      </w:r>
    </w:p>
    <w:p>
      <w:pPr>
        <w:pStyle w:val="Heading1"/>
        <w:pBdr>
          <w:bottom w:val="single" w:color="B76E79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3.  Stakeholder Map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3200"/>
        <w:gridCol w:w="2200"/>
      </w:tblGrid>
      <w:tr>
        <w:trPr>
          <w:tblHeader/>
        </w:trPr>
        <w:tc>
          <w:tcPr>
            <w:tcW w:type="dxa" w:w="2400"/>
            <w:shd w:fill="2B243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Stakeholder</w:t>
            </w:r>
          </w:p>
        </w:tc>
        <w:tc>
          <w:tcPr>
            <w:tcW w:type="dxa" w:w="1700"/>
            <w:shd w:fill="2B243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3200"/>
            <w:shd w:fill="2B243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Primary Interest</w:t>
            </w:r>
          </w:p>
        </w:tc>
        <w:tc>
          <w:tcPr>
            <w:tcW w:type="dxa" w:w="2200"/>
            <w:shd w:fill="2B243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Dashboard Pages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9"/>
                <w:szCs w:val="19"/>
              </w:rPr>
              <w:t xml:space="preserve">MD / CEO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9"/>
                <w:szCs w:val="19"/>
              </w:rPr>
              <w:t xml:space="preserve">Executive Sponsor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9"/>
                <w:szCs w:val="19"/>
              </w:rPr>
              <w:t xml:space="preserve">Bank-wide health, portfolio growth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9"/>
                <w:szCs w:val="19"/>
              </w:rPr>
              <w:t xml:space="preserve">Page 1 (Executive Summary)</w:t>
            </w:r>
          </w:p>
        </w:tc>
      </w:tr>
      <w:tr>
        <w:tc>
          <w:tcPr>
            <w:tcW w:type="dxa" w:w="2400"/>
            <w:shd w:fill="FBF7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9"/>
                <w:szCs w:val="19"/>
              </w:rPr>
              <w:t xml:space="preserve">CFO / Finance Head</w:t>
            </w:r>
          </w:p>
        </w:tc>
        <w:tc>
          <w:tcPr>
            <w:tcW w:type="dxa" w:w="1700"/>
            <w:shd w:fill="FBF7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9"/>
                <w:szCs w:val="19"/>
              </w:rPr>
              <w:t xml:space="preserve">Decision Maker</w:t>
            </w:r>
          </w:p>
        </w:tc>
        <w:tc>
          <w:tcPr>
            <w:tcW w:type="dxa" w:w="3200"/>
            <w:shd w:fill="FBF7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9"/>
                <w:szCs w:val="19"/>
              </w:rPr>
              <w:t xml:space="preserve">Revenue, interest income, cost of risk</w:t>
            </w:r>
          </w:p>
        </w:tc>
        <w:tc>
          <w:tcPr>
            <w:tcW w:type="dxa" w:w="2200"/>
            <w:shd w:fill="FBF7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9"/>
                <w:szCs w:val="19"/>
              </w:rPr>
              <w:t xml:space="preserve">Page 1, Page 3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9"/>
                <w:szCs w:val="19"/>
              </w:rPr>
              <w:t xml:space="preserve">Chief Risk Officer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9"/>
                <w:szCs w:val="19"/>
              </w:rPr>
              <w:t xml:space="preserve">Decision Maker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9"/>
                <w:szCs w:val="19"/>
              </w:rPr>
              <w:t xml:space="preserve">NPA rate, default trends, exposure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9"/>
                <w:szCs w:val="19"/>
              </w:rPr>
              <w:t xml:space="preserve">Page 4 (Risk Monitoring)</w:t>
            </w:r>
          </w:p>
        </w:tc>
      </w:tr>
      <w:tr>
        <w:tc>
          <w:tcPr>
            <w:tcW w:type="dxa" w:w="2400"/>
            <w:shd w:fill="FBF7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9"/>
                <w:szCs w:val="19"/>
              </w:rPr>
              <w:t xml:space="preserve">Head of Retail Banking</w:t>
            </w:r>
          </w:p>
        </w:tc>
        <w:tc>
          <w:tcPr>
            <w:tcW w:type="dxa" w:w="1700"/>
            <w:shd w:fill="FBF7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9"/>
                <w:szCs w:val="19"/>
              </w:rPr>
              <w:t xml:space="preserve">Primary User</w:t>
            </w:r>
          </w:p>
        </w:tc>
        <w:tc>
          <w:tcPr>
            <w:tcW w:type="dxa" w:w="3200"/>
            <w:shd w:fill="FBF7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9"/>
                <w:szCs w:val="19"/>
              </w:rPr>
              <w:t xml:space="preserve">Customer growth, segment profitability</w:t>
            </w:r>
          </w:p>
        </w:tc>
        <w:tc>
          <w:tcPr>
            <w:tcW w:type="dxa" w:w="2200"/>
            <w:shd w:fill="FBF7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9"/>
                <w:szCs w:val="19"/>
              </w:rPr>
              <w:t xml:space="preserve">Page 2 (Customer 360°)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9"/>
                <w:szCs w:val="19"/>
              </w:rPr>
              <w:t xml:space="preserve">Head of Credit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9"/>
                <w:szCs w:val="19"/>
              </w:rPr>
              <w:t xml:space="preserve">Primary User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9"/>
                <w:szCs w:val="19"/>
              </w:rPr>
              <w:t xml:space="preserve">Approval rate, rejection reasons, funnel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9"/>
                <w:szCs w:val="19"/>
              </w:rPr>
              <w:t xml:space="preserve">Page 3 (Loan Performance)</w:t>
            </w:r>
          </w:p>
        </w:tc>
      </w:tr>
      <w:tr>
        <w:tc>
          <w:tcPr>
            <w:tcW w:type="dxa" w:w="2400"/>
            <w:shd w:fill="FBF7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9"/>
                <w:szCs w:val="19"/>
              </w:rPr>
              <w:t xml:space="preserve">Head of Digital Banking</w:t>
            </w:r>
          </w:p>
        </w:tc>
        <w:tc>
          <w:tcPr>
            <w:tcW w:type="dxa" w:w="1700"/>
            <w:shd w:fill="FBF7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9"/>
                <w:szCs w:val="19"/>
              </w:rPr>
              <w:t xml:space="preserve">Primary User</w:t>
            </w:r>
          </w:p>
        </w:tc>
        <w:tc>
          <w:tcPr>
            <w:tcW w:type="dxa" w:w="3200"/>
            <w:shd w:fill="FBF7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9"/>
                <w:szCs w:val="19"/>
              </w:rPr>
              <w:t xml:space="preserve">UPI adoption, transaction volumes</w:t>
            </w:r>
          </w:p>
        </w:tc>
        <w:tc>
          <w:tcPr>
            <w:tcW w:type="dxa" w:w="2200"/>
            <w:shd w:fill="FBF7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9"/>
                <w:szCs w:val="19"/>
              </w:rPr>
              <w:t xml:space="preserve">Page 5 (Transactions)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9"/>
                <w:szCs w:val="19"/>
              </w:rPr>
              <w:t xml:space="preserve">Zonal Managers (5)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9"/>
                <w:szCs w:val="19"/>
              </w:rPr>
              <w:t xml:space="preserve">Regular User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9"/>
                <w:szCs w:val="19"/>
              </w:rPr>
              <w:t xml:space="preserve">Zone performance vs targets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9"/>
                <w:szCs w:val="19"/>
              </w:rPr>
              <w:t xml:space="preserve">Page 6 (Branch Ops)</w:t>
            </w:r>
          </w:p>
        </w:tc>
      </w:tr>
      <w:tr>
        <w:tc>
          <w:tcPr>
            <w:tcW w:type="dxa" w:w="2400"/>
            <w:shd w:fill="FBF7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9"/>
                <w:szCs w:val="19"/>
              </w:rPr>
              <w:t xml:space="preserve">Branch Managers (250)</w:t>
            </w:r>
          </w:p>
        </w:tc>
        <w:tc>
          <w:tcPr>
            <w:tcW w:type="dxa" w:w="1700"/>
            <w:shd w:fill="FBF7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9"/>
                <w:szCs w:val="19"/>
              </w:rPr>
              <w:t xml:space="preserve">Regular User</w:t>
            </w:r>
          </w:p>
        </w:tc>
        <w:tc>
          <w:tcPr>
            <w:tcW w:type="dxa" w:w="3200"/>
            <w:shd w:fill="FBF7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9"/>
                <w:szCs w:val="19"/>
              </w:rPr>
              <w:t xml:space="preserve">Branch-level KPIs, officer performance</w:t>
            </w:r>
          </w:p>
        </w:tc>
        <w:tc>
          <w:tcPr>
            <w:tcW w:type="dxa" w:w="2200"/>
            <w:shd w:fill="FBF7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9"/>
                <w:szCs w:val="19"/>
              </w:rPr>
              <w:t xml:space="preserve">Page 6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9"/>
                <w:szCs w:val="19"/>
              </w:rPr>
              <w:t xml:space="preserve">Compliance Officer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9"/>
                <w:szCs w:val="19"/>
              </w:rPr>
              <w:t xml:space="preserve">Auditor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9"/>
                <w:szCs w:val="19"/>
              </w:rPr>
              <w:t xml:space="preserve">KYC verification, data completeness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9"/>
                <w:szCs w:val="19"/>
              </w:rPr>
              <w:t xml:space="preserve">Page 2</w:t>
            </w:r>
          </w:p>
        </w:tc>
      </w:tr>
      <w:tr>
        <w:tc>
          <w:tcPr>
            <w:tcW w:type="dxa" w:w="2400"/>
            <w:shd w:fill="FBF7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9"/>
                <w:szCs w:val="19"/>
              </w:rPr>
              <w:t xml:space="preserve">IT / Data Team</w:t>
            </w:r>
          </w:p>
        </w:tc>
        <w:tc>
          <w:tcPr>
            <w:tcW w:type="dxa" w:w="1700"/>
            <w:shd w:fill="FBF7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9"/>
                <w:szCs w:val="19"/>
              </w:rPr>
              <w:t xml:space="preserve">Implementers</w:t>
            </w:r>
          </w:p>
        </w:tc>
        <w:tc>
          <w:tcPr>
            <w:tcW w:type="dxa" w:w="3200"/>
            <w:shd w:fill="FBF7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9"/>
                <w:szCs w:val="19"/>
              </w:rPr>
              <w:t xml:space="preserve">Data pipeline, refresh schedules</w:t>
            </w:r>
          </w:p>
        </w:tc>
        <w:tc>
          <w:tcPr>
            <w:tcW w:type="dxa" w:w="2200"/>
            <w:shd w:fill="FBF7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9"/>
                <w:szCs w:val="19"/>
              </w:rPr>
              <w:t xml:space="preserve">All pages (technical)</w:t>
            </w:r>
          </w:p>
        </w:tc>
      </w:tr>
    </w:tbl>
    <w:p>
      <w:pPr>
        <w:pStyle w:val="Heading1"/>
        <w:pBdr>
          <w:bottom w:val="single" w:color="B76E79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4.  Business Objectives &amp; Success Metrics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2100"/>
        <w:gridCol w:w="2200"/>
      </w:tblGrid>
      <w:tr>
        <w:trPr>
          <w:tblHeader/>
        </w:trPr>
        <w:tc>
          <w:tcPr>
            <w:tcW w:type="dxa" w:w="2600"/>
            <w:shd w:fill="2B243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Objective</w:t>
            </w:r>
          </w:p>
        </w:tc>
        <w:tc>
          <w:tcPr>
            <w:tcW w:type="dxa" w:w="2600"/>
            <w:shd w:fill="2B243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KPI</w:t>
            </w:r>
          </w:p>
        </w:tc>
        <w:tc>
          <w:tcPr>
            <w:tcW w:type="dxa" w:w="2100"/>
            <w:shd w:fill="2B243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Current State</w:t>
            </w:r>
          </w:p>
        </w:tc>
        <w:tc>
          <w:tcPr>
            <w:tcW w:type="dxa" w:w="2200"/>
            <w:shd w:fill="2B243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Target (12 months)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9"/>
                <w:szCs w:val="19"/>
              </w:rPr>
              <w:t xml:space="preserve">Reduce NPA rate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9"/>
                <w:szCs w:val="19"/>
              </w:rPr>
              <w:t xml:space="preserve">Default Rate %</w:t>
            </w:r>
          </w:p>
        </w:tc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9"/>
                <w:szCs w:val="19"/>
              </w:rPr>
              <w:t xml:space="preserve">Unknown (manual)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9"/>
                <w:szCs w:val="19"/>
              </w:rPr>
              <w:t xml:space="preserve">≤ 5.0%</w:t>
            </w:r>
          </w:p>
        </w:tc>
      </w:tr>
      <w:tr>
        <w:tc>
          <w:tcPr>
            <w:tcW w:type="dxa" w:w="2600"/>
            <w:shd w:fill="FBF7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9"/>
                <w:szCs w:val="19"/>
              </w:rPr>
              <w:t xml:space="preserve">Improve loan throughput</w:t>
            </w:r>
          </w:p>
        </w:tc>
        <w:tc>
          <w:tcPr>
            <w:tcW w:type="dxa" w:w="2600"/>
            <w:shd w:fill="FBF7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9"/>
                <w:szCs w:val="19"/>
              </w:rPr>
              <w:t xml:space="preserve">Disbursement Rate %</w:t>
            </w:r>
          </w:p>
        </w:tc>
        <w:tc>
          <w:tcPr>
            <w:tcW w:type="dxa" w:w="2100"/>
            <w:shd w:fill="FBF7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9"/>
                <w:szCs w:val="19"/>
              </w:rPr>
              <w:t xml:space="preserve">Unknown</w:t>
            </w:r>
          </w:p>
        </w:tc>
        <w:tc>
          <w:tcPr>
            <w:tcW w:type="dxa" w:w="2200"/>
            <w:shd w:fill="FBF7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9"/>
                <w:szCs w:val="19"/>
              </w:rPr>
              <w:t xml:space="preserve">≥ 55%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9"/>
                <w:szCs w:val="19"/>
              </w:rPr>
              <w:t xml:space="preserve">Accelerate processing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9"/>
                <w:szCs w:val="19"/>
              </w:rPr>
              <w:t xml:space="preserve">Avg Days to Disburse</w:t>
            </w:r>
          </w:p>
        </w:tc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9"/>
                <w:szCs w:val="19"/>
              </w:rPr>
              <w:t xml:space="preserve">Unknown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9"/>
                <w:szCs w:val="19"/>
              </w:rPr>
              <w:t xml:space="preserve">≤ 15 days</w:t>
            </w:r>
          </w:p>
        </w:tc>
      </w:tr>
      <w:tr>
        <w:tc>
          <w:tcPr>
            <w:tcW w:type="dxa" w:w="2600"/>
            <w:shd w:fill="FBF7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9"/>
                <w:szCs w:val="19"/>
              </w:rPr>
              <w:t xml:space="preserve">Grow digital adoption</w:t>
            </w:r>
          </w:p>
        </w:tc>
        <w:tc>
          <w:tcPr>
            <w:tcW w:type="dxa" w:w="2600"/>
            <w:shd w:fill="FBF7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9"/>
                <w:szCs w:val="19"/>
              </w:rPr>
              <w:t xml:space="preserve">UPI Adoption Share %</w:t>
            </w:r>
          </w:p>
        </w:tc>
        <w:tc>
          <w:tcPr>
            <w:tcW w:type="dxa" w:w="2100"/>
            <w:shd w:fill="FBF7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9"/>
                <w:szCs w:val="19"/>
              </w:rPr>
              <w:t xml:space="preserve">Unknown</w:t>
            </w:r>
          </w:p>
        </w:tc>
        <w:tc>
          <w:tcPr>
            <w:tcW w:type="dxa" w:w="2200"/>
            <w:shd w:fill="FBF7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9"/>
                <w:szCs w:val="19"/>
              </w:rPr>
              <w:t xml:space="preserve">≥ 60%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9"/>
                <w:szCs w:val="19"/>
              </w:rPr>
              <w:t xml:space="preserve">Ensure customer quality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9"/>
                <w:szCs w:val="19"/>
              </w:rPr>
              <w:t xml:space="preserve">KYC Verified %</w:t>
            </w:r>
          </w:p>
        </w:tc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9"/>
                <w:szCs w:val="19"/>
              </w:rPr>
              <w:t xml:space="preserve">Unknown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9"/>
                <w:szCs w:val="19"/>
              </w:rPr>
              <w:t xml:space="preserve">≥ 92%</w:t>
            </w:r>
          </w:p>
        </w:tc>
      </w:tr>
      <w:tr>
        <w:tc>
          <w:tcPr>
            <w:tcW w:type="dxa" w:w="2600"/>
            <w:shd w:fill="FBF7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9"/>
                <w:szCs w:val="19"/>
              </w:rPr>
              <w:t xml:space="preserve">Improve collections</w:t>
            </w:r>
          </w:p>
        </w:tc>
        <w:tc>
          <w:tcPr>
            <w:tcW w:type="dxa" w:w="2600"/>
            <w:shd w:fill="FBF7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9"/>
                <w:szCs w:val="19"/>
              </w:rPr>
              <w:t xml:space="preserve">On-Time Payment Rate %</w:t>
            </w:r>
          </w:p>
        </w:tc>
        <w:tc>
          <w:tcPr>
            <w:tcW w:type="dxa" w:w="2100"/>
            <w:shd w:fill="FBF7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9"/>
                <w:szCs w:val="19"/>
              </w:rPr>
              <w:t xml:space="preserve">Unknown</w:t>
            </w:r>
          </w:p>
        </w:tc>
        <w:tc>
          <w:tcPr>
            <w:tcW w:type="dxa" w:w="2200"/>
            <w:shd w:fill="FBF7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9"/>
                <w:szCs w:val="19"/>
              </w:rPr>
              <w:t xml:space="preserve">≥ 87%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76E79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5.  Functional Requirements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B76E79"/>
          <w:sz w:val="23"/>
          <w:szCs w:val="23"/>
        </w:rPr>
        <w:t xml:space="preserve">5.1  Data Layer (MySQL)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700"/>
        <w:gridCol w:w="1900"/>
      </w:tblGrid>
      <w:tr>
        <w:trPr>
          <w:tblHeader/>
        </w:trPr>
        <w:tc>
          <w:tcPr>
            <w:tcW w:type="dxa" w:w="900"/>
            <w:shd w:fill="2B243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700"/>
            <w:shd w:fill="2B243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900"/>
            <w:shd w:fill="2B243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FR-01</w:t>
            </w:r>
          </w:p>
        </w:tc>
        <w:tc>
          <w:tcPr>
            <w:tcW w:type="dxa" w:w="6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System shall import all 9 raw CSV tables into a normalized MySQL database with PK/FK constraints</w:t>
            </w:r>
          </w:p>
        </w:tc>
        <w:tc>
          <w:tcPr>
            <w:tcW w:type="dxa" w:w="1900"/>
            <w:shd w:fill="FCE8E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900"/>
            <w:shd w:fill="FBF7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FR-02</w:t>
            </w:r>
          </w:p>
        </w:tc>
        <w:tc>
          <w:tcPr>
            <w:tcW w:type="dxa" w:w="6700"/>
            <w:shd w:fill="FBF7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Foreign key relationships shall enforce referential integrity across all 18 defined relationships</w:t>
            </w:r>
          </w:p>
        </w:tc>
        <w:tc>
          <w:tcPr>
            <w:tcW w:type="dxa" w:w="1900"/>
            <w:shd w:fill="FCE8E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FR-03</w:t>
            </w:r>
          </w:p>
        </w:tc>
        <w:tc>
          <w:tcPr>
            <w:tcW w:type="dxa" w:w="6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Date columns shall be stored as DATE type; ID columns shall be INT NOT NULL</w:t>
            </w:r>
          </w:p>
        </w:tc>
        <w:tc>
          <w:tcPr>
            <w:tcW w:type="dxa" w:w="1900"/>
            <w:shd w:fill="FCE8E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900"/>
            <w:shd w:fill="FBF7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FR-04</w:t>
            </w:r>
          </w:p>
        </w:tc>
        <w:tc>
          <w:tcPr>
            <w:tcW w:type="dxa" w:w="6700"/>
            <w:shd w:fill="FBF7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A bulk load mechanism (LOAD DATA LOCAL INFILE) shall ingest 2.9M+ records within 10 minutes</w:t>
            </w:r>
          </w:p>
        </w:tc>
        <w:tc>
          <w:tcPr>
            <w:tcW w:type="dxa" w:w="1900"/>
            <w:shd w:fill="FFF4D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18"/>
                <w:szCs w:val="18"/>
              </w:rPr>
              <w:t xml:space="preserve">Should Have</w:t>
            </w:r>
          </w:p>
        </w:tc>
      </w:tr>
      <w:t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FR-05</w:t>
            </w:r>
          </w:p>
        </w:tc>
        <w:tc>
          <w:tcPr>
            <w:tcW w:type="dxa" w:w="6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System shall support 3NF normalized schema with no transitive dependencies</w:t>
            </w:r>
          </w:p>
        </w:tc>
        <w:tc>
          <w:tcPr>
            <w:tcW w:type="dxa" w:w="1900"/>
            <w:shd w:fill="FCE8E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18"/>
                <w:szCs w:val="18"/>
              </w:rPr>
              <w:t xml:space="preserve">Must Have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B76E79"/>
          <w:sz w:val="23"/>
          <w:szCs w:val="23"/>
        </w:rPr>
        <w:t xml:space="preserve">5.2  EDA / Python Layer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700"/>
        <w:gridCol w:w="1900"/>
      </w:tblGrid>
      <w:tr>
        <w:trPr>
          <w:tblHeader/>
        </w:trPr>
        <w:tc>
          <w:tcPr>
            <w:tcW w:type="dxa" w:w="900"/>
            <w:shd w:fill="2B243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700"/>
            <w:shd w:fill="2B243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900"/>
            <w:shd w:fill="2B243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FR-06</w:t>
            </w:r>
          </w:p>
        </w:tc>
        <w:tc>
          <w:tcPr>
            <w:tcW w:type="dxa" w:w="6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System shall perform automated 9-step preprocessing pipeline on all 9 tables</w:t>
            </w:r>
          </w:p>
        </w:tc>
        <w:tc>
          <w:tcPr>
            <w:tcW w:type="dxa" w:w="1900"/>
            <w:shd w:fill="FCE8E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900"/>
            <w:shd w:fill="FBF7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FR-07</w:t>
            </w:r>
          </w:p>
        </w:tc>
        <w:tc>
          <w:tcPr>
            <w:tcW w:type="dxa" w:w="6700"/>
            <w:shd w:fill="FBF7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Domain-aware imputation shall fill rejection_reason = 'N/A' for non-rejected loans</w:t>
            </w:r>
          </w:p>
        </w:tc>
        <w:tc>
          <w:tcPr>
            <w:tcW w:type="dxa" w:w="1900"/>
            <w:shd w:fill="FCE8E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FR-08</w:t>
            </w:r>
          </w:p>
        </w:tc>
        <w:tc>
          <w:tcPr>
            <w:tcW w:type="dxa" w:w="6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System shall generate 30+ interactive Plotly visualizations across 6 thematic sections</w:t>
            </w:r>
          </w:p>
        </w:tc>
        <w:tc>
          <w:tcPr>
            <w:tcW w:type="dxa" w:w="1900"/>
            <w:shd w:fill="FFF4D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18"/>
                <w:szCs w:val="18"/>
              </w:rPr>
              <w:t xml:space="preserve">Should Have</w:t>
            </w:r>
          </w:p>
        </w:tc>
      </w:tr>
      <w:tr>
        <w:tc>
          <w:tcPr>
            <w:tcW w:type="dxa" w:w="900"/>
            <w:shd w:fill="FBF7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FR-09</w:t>
            </w:r>
          </w:p>
        </w:tc>
        <w:tc>
          <w:tcPr>
            <w:tcW w:type="dxa" w:w="6700"/>
            <w:shd w:fill="FBF7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4 statistical hypothesis tests shall be conducted and results documented</w:t>
            </w:r>
          </w:p>
        </w:tc>
        <w:tc>
          <w:tcPr>
            <w:tcW w:type="dxa" w:w="1900"/>
            <w:shd w:fill="FFF4D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18"/>
                <w:szCs w:val="18"/>
              </w:rPr>
              <w:t xml:space="preserve">Should Have</w:t>
            </w:r>
          </w:p>
        </w:tc>
      </w:tr>
      <w:t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FR-10</w:t>
            </w:r>
          </w:p>
        </w:tc>
        <w:tc>
          <w:tcPr>
            <w:tcW w:type="dxa" w:w="6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Feature engineering shall produce 20+ derived attributes (age_group, credit_band, etc.)</w:t>
            </w:r>
          </w:p>
        </w:tc>
        <w:tc>
          <w:tcPr>
            <w:tcW w:type="dxa" w:w="1900"/>
            <w:shd w:fill="FCE8E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900"/>
            <w:shd w:fill="FBF7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FR-11</w:t>
            </w:r>
          </w:p>
        </w:tc>
        <w:tc>
          <w:tcPr>
            <w:tcW w:type="dxa" w:w="6700"/>
            <w:shd w:fill="FBF7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Cleaned output shall be exported to eda/cleaned_data/ for downstream use</w:t>
            </w:r>
          </w:p>
        </w:tc>
        <w:tc>
          <w:tcPr>
            <w:tcW w:type="dxa" w:w="1900"/>
            <w:shd w:fill="FCE8E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18"/>
                <w:szCs w:val="18"/>
              </w:rPr>
              <w:t xml:space="preserve">Must Have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B76E79"/>
          <w:sz w:val="23"/>
          <w:szCs w:val="23"/>
        </w:rPr>
        <w:t xml:space="preserve">5.3  Power BI Dashboard Layer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700"/>
        <w:gridCol w:w="1900"/>
      </w:tblGrid>
      <w:tr>
        <w:trPr>
          <w:tblHeader/>
        </w:trPr>
        <w:tc>
          <w:tcPr>
            <w:tcW w:type="dxa" w:w="900"/>
            <w:shd w:fill="2B243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700"/>
            <w:shd w:fill="2B243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900"/>
            <w:shd w:fill="2B243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FR-12</w:t>
            </w:r>
          </w:p>
        </w:tc>
        <w:tc>
          <w:tcPr>
            <w:tcW w:type="dxa" w:w="6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Dashboard shall contain exactly 6 pages as specified in the dashboard specification</w:t>
            </w:r>
          </w:p>
        </w:tc>
        <w:tc>
          <w:tcPr>
            <w:tcW w:type="dxa" w:w="1900"/>
            <w:shd w:fill="FCE8E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900"/>
            <w:shd w:fill="FBF7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FR-13</w:t>
            </w:r>
          </w:p>
        </w:tc>
        <w:tc>
          <w:tcPr>
            <w:tcW w:type="dxa" w:w="6700"/>
            <w:shd w:fill="FBF7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All pages shall share a consistent Rose Gold Light Theme (#FFF5F0 canvas)</w:t>
            </w:r>
          </w:p>
        </w:tc>
        <w:tc>
          <w:tcPr>
            <w:tcW w:type="dxa" w:w="1900"/>
            <w:shd w:fill="FCE8E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FR-14</w:t>
            </w:r>
          </w:p>
        </w:tc>
        <w:tc>
          <w:tcPr>
            <w:tcW w:type="dxa" w:w="6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A universal date range slicer (dim_Date[YearMonth]) shall filter all visuals</w:t>
            </w:r>
          </w:p>
        </w:tc>
        <w:tc>
          <w:tcPr>
            <w:tcW w:type="dxa" w:w="1900"/>
            <w:shd w:fill="FCE8E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900"/>
            <w:shd w:fill="FBF7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FR-15</w:t>
            </w:r>
          </w:p>
        </w:tc>
        <w:tc>
          <w:tcPr>
            <w:tcW w:type="dxa" w:w="6700"/>
            <w:shd w:fill="FBF7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Page navigation sidebar shall be present on all 6 pages with page-level button actions</w:t>
            </w:r>
          </w:p>
        </w:tc>
        <w:tc>
          <w:tcPr>
            <w:tcW w:type="dxa" w:w="1900"/>
            <w:shd w:fill="FCE8E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FR-16</w:t>
            </w:r>
          </w:p>
        </w:tc>
        <w:tc>
          <w:tcPr>
            <w:tcW w:type="dxa" w:w="6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40+ DAX measures shall be created in a dedicated _Measures table</w:t>
            </w:r>
          </w:p>
        </w:tc>
        <w:tc>
          <w:tcPr>
            <w:tcW w:type="dxa" w:w="1900"/>
            <w:shd w:fill="FCE8E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900"/>
            <w:shd w:fill="FBF7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FR-17</w:t>
            </w:r>
          </w:p>
        </w:tc>
        <w:tc>
          <w:tcPr>
            <w:tcW w:type="dxa" w:w="6700"/>
            <w:shd w:fill="FBF7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All KPI cards shall display conditional formatting colors (Green/Amber/Red)</w:t>
            </w:r>
          </w:p>
        </w:tc>
        <w:tc>
          <w:tcPr>
            <w:tcW w:type="dxa" w:w="1900"/>
            <w:shd w:fill="FCE8E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FR-18</w:t>
            </w:r>
          </w:p>
        </w:tc>
        <w:tc>
          <w:tcPr>
            <w:tcW w:type="dxa" w:w="6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Geographical map visual shall show state/zone-level loan disbursement bubbles</w:t>
            </w:r>
          </w:p>
        </w:tc>
        <w:tc>
          <w:tcPr>
            <w:tcW w:type="dxa" w:w="1900"/>
            <w:shd w:fill="FFF4D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18"/>
                <w:szCs w:val="18"/>
              </w:rPr>
              <w:t xml:space="preserve">Should Have</w:t>
            </w:r>
          </w:p>
        </w:tc>
      </w:tr>
      <w:tr>
        <w:tc>
          <w:tcPr>
            <w:tcW w:type="dxa" w:w="900"/>
            <w:shd w:fill="FBF7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FR-19</w:t>
            </w:r>
          </w:p>
        </w:tc>
        <w:tc>
          <w:tcPr>
            <w:tcW w:type="dxa" w:w="6700"/>
            <w:shd w:fill="FBF7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Dashboard shall load within 8 seconds on a standard workstation</w:t>
            </w:r>
          </w:p>
        </w:tc>
        <w:tc>
          <w:tcPr>
            <w:tcW w:type="dxa" w:w="1900"/>
            <w:shd w:fill="FFF4D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18"/>
                <w:szCs w:val="18"/>
              </w:rPr>
              <w:t xml:space="preserve">Should Have</w:t>
            </w:r>
          </w:p>
        </w:tc>
      </w:tr>
      <w:t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FR-20</w:t>
            </w:r>
          </w:p>
        </w:tc>
        <w:tc>
          <w:tcPr>
            <w:tcW w:type="dxa" w:w="6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All visuals shall cross-filter correctly (clicking a segment filters all visuals on the page)</w:t>
            </w:r>
          </w:p>
        </w:tc>
        <w:tc>
          <w:tcPr>
            <w:tcW w:type="dxa" w:w="1900"/>
            <w:shd w:fill="FCE8E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18"/>
                <w:szCs w:val="18"/>
              </w:rPr>
              <w:t xml:space="preserve">Must Have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B76E79"/>
          <w:sz w:val="23"/>
          <w:szCs w:val="23"/>
        </w:rPr>
        <w:t xml:space="preserve">5.4  Business Analysis Layer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700"/>
        <w:gridCol w:w="1900"/>
      </w:tblGrid>
      <w:tr>
        <w:trPr>
          <w:tblHeader/>
        </w:trPr>
        <w:tc>
          <w:tcPr>
            <w:tcW w:type="dxa" w:w="900"/>
            <w:shd w:fill="2B243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700"/>
            <w:shd w:fill="2B243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900"/>
            <w:shd w:fill="2B243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FR-21</w:t>
            </w:r>
          </w:p>
        </w:tc>
        <w:tc>
          <w:tcPr>
            <w:tcW w:type="dxa" w:w="6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5 SQL analysis scripts shall answer defined business questions using advanced SQL (CTEs, window functions)</w:t>
            </w:r>
          </w:p>
        </w:tc>
        <w:tc>
          <w:tcPr>
            <w:tcW w:type="dxa" w:w="1900"/>
            <w:shd w:fill="FFF4D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18"/>
                <w:szCs w:val="18"/>
              </w:rPr>
              <w:t xml:space="preserve">Should Have</w:t>
            </w:r>
          </w:p>
        </w:tc>
      </w:tr>
      <w:tr>
        <w:tc>
          <w:tcPr>
            <w:tcW w:type="dxa" w:w="900"/>
            <w:shd w:fill="FBF7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FR-22</w:t>
            </w:r>
          </w:p>
        </w:tc>
        <w:tc>
          <w:tcPr>
            <w:tcW w:type="dxa" w:w="6700"/>
            <w:shd w:fill="FBF7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Python KPI tracker shall compute all 12 KPIs and compare against defined thresholds</w:t>
            </w:r>
          </w:p>
        </w:tc>
        <w:tc>
          <w:tcPr>
            <w:tcW w:type="dxa" w:w="1900"/>
            <w:shd w:fill="FFF4D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18"/>
                <w:szCs w:val="18"/>
              </w:rPr>
              <w:t xml:space="preserve">Should Have</w:t>
            </w:r>
          </w:p>
        </w:tc>
      </w:tr>
      <w:t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FR-23</w:t>
            </w:r>
          </w:p>
        </w:tc>
        <w:tc>
          <w:tcPr>
            <w:tcW w:type="dxa" w:w="6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BA Insight Report shall generate a standalone HTML report from cleaned data</w:t>
            </w:r>
          </w:p>
        </w:tc>
        <w:tc>
          <w:tcPr>
            <w:tcW w:type="dxa" w:w="1900"/>
            <w:shd w:fill="E7F3E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7B45"/>
                <w:sz w:val="18"/>
                <w:szCs w:val="18"/>
              </w:rPr>
              <w:t xml:space="preserve">Nice to Have</w:t>
            </w:r>
          </w:p>
        </w:tc>
      </w:tr>
      <w:tr>
        <w:tc>
          <w:tcPr>
            <w:tcW w:type="dxa" w:w="900"/>
            <w:shd w:fill="FBF7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FR-24</w:t>
            </w:r>
          </w:p>
        </w:tc>
        <w:tc>
          <w:tcPr>
            <w:tcW w:type="dxa" w:w="6700"/>
            <w:shd w:fill="FBF7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KPI definitions document shall align measure names between DAX formulas and SQL scripts</w:t>
            </w:r>
          </w:p>
        </w:tc>
        <w:tc>
          <w:tcPr>
            <w:tcW w:type="dxa" w:w="1900"/>
            <w:shd w:fill="FCE8E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18"/>
                <w:szCs w:val="18"/>
              </w:rPr>
              <w:t xml:space="preserve">Must Have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76E79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6.  Non-Functional Requirements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0"/>
      </w:tblGrid>
      <w:tr>
        <w:trPr>
          <w:tblHeader/>
        </w:trPr>
        <w:tc>
          <w:tcPr>
            <w:tcW w:type="dxa" w:w="2500"/>
            <w:shd w:fill="2B243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7000"/>
            <w:shd w:fill="2B243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7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9"/>
                <w:szCs w:val="19"/>
              </w:rPr>
              <w:t xml:space="preserve">Power BI report refreshes within 30 seconds with full 3M row dataset</w:t>
            </w:r>
          </w:p>
        </w:tc>
      </w:tr>
      <w:tr>
        <w:tc>
          <w:tcPr>
            <w:tcW w:type="dxa" w:w="2500"/>
            <w:shd w:fill="FBF7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9"/>
                <w:szCs w:val="19"/>
              </w:rPr>
              <w:t xml:space="preserve">Usability</w:t>
            </w:r>
          </w:p>
        </w:tc>
        <w:tc>
          <w:tcPr>
            <w:tcW w:type="dxa" w:w="7000"/>
            <w:shd w:fill="FBF7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9"/>
                <w:szCs w:val="19"/>
              </w:rPr>
              <w:t xml:space="preserve">Dashboard operable by non-technical stakeholders without training beyond 30 minutes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9"/>
                <w:szCs w:val="19"/>
              </w:rPr>
              <w:t xml:space="preserve">Maintainability</w:t>
            </w:r>
          </w:p>
        </w:tc>
        <w:tc>
          <w:tcPr>
            <w:tcW w:type="dxa" w:w="7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9"/>
                <w:szCs w:val="19"/>
              </w:rPr>
              <w:t xml:space="preserve">All SQL scripts and Python code must be commented with business context</w:t>
            </w:r>
          </w:p>
        </w:tc>
      </w:tr>
      <w:tr>
        <w:tc>
          <w:tcPr>
            <w:tcW w:type="dxa" w:w="2500"/>
            <w:shd w:fill="FBF7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9"/>
                <w:szCs w:val="19"/>
              </w:rPr>
              <w:t xml:space="preserve">Data Quality</w:t>
            </w:r>
          </w:p>
        </w:tc>
        <w:tc>
          <w:tcPr>
            <w:tcW w:type="dxa" w:w="7000"/>
            <w:shd w:fill="FBF7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9"/>
                <w:szCs w:val="19"/>
              </w:rPr>
              <w:t xml:space="preserve">Cleaned datasets must have &lt; 0.1% null rate on all primary key columns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9"/>
                <w:szCs w:val="19"/>
              </w:rPr>
              <w:t xml:space="preserve">Compatibility</w:t>
            </w:r>
          </w:p>
        </w:tc>
        <w:tc>
          <w:tcPr>
            <w:tcW w:type="dxa" w:w="7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9"/>
                <w:szCs w:val="19"/>
              </w:rPr>
              <w:t xml:space="preserve">Dashboard compatible with Power BI Desktop (March 2025+) and Power BI Service</w:t>
            </w:r>
          </w:p>
        </w:tc>
      </w:tr>
      <w:tr>
        <w:tc>
          <w:tcPr>
            <w:tcW w:type="dxa" w:w="2500"/>
            <w:shd w:fill="FBF7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9"/>
                <w:szCs w:val="19"/>
              </w:rPr>
              <w:t xml:space="preserve">Security</w:t>
            </w:r>
          </w:p>
        </w:tc>
        <w:tc>
          <w:tcPr>
            <w:tcW w:type="dxa" w:w="7000"/>
            <w:shd w:fill="FBF7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9"/>
                <w:szCs w:val="19"/>
              </w:rPr>
              <w:t xml:space="preserve">Raw CSVs shall not contain personally identifiable information (PII) beyond bank-internal IDs</w:t>
            </w:r>
          </w:p>
        </w:tc>
      </w:tr>
    </w:tbl>
    <w:p>
      <w:pPr>
        <w:pStyle w:val="Heading1"/>
        <w:pBdr>
          <w:bottom w:val="single" w:color="B76E79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7.  Data Quality Acceptance Criteria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300"/>
      </w:tblGrid>
      <w:tr>
        <w:trPr>
          <w:tblHeader/>
        </w:trPr>
        <w:tc>
          <w:tcPr>
            <w:tcW w:type="dxa" w:w="2400"/>
            <w:shd w:fill="2B243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2800"/>
            <w:shd w:fill="2B243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4300"/>
            <w:shd w:fill="2B243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Acceptance Criterion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9"/>
                <w:szCs w:val="19"/>
              </w:rPr>
              <w:t xml:space="preserve">customers</w:t>
            </w:r>
          </w:p>
        </w:tc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9"/>
                <w:szCs w:val="19"/>
              </w:rPr>
              <w:t xml:space="preserve">customer_id</w:t>
            </w:r>
          </w:p>
        </w:tc>
        <w:tc>
          <w:tcPr>
            <w:tcW w:type="dxa" w:w="4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9"/>
                <w:szCs w:val="19"/>
              </w:rPr>
              <w:t xml:space="preserve">0 nulls, 0 duplicates</w:t>
            </w:r>
          </w:p>
        </w:tc>
      </w:tr>
      <w:tr>
        <w:tc>
          <w:tcPr>
            <w:tcW w:type="dxa" w:w="2400"/>
            <w:shd w:fill="FBF7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9"/>
                <w:szCs w:val="19"/>
              </w:rPr>
              <w:t xml:space="preserve">customers</w:t>
            </w:r>
          </w:p>
        </w:tc>
        <w:tc>
          <w:tcPr>
            <w:tcW w:type="dxa" w:w="2800"/>
            <w:shd w:fill="FBF7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9"/>
                <w:szCs w:val="19"/>
              </w:rPr>
              <w:t xml:space="preserve">annual_income</w:t>
            </w:r>
          </w:p>
        </w:tc>
        <w:tc>
          <w:tcPr>
            <w:tcW w:type="dxa" w:w="4300"/>
            <w:shd w:fill="FBF7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9"/>
                <w:szCs w:val="19"/>
              </w:rPr>
              <w:t xml:space="preserve">All values &gt; 0, no negative values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9"/>
                <w:szCs w:val="19"/>
              </w:rPr>
              <w:t xml:space="preserve">loan_applications</w:t>
            </w:r>
          </w:p>
        </w:tc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9"/>
                <w:szCs w:val="19"/>
              </w:rPr>
              <w:t xml:space="preserve">loan_amount_requested</w:t>
            </w:r>
          </w:p>
        </w:tc>
        <w:tc>
          <w:tcPr>
            <w:tcW w:type="dxa" w:w="4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9"/>
                <w:szCs w:val="19"/>
              </w:rPr>
              <w:t xml:space="preserve">All values &gt; 0</w:t>
            </w:r>
          </w:p>
        </w:tc>
      </w:tr>
      <w:tr>
        <w:tc>
          <w:tcPr>
            <w:tcW w:type="dxa" w:w="2400"/>
            <w:shd w:fill="FBF7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9"/>
                <w:szCs w:val="19"/>
              </w:rPr>
              <w:t xml:space="preserve">loan_applications</w:t>
            </w:r>
          </w:p>
        </w:tc>
        <w:tc>
          <w:tcPr>
            <w:tcW w:type="dxa" w:w="2800"/>
            <w:shd w:fill="FBF7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9"/>
                <w:szCs w:val="19"/>
              </w:rPr>
              <w:t xml:space="preserve">status</w:t>
            </w:r>
          </w:p>
        </w:tc>
        <w:tc>
          <w:tcPr>
            <w:tcW w:type="dxa" w:w="4300"/>
            <w:shd w:fill="FBF7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9"/>
                <w:szCs w:val="19"/>
              </w:rPr>
              <w:t xml:space="preserve">Only: Pending, Under Review, Approved, Disbursed, Rejected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9"/>
                <w:szCs w:val="19"/>
              </w:rPr>
              <w:t xml:space="preserve">loan_payments</w:t>
            </w:r>
          </w:p>
        </w:tc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9"/>
                <w:szCs w:val="19"/>
              </w:rPr>
              <w:t xml:space="preserve">days_late</w:t>
            </w:r>
          </w:p>
        </w:tc>
        <w:tc>
          <w:tcPr>
            <w:tcW w:type="dxa" w:w="4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9"/>
                <w:szCs w:val="19"/>
              </w:rPr>
              <w:t xml:space="preserve">Null allowed for Pending; numeric for Paid/Missed/Late</w:t>
            </w:r>
          </w:p>
        </w:tc>
      </w:tr>
      <w:tr>
        <w:tc>
          <w:tcPr>
            <w:tcW w:type="dxa" w:w="2400"/>
            <w:shd w:fill="FBF7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9"/>
                <w:szCs w:val="19"/>
              </w:rPr>
              <w:t xml:space="preserve">credit_history</w:t>
            </w:r>
          </w:p>
        </w:tc>
        <w:tc>
          <w:tcPr>
            <w:tcW w:type="dxa" w:w="2800"/>
            <w:shd w:fill="FBF7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9"/>
                <w:szCs w:val="19"/>
              </w:rPr>
              <w:t xml:space="preserve">credit_score</w:t>
            </w:r>
          </w:p>
        </w:tc>
        <w:tc>
          <w:tcPr>
            <w:tcW w:type="dxa" w:w="4300"/>
            <w:shd w:fill="FBF7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9"/>
                <w:szCs w:val="19"/>
              </w:rPr>
              <w:t xml:space="preserve">Range 300–850 only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9"/>
                <w:szCs w:val="19"/>
              </w:rPr>
              <w:t xml:space="preserve">transactions</w:t>
            </w:r>
          </w:p>
        </w:tc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9"/>
                <w:szCs w:val="19"/>
              </w:rPr>
              <w:t xml:space="preserve">amount</w:t>
            </w:r>
          </w:p>
        </w:tc>
        <w:tc>
          <w:tcPr>
            <w:tcW w:type="dxa" w:w="4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9"/>
                <w:szCs w:val="19"/>
              </w:rPr>
              <w:t xml:space="preserve">All values &gt; 0</w:t>
            </w:r>
          </w:p>
        </w:tc>
      </w:tr>
      <w:tr>
        <w:tc>
          <w:tcPr>
            <w:tcW w:type="dxa" w:w="2400"/>
            <w:shd w:fill="FBF7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9"/>
                <w:szCs w:val="19"/>
              </w:rPr>
              <w:t xml:space="preserve">branches</w:t>
            </w:r>
          </w:p>
        </w:tc>
        <w:tc>
          <w:tcPr>
            <w:tcW w:type="dxa" w:w="2800"/>
            <w:shd w:fill="FBF7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9"/>
                <w:szCs w:val="19"/>
              </w:rPr>
              <w:t xml:space="preserve">branch_type</w:t>
            </w:r>
          </w:p>
        </w:tc>
        <w:tc>
          <w:tcPr>
            <w:tcW w:type="dxa" w:w="4300"/>
            <w:shd w:fill="FBF7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9"/>
                <w:szCs w:val="19"/>
              </w:rPr>
              <w:t xml:space="preserve">Only: Rural, Semi-Urban, Urban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76E79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8.  Assumptions &amp; Constraints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B76E79"/>
          <w:sz w:val="23"/>
          <w:szCs w:val="23"/>
        </w:rPr>
        <w:t xml:space="preserve">Assumptions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44464A"/>
          <w:sz w:val="21"/>
          <w:szCs w:val="21"/>
        </w:rPr>
        <w:t xml:space="preserve">All 9 CSV files accurately represent the bank's operational data for FY 2018–2025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44464A"/>
          <w:sz w:val="21"/>
          <w:szCs w:val="21"/>
        </w:rPr>
        <w:t xml:space="preserve">The Power BI workspace has access to map visuals (Bing Maps enabled)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44464A"/>
          <w:sz w:val="21"/>
          <w:szCs w:val="21"/>
        </w:rPr>
        <w:t xml:space="preserve">Python environment includes pandas, numpy, plotly, scipy (see requirements.txt)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B76E79"/>
          <w:sz w:val="23"/>
          <w:szCs w:val="23"/>
        </w:rPr>
        <w:t xml:space="preserve">Constraints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44464A"/>
          <w:sz w:val="21"/>
          <w:szCs w:val="21"/>
        </w:rPr>
        <w:t xml:space="preserve">Budget: Project is developed as an educational/portfolio initiative (no licensing costs)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44464A"/>
          <w:sz w:val="21"/>
          <w:szCs w:val="21"/>
        </w:rPr>
        <w:t xml:space="preserve">Timeline: 4-phase delivery (MySQL → EDA → Power BI → BA Layer)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44464A"/>
          <w:sz w:val="21"/>
          <w:szCs w:val="21"/>
        </w:rPr>
        <w:t xml:space="preserve">Tools: MySQL 8.0+, Python 3.10+, Power BI Desktop only</w:t>
      </w:r>
    </w:p>
    <w:p>
      <w:pPr>
        <w:pStyle w:val="Heading1"/>
        <w:pBdr>
          <w:bottom w:val="single" w:color="B76E79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9.  Sign-Off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700"/>
        <w:gridCol w:w="1500"/>
      </w:tblGrid>
      <w:tr>
        <w:trPr>
          <w:tblHeader/>
        </w:trPr>
        <w:tc>
          <w:tcPr>
            <w:tcW w:type="dxa" w:w="2400"/>
            <w:shd w:fill="2B243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400"/>
            <w:shd w:fill="2B243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2700"/>
            <w:shd w:fill="2B243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1500"/>
            <w:shd w:fill="2B243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9"/>
                <w:szCs w:val="19"/>
              </w:rPr>
              <w:t xml:space="preserve">Business Analyst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9"/>
                <w:szCs w:val="19"/>
              </w:rPr>
              <w:t xml:space="preserve">—</w:t>
            </w:r>
          </w:p>
        </w:tc>
        <w:tc>
          <w:tcPr>
            <w:tcW w:type="dxa" w:w="2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9"/>
                <w:szCs w:val="19"/>
              </w:rPr>
              <w:t xml:space="preserve">_______________</w:t>
            </w:r>
          </w:p>
        </w:tc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9"/>
                <w:szCs w:val="19"/>
              </w:rPr>
              <w:t xml:space="preserve">Aug 2026</w:t>
            </w:r>
          </w:p>
        </w:tc>
      </w:tr>
      <w:tr>
        <w:tc>
          <w:tcPr>
            <w:tcW w:type="dxa" w:w="2400"/>
            <w:shd w:fill="FBF7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9"/>
                <w:szCs w:val="19"/>
              </w:rPr>
              <w:t xml:space="preserve">Project Sponsor</w:t>
            </w:r>
          </w:p>
        </w:tc>
        <w:tc>
          <w:tcPr>
            <w:tcW w:type="dxa" w:w="2400"/>
            <w:shd w:fill="FBF7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9"/>
                <w:szCs w:val="19"/>
              </w:rPr>
              <w:t xml:space="preserve">—</w:t>
            </w:r>
          </w:p>
        </w:tc>
        <w:tc>
          <w:tcPr>
            <w:tcW w:type="dxa" w:w="2700"/>
            <w:shd w:fill="FBF7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9"/>
                <w:szCs w:val="19"/>
              </w:rPr>
              <w:t xml:space="preserve">_______________</w:t>
            </w:r>
          </w:p>
        </w:tc>
        <w:tc>
          <w:tcPr>
            <w:tcW w:type="dxa" w:w="1500"/>
            <w:shd w:fill="FBF7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9"/>
                <w:szCs w:val="19"/>
              </w:rPr>
              <w:t xml:space="preserve">Aug 2026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9"/>
                <w:szCs w:val="19"/>
              </w:rPr>
              <w:t xml:space="preserve">Data Lead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9"/>
                <w:szCs w:val="19"/>
              </w:rPr>
              <w:t xml:space="preserve">—</w:t>
            </w:r>
          </w:p>
        </w:tc>
        <w:tc>
          <w:tcPr>
            <w:tcW w:type="dxa" w:w="2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9"/>
                <w:szCs w:val="19"/>
              </w:rPr>
              <w:t xml:space="preserve">_______________</w:t>
            </w:r>
          </w:p>
        </w:tc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9"/>
                <w:szCs w:val="19"/>
              </w:rPr>
              <w:t xml:space="preserve">Aug 2026</w:t>
            </w:r>
          </w:p>
        </w:tc>
      </w:tr>
    </w:tbl>
    <w:p>
      <w:pPr>
        <w:spacing w:before="300"/>
      </w:pPr>
    </w:p>
    <w:p>
      <w:pPr>
        <w:pBdr>
          <w:top w:val="single" w:color="D9D9D9" w:sz="4" w:space="6"/>
        </w:pBdr>
        <w:spacing w:before="200"/>
        <w:jc w:val="center"/>
      </w:pPr>
      <w:r>
        <w:rPr>
          <w:rFonts w:ascii="Calibri" w:cs="Calibri" w:eastAsia="Calibri" w:hAnsi="Calibri"/>
          <w:i/>
          <w:iCs/>
          <w:color w:val="8A8A8A"/>
          <w:sz w:val="17"/>
          <w:szCs w:val="17"/>
        </w:rPr>
        <w:t xml:space="preserve">Document controlled by: Business Analysis Team · IndoSynth Gramin Bank BI Project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 w:space="4"/>
      </w:pBdr>
      <w:jc w:val="center"/>
    </w:pPr>
    <w:r>
      <w:rPr>
        <w:rFonts w:ascii="Calibri" w:cs="Calibri" w:eastAsia="Calibri" w:hAnsi="Calibri"/>
        <w:color w:val="8A8A8A"/>
        <w:sz w:val="16"/>
        <w:szCs w:val="16"/>
      </w:rPr>
      <w:t xml:space="preserve">Page </w:t>
    </w:r>
    <w:r>
      <w:rPr>
        <w:rFonts w:ascii="Calibri" w:cs="Calibri" w:eastAsia="Calibri" w:hAnsi="Calibri"/>
        <w:color w:val="8A8A8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A8A8A"/>
        <w:sz w:val="16"/>
        <w:szCs w:val="16"/>
      </w:rPr>
      <w:t xml:space="preserve"> of </w:t>
    </w:r>
    <w:r>
      <w:rPr>
        <w:rFonts w:ascii="Calibri" w:cs="Calibri" w:eastAsia="Calibri" w:hAnsi="Calibri"/>
        <w:color w:val="8A8A8A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Calibri" w:cs="Calibri" w:eastAsia="Calibri" w:hAnsi="Calibri"/>
        <w:color w:val="8A8A8A"/>
        <w:sz w:val="16"/>
        <w:szCs w:val="16"/>
      </w:rPr>
      <w:t xml:space="preserve">   ·   Confidential — Portfolio / Educational Use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4"/>
      </w:pBdr>
      <w:tabs>
        <w:tab w:val="right" w:pos="9026"/>
      </w:tabs>
    </w:pPr>
    <w:r>
      <w:rPr>
        <w:rFonts w:ascii="Calibri" w:cs="Calibri" w:eastAsia="Calibri" w:hAnsi="Calibri"/>
        <w:color w:val="8A8A8A"/>
        <w:sz w:val="16"/>
        <w:szCs w:val="16"/>
      </w:rPr>
      <w:t xml:space="preserve">IndoSynth Gramin Bank · BRD</w:t>
    </w:r>
    <w:r>
      <w:rPr>
        <w:rFonts w:ascii="Calibri" w:cs="Calibri" w:eastAsia="Calibri" w:hAnsi="Calibri"/>
        <w:color w:val="8A8A8A"/>
        <w:sz w:val="16"/>
        <w:szCs w:val="16"/>
      </w:rPr>
      <w:t xml:space="preserve">	IGB-BI-2026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  <w:rPr>
        <w:color w:val="B76E79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4464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2026-08-11T09:32:12.400Z</dcterms:created>
  <dcterms:modified xsi:type="dcterms:W3CDTF">2026-08-11T09:32:12.416Z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