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B76E79"/>
          <w:sz w:val="20"/>
          <w:szCs w:val="20"/>
        </w:rPr>
        <w:t xml:space="preserve">DATA ANALYTICS FINDINGS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46"/>
          <w:szCs w:val="46"/>
        </w:rPr>
        <w:t xml:space="preserve">Executive Summary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B76E79"/>
          <w:sz w:val="26"/>
          <w:szCs w:val="26"/>
        </w:rPr>
        <w:t xml:space="preserve">IndoSynth Gramin Bank</w:t>
      </w:r>
    </w:p>
    <w:p>
      <w:pPr>
        <w:spacing w:after="260"/>
      </w:pPr>
      <w:r>
        <w:rPr>
          <w:rFonts w:ascii="Calibri" w:cs="Calibri" w:eastAsia="Calibri" w:hAnsi="Calibri"/>
          <w:color w:val="8A8A8A"/>
          <w:sz w:val="19"/>
          <w:szCs w:val="19"/>
        </w:rPr>
        <w:t xml:space="preserve">Business Analyst Report — August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F3EAE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Audience</w:t>
            </w:r>
          </w:p>
        </w:tc>
        <w:tc>
          <w:tcPr>
            <w:tcW w:type="dxa" w:w="6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MD, CFO, Chief Risk Officer, Zonal Heads</w:t>
            </w:r>
          </w:p>
        </w:tc>
      </w:tr>
      <w:tr>
        <w:tc>
          <w:tcPr>
            <w:tcW w:type="dxa" w:w="2600"/>
            <w:shd w:fill="F3EAE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Internal — Management Use Only</w:t>
            </w:r>
          </w:p>
        </w:tc>
      </w:tr>
      <w:tr>
        <w:tc>
          <w:tcPr>
            <w:tcW w:type="dxa" w:w="2600"/>
            <w:shd w:fill="F3EAE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Period</w:t>
            </w:r>
          </w:p>
        </w:tc>
        <w:tc>
          <w:tcPr>
            <w:tcW w:type="dxa" w:w="6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FY 2018–2025 (7-Year Analysis)</w:t>
            </w:r>
          </w:p>
        </w:tc>
      </w:tr>
    </w:tbl>
    <w:p>
      <w:pPr>
        <w:spacing w:after="280"/>
      </w:pP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At a Glance: 5 Headline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0"/>
        <w:gridCol w:w="4160"/>
      </w:tblGrid>
      <w:tr>
        <w:trPr>
          <w:tblHeader/>
        </w:trPr>
        <w:tc>
          <w:tcPr>
            <w:tcW w:type="dxa" w:w="5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7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416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Business Impact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6E79"/>
                <w:sz w:val="19"/>
                <w:szCs w:val="19"/>
              </w:rPr>
              <w:t xml:space="preserve">1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64.2% loan approval rate</w:t>
            </w:r>
          </w:p>
          <w:p>
            <w:r>
              <w:rPr>
                <w:rFonts w:ascii="Calibri" w:cs="Calibri" w:eastAsia="Calibri" w:hAnsi="Calibri"/>
                <w:color w:val="44464A"/>
                <w:sz w:val="18"/>
                <w:szCs w:val="18"/>
              </w:rPr>
              <w:t xml:space="preserve">— but 31.5% of applications rejected, many due to fixable reasons</w:t>
            </w:r>
          </w:p>
        </w:tc>
        <w:tc>
          <w:tcPr>
            <w:tcW w:type="dxa" w:w="4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₹150+ Cr in lost disbursements annually from avoidable rejections</w:t>
            </w:r>
          </w:p>
        </w:tc>
      </w:tr>
      <w:tr>
        <w:tc>
          <w:tcPr>
            <w:tcW w:type="dxa" w:w="5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6E79"/>
                <w:sz w:val="19"/>
                <w:szCs w:val="19"/>
              </w:rPr>
              <w:t xml:space="preserve">2</w:t>
            </w:r>
          </w:p>
        </w:tc>
        <w:tc>
          <w:tcPr>
            <w:tcW w:type="dxa" w:w="47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UPI grew from &lt;15% (2018) to &gt;65% (2025)</w:t>
            </w:r>
          </w:p>
        </w:tc>
        <w:tc>
          <w:tcPr>
            <w:tcW w:type="dxa" w:w="416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₹200+ Cr shift from cash to digital reduces branch operational cost by est. 12%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6E79"/>
                <w:sz w:val="19"/>
                <w:szCs w:val="19"/>
              </w:rPr>
              <w:t xml:space="preserve">3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Default rate sits at 4.8%</w:t>
            </w:r>
          </w:p>
          <w:p>
            <w:r>
              <w:rPr>
                <w:rFonts w:ascii="Calibri" w:cs="Calibri" w:eastAsia="Calibri" w:hAnsi="Calibri"/>
                <w:color w:val="44464A"/>
                <w:sz w:val="18"/>
                <w:szCs w:val="18"/>
              </w:rPr>
              <w:t xml:space="preserve">— within the 5% threshold but only 0.2pp of margin</w:t>
            </w:r>
          </w:p>
        </w:tc>
        <w:tc>
          <w:tcPr>
            <w:tcW w:type="dxa" w:w="4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2,400+ customers in the critical risk zone; one macro shock could breach NPA limits</w:t>
            </w:r>
          </w:p>
        </w:tc>
      </w:tr>
      <w:tr>
        <w:tc>
          <w:tcPr>
            <w:tcW w:type="dxa" w:w="5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6E79"/>
                <w:sz w:val="19"/>
                <w:szCs w:val="19"/>
              </w:rPr>
              <w:t xml:space="preserve">4</w:t>
            </w:r>
          </w:p>
        </w:tc>
        <w:tc>
          <w:tcPr>
            <w:tcW w:type="dxa" w:w="47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Rural branches disburse 66% of total portfolio</w:t>
            </w:r>
          </w:p>
          <w:p>
            <w:r>
              <w:rPr>
                <w:rFonts w:ascii="Calibri" w:cs="Calibri" w:eastAsia="Calibri" w:hAnsi="Calibri"/>
                <w:color w:val="44464A"/>
                <w:sz w:val="18"/>
                <w:szCs w:val="18"/>
              </w:rPr>
              <w:t xml:space="preserve">but process loans 40% slower</w:t>
            </w:r>
          </w:p>
        </w:tc>
        <w:tc>
          <w:tcPr>
            <w:tcW w:type="dxa" w:w="416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Urban branch processing speed benchmark can be transferred to rural via officer training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6E79"/>
                <w:sz w:val="19"/>
                <w:szCs w:val="19"/>
              </w:rPr>
              <w:t xml:space="preserve">5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Top 3 rejection reasons are addressable</w:t>
            </w:r>
          </w:p>
          <w:p>
            <w:r>
              <w:rPr>
                <w:rFonts w:ascii="Calibri" w:cs="Calibri" w:eastAsia="Calibri" w:hAnsi="Calibri"/>
                <w:color w:val="44464A"/>
                <w:sz w:val="18"/>
                <w:szCs w:val="18"/>
              </w:rPr>
              <w:t xml:space="preserve">(Low Credit Score, Insufficient Income, Document Gaps)</w:t>
            </w:r>
          </w:p>
        </w:tc>
        <w:tc>
          <w:tcPr>
            <w:tcW w:type="dxa" w:w="4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Targeted financial literacy + pre-loan counseling could recover 8–12% of rejected applications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76E79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1.  Portfolio Overview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64A"/>
          <w:sz w:val="21"/>
          <w:szCs w:val="21"/>
        </w:rPr>
        <w:t xml:space="preserve">IndoSynth Gramin Bank has built a substantial lending portfolio over 7 years: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₹389.3 Cr</w:t>
      </w:r>
      <w:r>
        <w:rPr>
          <w:rFonts w:ascii="Calibri" w:cs="Calibri" w:eastAsia="Calibri" w:hAnsi="Calibri"/>
          <w:color w:val="44464A"/>
          <w:sz w:val="21"/>
          <w:szCs w:val="21"/>
        </w:rPr>
        <w:t xml:space="preserve"> in active disbursed loans across 300,000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100,000 customers</w:t>
      </w:r>
      <w:r>
        <w:rPr>
          <w:rFonts w:ascii="Calibri" w:cs="Calibri" w:eastAsia="Calibri" w:hAnsi="Calibri"/>
          <w:color w:val="44464A"/>
          <w:sz w:val="21"/>
          <w:szCs w:val="21"/>
        </w:rPr>
        <w:t xml:space="preserve"> served, 88.5% actively transacting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250 branches</w:t>
      </w:r>
      <w:r>
        <w:rPr>
          <w:rFonts w:ascii="Calibri" w:cs="Calibri" w:eastAsia="Calibri" w:hAnsi="Calibri"/>
          <w:color w:val="44464A"/>
          <w:sz w:val="21"/>
          <w:szCs w:val="21"/>
        </w:rPr>
        <w:t xml:space="preserve"> across 5 zones (North, South, East, West, Central)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₹1,425+ Cr</w:t>
      </w:r>
      <w:r>
        <w:rPr>
          <w:rFonts w:ascii="Calibri" w:cs="Calibri" w:eastAsia="Calibri" w:hAnsi="Calibri"/>
          <w:color w:val="44464A"/>
          <w:sz w:val="21"/>
          <w:szCs w:val="21"/>
        </w:rPr>
        <w:t xml:space="preserve"> in annual transaction volume (debit + credit flows)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64A"/>
          <w:sz w:val="21"/>
          <w:szCs w:val="21"/>
        </w:rPr>
        <w:t xml:space="preserve">The data validates that IndoSynth is operating at the scale of a mid-tier gramin bank with strong growth fundamentals. The challenge is translating scale into efficiency and reducing risk concentration.</w:t>
      </w:r>
    </w:p>
    <w:p>
      <w:pPr>
        <w:pStyle w:val="Heading1"/>
        <w:pBdr>
          <w:bottom w:val="single" w:color="B76E79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2.  Customer Base — Strengths &amp; Gaps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1E7B45"/>
          <w:sz w:val="23"/>
          <w:szCs w:val="23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92.1% KYC compliance — well above the regulatory watch level of 80%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88.5% active customer rate — indicates healthy account engagement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Strong presence in agriculture-heavy states (likely Uttar Pradesh, Maharashtra, Madhya Pradesh based on zone distribution)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3261E"/>
          <w:sz w:val="23"/>
          <w:szCs w:val="23"/>
        </w:rPr>
        <w:t xml:space="preserve">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12,420 customers (12.4%) have credit scores below 600 — classified as high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The ₹3–6 LPA income band (Middle income) shows the highest loan demand but mid-tier repayment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Premium segment (₹12+ LPA) is underserved — only 8% of loan volume despite contributing 22% of interest income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Recommendation</w:t>
      </w:r>
    </w:p>
    <w:tbl>
      <w:tblPr>
        <w:tblW w:type="dxa" w:w="9360"/>
        <w:tblBorders>
          <w:top w:val="single" w:color="1E7B45" w:sz="4"/>
          <w:left w:val="single" w:color="1E7B45" w:sz="24"/>
          <w:bottom w:val="single" w:color="1E7B45" w:sz="4"/>
          <w:right w:val="single" w:color="1E7B4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3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E7B45"/>
                <w:sz w:val="18"/>
                <w:szCs w:val="18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64A"/>
                <w:sz w:val="20"/>
                <w:szCs w:val="20"/>
              </w:rPr>
              <w:t xml:space="preserve">Launch a Premium Customer Acquisition Program targeting the top income decile. Introduce salary-linked pre-approved personal loans to capture high-LTV, low-risk customers.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76E79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3.  Loan Performance — The Funnel Leakage Problem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64A"/>
          <w:sz w:val="21"/>
          <w:szCs w:val="21"/>
        </w:rPr>
        <w:t xml:space="preserve">The application-to-disbursement pipeline has significant drop-off: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Applications</w:t>
            </w:r>
          </w:p>
        </w:tc>
        <w:tc>
          <w:tcPr>
            <w:tcW w:type="dxa" w:w="234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Under Review</w:t>
            </w:r>
          </w:p>
        </w:tc>
        <w:tc>
          <w:tcPr>
            <w:tcW w:type="dxa" w:w="234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Approved</w:t>
            </w:r>
          </w:p>
        </w:tc>
        <w:tc>
          <w:tcPr>
            <w:tcW w:type="dxa" w:w="234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Disbursed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4"/>
                <w:szCs w:val="24"/>
              </w:rPr>
              <w:t xml:space="preserve">300,000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4"/>
                <w:szCs w:val="24"/>
              </w:rPr>
              <w:t xml:space="preserve">186,000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4"/>
                <w:szCs w:val="24"/>
              </w:rPr>
              <w:t xml:space="preserve">192,600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4"/>
                <w:szCs w:val="24"/>
              </w:rPr>
              <w:t xml:space="preserve">~192,600</w:t>
            </w:r>
          </w:p>
        </w:tc>
      </w:tr>
      <w:tr>
        <w:tc>
          <w:tcPr>
            <w:tcW w:type="dxa" w:w="234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6E79"/>
                <w:sz w:val="19"/>
                <w:szCs w:val="19"/>
              </w:rPr>
              <w:t xml:space="preserve">100%</w:t>
            </w:r>
          </w:p>
        </w:tc>
        <w:tc>
          <w:tcPr>
            <w:tcW w:type="dxa" w:w="234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62%</w:t>
            </w:r>
          </w:p>
        </w:tc>
        <w:tc>
          <w:tcPr>
            <w:tcW w:type="dxa" w:w="234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64.2%</w:t>
            </w:r>
          </w:p>
        </w:tc>
        <w:tc>
          <w:tcPr>
            <w:tcW w:type="dxa" w:w="234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45"/>
                <w:sz w:val="19"/>
                <w:szCs w:val="19"/>
              </w:rPr>
              <w:t xml:space="preserve">~62%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3261E"/>
                <w:sz w:val="17"/>
                <w:szCs w:val="17"/>
              </w:rPr>
              <w:t xml:space="preserve">↓ 38% lost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8860B"/>
                <w:sz w:val="17"/>
                <w:szCs w:val="17"/>
              </w:rPr>
              <w:t xml:space="preserve">↓ Mostly admin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B45"/>
                <w:sz w:val="17"/>
                <w:szCs w:val="17"/>
              </w:rPr>
              <w:t xml:space="preserve">↓ Process gap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1A5C8A" w:sz="4"/>
          <w:left w:val="single" w:color="1A5C8A" w:sz="24"/>
          <w:bottom w:val="single" w:color="1A5C8A" w:sz="4"/>
          <w:right w:val="single" w:color="1A5C8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1F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A5C8A"/>
                <w:sz w:val="18"/>
                <w:szCs w:val="18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64A"/>
                <w:sz w:val="20"/>
                <w:szCs w:val="20"/>
              </w:rPr>
              <w:t xml:space="preserve">The biggest drop-off is at the Under Review stage — 38% of applications never even reach the credit review desk. This suggests a front-end filtering problem, not a credit quality problem.</w:t>
            </w:r>
          </w:p>
        </w:tc>
      </w:tr>
    </w:tbl>
    <w:p>
      <w:pPr>
        <w:spacing w:after="200"/>
      </w:pP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64A"/>
          <w:sz w:val="21"/>
          <w:szCs w:val="21"/>
        </w:rPr>
        <w:t xml:space="preserve">The top 3 rejection reasons (Pareto analysis) account for ~78% of all rejections: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Low Credit Score</w:t>
      </w:r>
      <w:r>
        <w:rPr>
          <w:rFonts w:ascii="Calibri" w:cs="Calibri" w:eastAsia="Calibri" w:hAnsi="Calibri"/>
          <w:color w:val="44464A"/>
          <w:sz w:val="21"/>
          <w:szCs w:val="21"/>
        </w:rPr>
        <w:t xml:space="preserve"> (&lt; 600) — 34% of rejections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Insufficient Income</w:t>
      </w:r>
      <w:r>
        <w:rPr>
          <w:rFonts w:ascii="Calibri" w:cs="Calibri" w:eastAsia="Calibri" w:hAnsi="Calibri"/>
          <w:color w:val="44464A"/>
          <w:sz w:val="21"/>
          <w:szCs w:val="21"/>
        </w:rPr>
        <w:t xml:space="preserve"> — 28% of rejections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Incomplete Documentation</w:t>
      </w:r>
      <w:r>
        <w:rPr>
          <w:rFonts w:ascii="Calibri" w:cs="Calibri" w:eastAsia="Calibri" w:hAnsi="Calibri"/>
          <w:color w:val="44464A"/>
          <w:sz w:val="21"/>
          <w:szCs w:val="21"/>
        </w:rPr>
        <w:t xml:space="preserve"> — 16% of rejections</w:t>
      </w:r>
    </w:p>
    <w:p>
      <w:pPr>
        <w:spacing w:after="80"/>
      </w:pP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Recommendation</w:t>
      </w:r>
    </w:p>
    <w:tbl>
      <w:tblPr>
        <w:tblW w:type="dxa" w:w="9360"/>
        <w:tblBorders>
          <w:top w:val="single" w:color="1E7B45" w:sz="4"/>
          <w:left w:val="single" w:color="1E7B45" w:sz="24"/>
          <w:bottom w:val="single" w:color="1E7B45" w:sz="4"/>
          <w:right w:val="single" w:color="1E7B4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3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E7B45"/>
                <w:sz w:val="18"/>
                <w:szCs w:val="18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64A"/>
                <w:sz w:val="20"/>
                <w:szCs w:val="20"/>
              </w:rPr>
              <w:t xml:space="preserve">Introduce a Pre-Screening Self-Assessment Tool at branches where applicants can check their eligibility before formal submission. This will reduce wasted processing effort by an estimated 15–20% and improve the experience for borderline applicants.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76E79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4.  Risk Profile — Close to the Edge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64A"/>
          <w:sz w:val="21"/>
          <w:szCs w:val="21"/>
        </w:rPr>
        <w:t xml:space="preserve">The bank's default rate of 4.8% is within the 5.0% management threshold but leaves very little buffer.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Risk Concentration Analysis reveals: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North Zone has a 22% higher default rate than the bank average — driven by 3 underperforming branches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Education Loans have the highest NPA rate (est. 8.2%) due to extended moratorium periods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Below-600 credit score customers account for only 12% of loan volume but 41% of all missed payments</w:t>
      </w:r>
    </w:p>
    <w:p>
      <w:pPr>
        <w:spacing w:after="80"/>
      </w:pPr>
    </w:p>
    <w:tbl>
      <w:tblPr>
        <w:tblW w:type="dxa" w:w="9360"/>
        <w:tblBorders>
          <w:top w:val="single" w:color="B3261E" w:sz="4"/>
          <w:left w:val="single" w:color="B3261E" w:sz="24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8E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3261E"/>
                <w:sz w:val="18"/>
                <w:szCs w:val="18"/>
              </w:rPr>
              <w:t xml:space="preserve">CAUTION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64A"/>
                <w:sz w:val="20"/>
                <w:szCs w:val="20"/>
              </w:rPr>
              <w:t xml:space="preserve">If macroeconomic conditions worsen (crop failure, interest rate hike), the bank could breach the 5% NPA threshold within 2 quarters without immediate intervention.</w:t>
            </w:r>
          </w:p>
        </w:tc>
      </w:tr>
    </w:tbl>
    <w:p>
      <w:pPr>
        <w:spacing w:after="200"/>
      </w:pP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3 Risk Mitigation Actions (Priority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2660"/>
        <w:gridCol w:w="1400"/>
      </w:tblGrid>
      <w:tr>
        <w:trPr>
          <w:tblHeader/>
        </w:trPr>
        <w:tc>
          <w:tcPr>
            <w:tcW w:type="dxa" w:w="10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3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66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Impact</w:t>
            </w:r>
          </w:p>
        </w:tc>
        <w:tc>
          <w:tcPr>
            <w:tcW w:type="dxa" w:w="14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1000"/>
            <w:shd w:fill="FCE8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P1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Credit score floor: Mandate minimum 600 score for Education Loans without collateral</w:t>
            </w:r>
          </w:p>
        </w:tc>
        <w:tc>
          <w:tcPr>
            <w:tcW w:type="dxa" w:w="2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Reduce Education Loan NPA by est. 30%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Immediate</w:t>
            </w:r>
          </w:p>
        </w:tc>
      </w:tr>
      <w:tr>
        <w:tc>
          <w:tcPr>
            <w:tcW w:type="dxa" w:w="1000"/>
            <w:shd w:fill="FFF4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P2</w:t>
            </w:r>
          </w:p>
        </w:tc>
        <w:tc>
          <w:tcPr>
            <w:tcW w:type="dxa" w:w="43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North Zone intensive: Assign risk officers to the 3 highest-default branches</w:t>
            </w:r>
          </w:p>
        </w:tc>
        <w:tc>
          <w:tcPr>
            <w:tcW w:type="dxa" w:w="266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Stabilize North Zone default rate within 6 months</w:t>
            </w:r>
          </w:p>
        </w:tc>
        <w:tc>
          <w:tcPr>
            <w:tcW w:type="dxa" w:w="14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30 days</w:t>
            </w:r>
          </w:p>
        </w:tc>
      </w:tr>
      <w:tr>
        <w:tc>
          <w:tcPr>
            <w:tcW w:type="dxa" w:w="1000"/>
            <w:shd w:fill="E7F3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45"/>
                <w:sz w:val="19"/>
                <w:szCs w:val="19"/>
              </w:rPr>
              <w:t xml:space="preserve">P3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Automated EMI reminder system via UPI/SMS 7 days before due date</w:t>
            </w:r>
          </w:p>
        </w:tc>
        <w:tc>
          <w:tcPr>
            <w:tcW w:type="dxa" w:w="2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Improve on-time rate by est. 3–5pp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90 days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76E79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5.  Digital Transformation — A Success Story Worth Amplifying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64A"/>
          <w:sz w:val="21"/>
          <w:szCs w:val="21"/>
        </w:rPr>
        <w:t xml:space="preserve">The UPI adoption trajectory is the strongest performance narrative in this dataset: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343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UPI Share</w:t>
            </w:r>
          </w:p>
        </w:tc>
        <w:tc>
          <w:tcPr>
            <w:tcW w:type="dxa" w:w="343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Traditional Share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2018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&lt; 15%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&gt; 70%</w:t>
            </w:r>
          </w:p>
        </w:tc>
      </w:tr>
      <w:tr>
        <w:tc>
          <w:tcPr>
            <w:tcW w:type="dxa" w:w="250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2021</w:t>
            </w:r>
          </w:p>
        </w:tc>
        <w:tc>
          <w:tcPr>
            <w:tcW w:type="dxa" w:w="343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~38%</w:t>
            </w:r>
          </w:p>
        </w:tc>
        <w:tc>
          <w:tcPr>
            <w:tcW w:type="dxa" w:w="343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~45%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2025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&gt; 65%</w:t>
            </w:r>
          </w:p>
        </w:tc>
        <w:tc>
          <w:tcPr>
            <w:tcW w:type="dxa" w:w="34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&lt; 20%</w:t>
            </w:r>
          </w:p>
        </w:tc>
      </w:tr>
    </w:tbl>
    <w:p>
      <w:pPr>
        <w:spacing w:after="200"/>
      </w:pP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64A"/>
          <w:sz w:val="21"/>
          <w:szCs w:val="21"/>
        </w:rPr>
        <w:t xml:space="preserve">This is above the national rural banking average and demonstrates successful digital onboarding of a traditionally cash-dependent rural customer base.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Additional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64A"/>
          <w:sz w:val="21"/>
          <w:szCs w:val="21"/>
        </w:rPr>
        <w:t xml:space="preserve">Customers in the Heavy UPI tier (&gt;80% UPI transactions) show a 2.1pp lower default rate than customers using no digital channels — suggesting digital engagement is a proxy for financial discipline.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Recommendation</w:t>
      </w:r>
    </w:p>
    <w:tbl>
      <w:tblPr>
        <w:tblW w:type="dxa" w:w="9360"/>
        <w:tblBorders>
          <w:top w:val="single" w:color="1E7B45" w:sz="4"/>
          <w:left w:val="single" w:color="1E7B45" w:sz="24"/>
          <w:bottom w:val="single" w:color="1E7B45" w:sz="4"/>
          <w:right w:val="single" w:color="1E7B4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3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E7B45"/>
                <w:sz w:val="18"/>
                <w:szCs w:val="18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64A"/>
                <w:sz w:val="20"/>
                <w:szCs w:val="20"/>
              </w:rPr>
              <w:t xml:space="preserve">UPI-Linked Loan Products: Launch a micro-loan product (₹10,000 – ₹50,000) that requires active UPI usage as eligibility. This simultaneously grows the digital portfolio and self-selects for lower-risk borrowers.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76E79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6.  Branch Operations — Efficiency Inequality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64A"/>
          <w:sz w:val="21"/>
          <w:szCs w:val="21"/>
        </w:rPr>
        <w:t xml:space="preserve">The 250 branches show wide performance variance: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Top 10 branches</w:t>
      </w:r>
      <w:r>
        <w:rPr>
          <w:rFonts w:ascii="Calibri" w:cs="Calibri" w:eastAsia="Calibri" w:hAnsi="Calibri"/>
          <w:color w:val="44464A"/>
          <w:sz w:val="21"/>
          <w:szCs w:val="21"/>
        </w:rPr>
        <w:t xml:space="preserve"> generate 38% of total disbursed volume with only 4% of defaults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Bottom 20 branches</w:t>
      </w:r>
      <w:r>
        <w:rPr>
          <w:rFonts w:ascii="Calibri" w:cs="Calibri" w:eastAsia="Calibri" w:hAnsi="Calibri"/>
          <w:color w:val="44464A"/>
          <w:sz w:val="21"/>
          <w:szCs w:val="21"/>
        </w:rPr>
        <w:t xml:space="preserve"> contribute 6% of volume but 14% of defaults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Rural branches</w:t>
      </w:r>
      <w:r>
        <w:rPr>
          <w:rFonts w:ascii="Calibri" w:cs="Calibri" w:eastAsia="Calibri" w:hAnsi="Calibri"/>
          <w:color w:val="44464A"/>
          <w:sz w:val="21"/>
          <w:szCs w:val="21"/>
        </w:rPr>
        <w:t xml:space="preserve"> are 40% slower to process loans (avg 22 days vs 13 days for Urban)</w:t>
      </w:r>
    </w:p>
    <w:p>
      <w:pPr>
        <w:spacing w:after="80"/>
      </w:pPr>
    </w:p>
    <w:tbl>
      <w:tblPr>
        <w:tblW w:type="dxa" w:w="9360"/>
        <w:tblBorders>
          <w:top w:val="single" w:color="1E7B45" w:sz="4"/>
          <w:left w:val="single" w:color="1E7B45" w:sz="24"/>
          <w:bottom w:val="single" w:color="1E7B45" w:sz="4"/>
          <w:right w:val="single" w:color="1E7B4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3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E7B45"/>
                <w:sz w:val="18"/>
                <w:szCs w:val="18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64A"/>
                <w:sz w:val="20"/>
                <w:szCs w:val="20"/>
              </w:rPr>
              <w:t xml:space="preserve">The processing speed gap between Rural and Urban is primarily driven by documentation collection delays, not credit decision time. A Digital Document Upload Portal for rural customers could close this gap by 60–70%.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76E79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7.  Strategic Recommendations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2670"/>
        <w:gridCol w:w="2670"/>
        <w:gridCol w:w="2660"/>
      </w:tblGrid>
      <w:tr>
        <w:trPr>
          <w:tblHeader/>
        </w:trPr>
        <w:tc>
          <w:tcPr>
            <w:tcW w:type="dxa" w:w="136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67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Quick Win (&lt; 30 days)</w:t>
            </w:r>
          </w:p>
        </w:tc>
        <w:tc>
          <w:tcPr>
            <w:tcW w:type="dxa" w:w="267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Medium Term (3–6 mo)</w:t>
            </w:r>
          </w:p>
        </w:tc>
        <w:tc>
          <w:tcPr>
            <w:tcW w:type="dxa" w:w="2660"/>
            <w:shd w:fill="2B24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Strategic (6–18 mo)</w:t>
            </w:r>
          </w:p>
        </w:tc>
      </w:tr>
      <w:tr>
        <w:tc>
          <w:tcPr>
            <w:tcW w:type="dxa" w:w="1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Risk</w:t>
            </w:r>
          </w:p>
        </w:tc>
        <w:tc>
          <w:tcPr>
            <w:tcW w:type="dxa" w:w="26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Flag top 100 high-risk borrowers for CRM follow-up</w:t>
            </w:r>
          </w:p>
        </w:tc>
        <w:tc>
          <w:tcPr>
            <w:tcW w:type="dxa" w:w="26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Introduce credit score floor policies by loan type</w:t>
            </w:r>
          </w:p>
        </w:tc>
        <w:tc>
          <w:tcPr>
            <w:tcW w:type="dxa" w:w="2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AI-based early warning scoring model</w:t>
            </w:r>
          </w:p>
        </w:tc>
      </w:tr>
      <w:tr>
        <w:tc>
          <w:tcPr>
            <w:tcW w:type="dxa" w:w="136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Loans</w:t>
            </w:r>
          </w:p>
        </w:tc>
        <w:tc>
          <w:tcPr>
            <w:tcW w:type="dxa" w:w="267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Deploy pre-screening eligibility checker at branches</w:t>
            </w:r>
          </w:p>
        </w:tc>
        <w:tc>
          <w:tcPr>
            <w:tcW w:type="dxa" w:w="267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Train officers on documentation collection efficiency</w:t>
            </w:r>
          </w:p>
        </w:tc>
        <w:tc>
          <w:tcPr>
            <w:tcW w:type="dxa" w:w="266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Straight-through processing (STP) for low-risk applications</w:t>
            </w:r>
          </w:p>
        </w:tc>
      </w:tr>
      <w:tr>
        <w:tc>
          <w:tcPr>
            <w:tcW w:type="dxa" w:w="1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Digital</w:t>
            </w:r>
          </w:p>
        </w:tc>
        <w:tc>
          <w:tcPr>
            <w:tcW w:type="dxa" w:w="26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Set UPI adoption target per branch (branch-level KPI)</w:t>
            </w:r>
          </w:p>
        </w:tc>
        <w:tc>
          <w:tcPr>
            <w:tcW w:type="dxa" w:w="26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Launch UPI-linked micro-loan product</w:t>
            </w:r>
          </w:p>
        </w:tc>
        <w:tc>
          <w:tcPr>
            <w:tcW w:type="dxa" w:w="2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Full digital loan journey (application to disbursement)</w:t>
            </w:r>
          </w:p>
        </w:tc>
      </w:tr>
      <w:tr>
        <w:tc>
          <w:tcPr>
            <w:tcW w:type="dxa" w:w="136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Customers</w:t>
            </w:r>
          </w:p>
        </w:tc>
        <w:tc>
          <w:tcPr>
            <w:tcW w:type="dxa" w:w="267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Identify and call top 500 Premium segment customers</w:t>
            </w:r>
          </w:p>
        </w:tc>
        <w:tc>
          <w:tcPr>
            <w:tcW w:type="dxa" w:w="267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Design segment-specific product bundles</w:t>
            </w:r>
          </w:p>
        </w:tc>
        <w:tc>
          <w:tcPr>
            <w:tcW w:type="dxa" w:w="2660"/>
            <w:shd w:fill="FBF7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Customer 360° CRM integration</w:t>
            </w:r>
          </w:p>
        </w:tc>
      </w:tr>
      <w:tr>
        <w:tc>
          <w:tcPr>
            <w:tcW w:type="dxa" w:w="1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Branches</w:t>
            </w:r>
          </w:p>
        </w:tc>
        <w:tc>
          <w:tcPr>
            <w:tcW w:type="dxa" w:w="26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Share top-branch best practices via internal playbook</w:t>
            </w:r>
          </w:p>
        </w:tc>
        <w:tc>
          <w:tcPr>
            <w:tcW w:type="dxa" w:w="26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Officer retraining program for North Zone</w:t>
            </w:r>
          </w:p>
        </w:tc>
        <w:tc>
          <w:tcPr>
            <w:tcW w:type="dxa" w:w="2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Performance-linked officer incentive scheme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76E79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8.  Conclusion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64A"/>
          <w:sz w:val="21"/>
          <w:szCs w:val="21"/>
        </w:rPr>
        <w:t xml:space="preserve">IndoSynth Gramin Bank is at an inflection point. The data tells a story of a bank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Strong fundamentals</w:t>
      </w:r>
      <w:r>
        <w:rPr>
          <w:rFonts w:ascii="Calibri" w:cs="Calibri" w:eastAsia="Calibri" w:hAnsi="Calibri"/>
          <w:color w:val="44464A"/>
          <w:sz w:val="21"/>
          <w:szCs w:val="21"/>
        </w:rPr>
        <w:t xml:space="preserve"> — large customer base, growing digital adoption, within-threshold risk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Significant operational inefficiency</w:t>
      </w:r>
      <w:r>
        <w:rPr>
          <w:rFonts w:ascii="Calibri" w:cs="Calibri" w:eastAsia="Calibri" w:hAnsi="Calibri"/>
          <w:color w:val="44464A"/>
          <w:sz w:val="21"/>
          <w:szCs w:val="21"/>
        </w:rPr>
        <w:t xml:space="preserve"> — funnel leakage, processing speed gaps, geographic risk concentration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Untapped potential</w:t>
      </w:r>
      <w:r>
        <w:rPr>
          <w:rFonts w:ascii="Calibri" w:cs="Calibri" w:eastAsia="Calibri" w:hAnsi="Calibri"/>
          <w:color w:val="44464A"/>
          <w:sz w:val="21"/>
          <w:szCs w:val="21"/>
        </w:rPr>
        <w:t xml:space="preserve"> — Premium segment underserved, digital success not yet converted into product strategy</w:t>
      </w:r>
    </w:p>
    <w:p>
      <w:pPr>
        <w:spacing w:after="120"/>
      </w:pPr>
    </w:p>
    <w:p>
      <w:pPr>
        <w:spacing w:after="2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64A"/>
          <w:sz w:val="21"/>
          <w:szCs w:val="21"/>
        </w:rPr>
        <w:t xml:space="preserve">The Power BI dashboard delivers visibility. The SQL analyses provide diagnostic depth. The next step is action — using these insights to prioritize the 3 Quick Wins above, which together could generate an estimated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₹25–40 Cr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64A"/>
          <w:sz w:val="21"/>
          <w:szCs w:val="21"/>
        </w:rPr>
        <w:t xml:space="preserve"> in additional annual disbursements and reduce NPA exposure by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0.8–1.2 percentage points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64A"/>
          <w:sz w:val="21"/>
          <w:szCs w:val="21"/>
        </w:rPr>
        <w:t xml:space="preserve"> within 12 months.</w:t>
      </w:r>
    </w:p>
    <w:p>
      <w:pPr>
        <w:pBdr>
          <w:top w:val="single" w:color="D9D9D9" w:sz="4" w:space="6"/>
        </w:pBdr>
        <w:spacing w:after="40" w:before="220"/>
        <w:jc w:val="center"/>
      </w:pPr>
      <w:r>
        <w:rPr>
          <w:rFonts w:ascii="Calibri" w:cs="Calibri" w:eastAsia="Calibri" w:hAnsi="Calibri"/>
          <w:i/>
          <w:iCs/>
          <w:color w:val="8A8A8A"/>
          <w:sz w:val="17"/>
          <w:szCs w:val="17"/>
        </w:rPr>
        <w:t xml:space="preserve">Prepared by: Business Analyst — Data &amp; BI Team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8A8A8A"/>
          <w:sz w:val="17"/>
          <w:szCs w:val="17"/>
        </w:rPr>
        <w:t xml:space="preserve">Data Source: 9 core banking tables · 2.9M+ records · FY 2018–2025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8A8A8A"/>
          <w:sz w:val="17"/>
          <w:szCs w:val="17"/>
        </w:rPr>
        <w:t xml:space="preserve">Analytical Tools: MySQL 8.0 · Python (pandas, plotly) · Power BI Desktop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A8A8A"/>
          <w:sz w:val="17"/>
          <w:szCs w:val="17"/>
        </w:rPr>
        <w:t xml:space="preserve">Next Scheduled Review: November 2026 (Q3 Update)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jc w:val="center"/>
    </w:pPr>
    <w:r>
      <w:rPr>
        <w:rFonts w:ascii="Calibri" w:cs="Calibri" w:eastAsia="Calibri" w:hAnsi="Calibri"/>
        <w:color w:val="8A8A8A"/>
        <w:sz w:val="16"/>
        <w:szCs w:val="16"/>
      </w:rPr>
      <w:t xml:space="preserve">Page </w:t>
    </w:r>
    <w:r>
      <w:rPr>
        <w:rFonts w:ascii="Calibri" w:cs="Calibri" w:eastAsia="Calibri" w:hAnsi="Calibr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8A8A"/>
        <w:sz w:val="16"/>
        <w:szCs w:val="16"/>
      </w:rPr>
      <w:t xml:space="preserve"> of </w:t>
    </w:r>
    <w:r>
      <w:rPr>
        <w:rFonts w:ascii="Calibri" w:cs="Calibri" w:eastAsia="Calibri" w:hAnsi="Calibri"/>
        <w:color w:val="8A8A8A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8A8A8A"/>
        <w:sz w:val="16"/>
        <w:szCs w:val="16"/>
      </w:rPr>
      <w:t xml:space="preserve">   ·   Internal — Management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026"/>
      </w:tabs>
    </w:pPr>
    <w:r>
      <w:rPr>
        <w:rFonts w:ascii="Calibri" w:cs="Calibri" w:eastAsia="Calibri" w:hAnsi="Calibri"/>
        <w:color w:val="8A8A8A"/>
        <w:sz w:val="16"/>
        <w:szCs w:val="16"/>
      </w:rPr>
      <w:t xml:space="preserve">IndoSynth Gramin Bank · Executive Summary</w:t>
    </w:r>
    <w:r>
      <w:rPr>
        <w:rFonts w:ascii="Calibri" w:cs="Calibri" w:eastAsia="Calibri" w:hAnsi="Calibri"/>
        <w:color w:val="8A8A8A"/>
        <w:sz w:val="16"/>
        <w:szCs w:val="16"/>
      </w:rPr>
      <w:t xml:space="preserve">	August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  <w:rPr>
        <w:color w:val="B76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6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2026-08-11T09:37:58.155Z</dcterms:created>
  <dcterms:modified xsi:type="dcterms:W3CDTF">2026-08-11T09:37:58.168Z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