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B76E79"/>
          <w:sz w:val="20"/>
          <w:szCs w:val="20"/>
        </w:rPr>
        <w:t xml:space="preserve">SOFTWARE REQUIREMENTS SPECIFICATION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937"/>
          <w:sz w:val="44"/>
          <w:szCs w:val="44"/>
        </w:rPr>
        <w:t xml:space="preserve">IndoSynth Gramin Bank</w:t>
      </w:r>
    </w:p>
    <w:p>
      <w:pPr>
        <w:spacing w:after="260"/>
      </w:pPr>
      <w:r>
        <w:rPr>
          <w:rFonts w:ascii="Calibri" w:cs="Calibri" w:eastAsia="Calibri" w:hAnsi="Calibri"/>
          <w:i/>
          <w:iCs/>
          <w:color w:val="B76E79"/>
          <w:sz w:val="24"/>
          <w:szCs w:val="24"/>
        </w:rPr>
        <w:t xml:space="preserve">Data Analytics &amp; Business Intelligence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F3EA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Document ID</w:t>
            </w:r>
          </w:p>
        </w:tc>
        <w:tc>
          <w:tcPr>
            <w:tcW w:type="dxa" w:w="6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IGB-SRS-2026-v1.0</w:t>
            </w:r>
          </w:p>
        </w:tc>
      </w:tr>
      <w:tr>
        <w:tc>
          <w:tcPr>
            <w:tcW w:type="dxa" w:w="2600"/>
            <w:shd w:fill="F3EA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Version</w:t>
            </w:r>
          </w:p>
        </w:tc>
        <w:tc>
          <w:tcPr>
            <w:tcW w:type="dxa" w:w="6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F3EA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Status</w:t>
            </w:r>
          </w:p>
        </w:tc>
        <w:tc>
          <w:tcPr>
            <w:tcW w:type="dxa" w:w="6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Approved</w:t>
            </w:r>
          </w:p>
        </w:tc>
      </w:tr>
      <w:tr>
        <w:tc>
          <w:tcPr>
            <w:tcW w:type="dxa" w:w="2600"/>
            <w:shd w:fill="F3EA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6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Business Analyst — Data &amp; BI Team</w:t>
            </w:r>
          </w:p>
        </w:tc>
      </w:tr>
      <w:tr>
        <w:tc>
          <w:tcPr>
            <w:tcW w:type="dxa" w:w="2600"/>
            <w:shd w:fill="F3EA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Date</w:t>
            </w:r>
          </w:p>
        </w:tc>
        <w:tc>
          <w:tcPr>
            <w:tcW w:type="dxa" w:w="6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August 2026</w:t>
            </w:r>
          </w:p>
        </w:tc>
      </w:tr>
      <w:tr>
        <w:tc>
          <w:tcPr>
            <w:tcW w:type="dxa" w:w="2600"/>
            <w:shd w:fill="F3EA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Project Code</w:t>
            </w:r>
          </w:p>
        </w:tc>
        <w:tc>
          <w:tcPr>
            <w:tcW w:type="dxa" w:w="6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IGB-BI-2026</w:t>
            </w:r>
          </w:p>
        </w:tc>
      </w:tr>
      <w:tr>
        <w:tc>
          <w:tcPr>
            <w:tcW w:type="dxa" w:w="2600"/>
            <w:shd w:fill="F3EA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Review Date</w:t>
            </w:r>
          </w:p>
        </w:tc>
        <w:tc>
          <w:tcPr>
            <w:tcW w:type="dxa" w:w="6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February 2027</w:t>
            </w:r>
          </w:p>
        </w:tc>
      </w:tr>
      <w:tr>
        <w:tc>
          <w:tcPr>
            <w:tcW w:type="dxa" w:w="2600"/>
            <w:shd w:fill="F3EA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6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9"/>
                <w:szCs w:val="19"/>
              </w:rPr>
              <w:t xml:space="preserve">Internal — Restricted</w:t>
            </w:r>
          </w:p>
        </w:tc>
      </w:tr>
    </w:tbl>
    <w:p>
      <w:pPr>
        <w:spacing w:after="320"/>
      </w:pPr>
    </w:p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B76E79"/>
          <w:sz w:val="23"/>
          <w:szCs w:val="23"/>
        </w:rPr>
        <w:t xml:space="preserve">Table of Contents</w:t>
      </w:r>
    </w:p>
    <w:p>
      <w:pPr>
        <w:spacing w:after="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1.  Introduction</w:t>
      </w:r>
    </w:p>
    <w:p>
      <w:pPr>
        <w:spacing w:after="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2.  Overall Description</w:t>
      </w:r>
    </w:p>
    <w:p>
      <w:pPr>
        <w:spacing w:after="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3.  System Architecture</w:t>
      </w:r>
    </w:p>
    <w:p>
      <w:pPr>
        <w:spacing w:after="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4.  Functional Requirements</w:t>
      </w:r>
    </w:p>
    <w:p>
      <w:pPr>
        <w:spacing w:after="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5.  Non-Functional Requirements</w:t>
      </w:r>
    </w:p>
    <w:p>
      <w:pPr>
        <w:spacing w:after="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6.  Data Requirements</w:t>
      </w:r>
    </w:p>
    <w:p>
      <w:pPr>
        <w:spacing w:after="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7.  External Interface Requirements</w:t>
      </w:r>
    </w:p>
    <w:p>
      <w:pPr>
        <w:spacing w:after="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8.  KPI &amp; Business Rules</w:t>
      </w:r>
    </w:p>
    <w:p>
      <w:pPr>
        <w:spacing w:after="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9.  Constraints &amp; Assumptions</w:t>
      </w:r>
    </w:p>
    <w:p>
      <w:pPr>
        <w:spacing w:after="9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10. Appendix</w:t>
      </w:r>
    </w:p>
    <w:p>
      <w:r>
        <w:br w:type="page"/>
      </w:r>
    </w:p>
    <w:p>
      <w:pPr>
        <w:pStyle w:val="Heading1"/>
        <w:pBdr>
          <w:bottom w:val="single" w:color="B76E79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1.  Introduction</w:t>
      </w:r>
    </w:p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B76E79"/>
          <w:sz w:val="23"/>
          <w:szCs w:val="23"/>
        </w:rPr>
        <w:t xml:space="preserve">1.1  Purpose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64A"/>
          <w:sz w:val="21"/>
          <w:szCs w:val="21"/>
        </w:rPr>
        <w:t xml:space="preserve">This Software Requirements Specification (SRS) defines the complete functional and non-functional requirements for the IndoSynth Gramin Bank (IGB) Data Analytics &amp; Business Intelligence System. The system is a 4-phase integrated analytics solution built to replace manual, Excel-based reporting with automated, reliable, and interactive insights across all stakeholder levels of the bank.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64A"/>
          <w:sz w:val="21"/>
          <w:szCs w:val="21"/>
        </w:rPr>
        <w:t xml:space="preserve">This document is intended for: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44464A"/>
          <w:sz w:val="21"/>
          <w:szCs w:val="21"/>
        </w:rPr>
        <w:t xml:space="preserve">Developers and data engineers implementing the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44464A"/>
          <w:sz w:val="21"/>
          <w:szCs w:val="21"/>
        </w:rPr>
        <w:t xml:space="preserve">Business analysts validating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44464A"/>
          <w:sz w:val="21"/>
          <w:szCs w:val="21"/>
        </w:rPr>
        <w:t xml:space="preserve">Stakeholders reviewing scope and deliverables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44464A"/>
          <w:sz w:val="21"/>
          <w:szCs w:val="21"/>
        </w:rPr>
        <w:t xml:space="preserve">QA teams designing test cases</w:t>
      </w:r>
    </w:p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B76E79"/>
          <w:sz w:val="23"/>
          <w:szCs w:val="23"/>
        </w:rPr>
        <w:t xml:space="preserve">1.2  Scope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64A"/>
          <w:sz w:val="21"/>
          <w:szCs w:val="21"/>
        </w:rPr>
        <w:t xml:space="preserve">The IGB BI System covers the following components: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80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16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Phase 1 — Data Layer</w:t>
            </w:r>
          </w:p>
        </w:tc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MySQL 8.0+</w:t>
            </w:r>
          </w:p>
        </w:tc>
        <w:tc>
          <w:tcPr>
            <w:tcW w:type="dxa" w:w="41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Normalized relational database with 9 tables, ~2.9M records</w:t>
            </w:r>
          </w:p>
        </w:tc>
      </w:tr>
      <w:tr>
        <w:tc>
          <w:tcPr>
            <w:tcW w:type="dxa" w:w="24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Phase 2 — EDA Layer</w:t>
            </w:r>
          </w:p>
        </w:tc>
        <w:tc>
          <w:tcPr>
            <w:tcW w:type="dxa" w:w="28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Python (pandas, plotly)</w:t>
            </w:r>
          </w:p>
        </w:tc>
        <w:tc>
          <w:tcPr>
            <w:tcW w:type="dxa" w:w="41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Cleaned datasets, 30+ visualizations, 4 hypothesis tests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Phase 3 — Dashboard Layer</w:t>
            </w:r>
          </w:p>
        </w:tc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Power BI Desktop</w:t>
            </w:r>
          </w:p>
        </w:tc>
        <w:tc>
          <w:tcPr>
            <w:tcW w:type="dxa" w:w="41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6-page interactive report with Rose Gold Light Theme</w:t>
            </w:r>
          </w:p>
        </w:tc>
      </w:tr>
      <w:tr>
        <w:tc>
          <w:tcPr>
            <w:tcW w:type="dxa" w:w="24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Phase 4 — BA Analysis Layer</w:t>
            </w:r>
          </w:p>
        </w:tc>
        <w:tc>
          <w:tcPr>
            <w:tcW w:type="dxa" w:w="28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SQL + Python</w:t>
            </w:r>
          </w:p>
        </w:tc>
        <w:tc>
          <w:tcPr>
            <w:tcW w:type="dxa" w:w="41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5 analysis scripts, KPI tracker, HTML insight report</w:t>
            </w:r>
          </w:p>
        </w:tc>
      </w:tr>
    </w:tbl>
    <w:p>
      <w:pPr>
        <w:spacing w:after="160"/>
      </w:pPr>
    </w:p>
    <w:p>
      <w:pPr>
        <w:spacing w:after="100" w:before="18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What is NOT in scope: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44464A"/>
          <w:sz w:val="21"/>
          <w:szCs w:val="21"/>
        </w:rPr>
        <w:t xml:space="preserve">Real-time data streaming or live CBS (Core Banking System)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44464A"/>
          <w:sz w:val="21"/>
          <w:szCs w:val="21"/>
        </w:rPr>
        <w:t xml:space="preserve">Machine learning / predictive models (feature engineering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44464A"/>
          <w:sz w:val="21"/>
          <w:szCs w:val="21"/>
        </w:rPr>
        <w:t xml:space="preserve">Mobile application development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44464A"/>
          <w:sz w:val="21"/>
          <w:szCs w:val="21"/>
        </w:rPr>
        <w:t xml:space="preserve">Public-facing customer portal</w:t>
      </w:r>
    </w:p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B76E79"/>
          <w:sz w:val="23"/>
          <w:szCs w:val="23"/>
        </w:rPr>
        <w:t xml:space="preserve">1.3  Definitions, Acronyms &amp; Abbreviations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76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IGB</w:t>
            </w:r>
          </w:p>
        </w:tc>
        <w:tc>
          <w:tcPr>
            <w:tcW w:type="dxa" w:w="7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IndoSynth Gramin Bank</w:t>
            </w:r>
          </w:p>
        </w:tc>
      </w:tr>
      <w:tr>
        <w:tc>
          <w:tcPr>
            <w:tcW w:type="dxa" w:w="16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BI</w:t>
            </w:r>
          </w:p>
        </w:tc>
        <w:tc>
          <w:tcPr>
            <w:tcW w:type="dxa" w:w="77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Business Intelligence</w:t>
            </w:r>
          </w:p>
        </w:tc>
      </w:tr>
      <w:tr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EDA</w:t>
            </w:r>
          </w:p>
        </w:tc>
        <w:tc>
          <w:tcPr>
            <w:tcW w:type="dxa" w:w="7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Exploratory Data Analysis</w:t>
            </w:r>
          </w:p>
        </w:tc>
      </w:tr>
      <w:tr>
        <w:tc>
          <w:tcPr>
            <w:tcW w:type="dxa" w:w="16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KPI</w:t>
            </w:r>
          </w:p>
        </w:tc>
        <w:tc>
          <w:tcPr>
            <w:tcW w:type="dxa" w:w="77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Key Performance Indicator</w:t>
            </w:r>
          </w:p>
        </w:tc>
      </w:tr>
      <w:tr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NPA</w:t>
            </w:r>
          </w:p>
        </w:tc>
        <w:tc>
          <w:tcPr>
            <w:tcW w:type="dxa" w:w="7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Non-Performing Asset (defaulted loans)</w:t>
            </w:r>
          </w:p>
        </w:tc>
      </w:tr>
      <w:tr>
        <w:tc>
          <w:tcPr>
            <w:tcW w:type="dxa" w:w="16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UPI</w:t>
            </w:r>
          </w:p>
        </w:tc>
        <w:tc>
          <w:tcPr>
            <w:tcW w:type="dxa" w:w="77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Unified Payments Interface (India's digital payment system)</w:t>
            </w:r>
          </w:p>
        </w:tc>
      </w:tr>
      <w:tr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KYC</w:t>
            </w:r>
          </w:p>
        </w:tc>
        <w:tc>
          <w:tcPr>
            <w:tcW w:type="dxa" w:w="7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Know Your Customer (regulatory identity verification)</w:t>
            </w:r>
          </w:p>
        </w:tc>
      </w:tr>
      <w:tr>
        <w:tc>
          <w:tcPr>
            <w:tcW w:type="dxa" w:w="16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SRS</w:t>
            </w:r>
          </w:p>
        </w:tc>
        <w:tc>
          <w:tcPr>
            <w:tcW w:type="dxa" w:w="77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Software Requirements Specification</w:t>
            </w:r>
          </w:p>
        </w:tc>
      </w:tr>
      <w:tr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BRD</w:t>
            </w:r>
          </w:p>
        </w:tc>
        <w:tc>
          <w:tcPr>
            <w:tcW w:type="dxa" w:w="7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Business Requirements Document</w:t>
            </w:r>
          </w:p>
        </w:tc>
      </w:tr>
      <w:tr>
        <w:tc>
          <w:tcPr>
            <w:tcW w:type="dxa" w:w="16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DAX</w:t>
            </w:r>
          </w:p>
        </w:tc>
        <w:tc>
          <w:tcPr>
            <w:tcW w:type="dxa" w:w="77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Data Analysis Expressions (Power BI formula language)</w:t>
            </w:r>
          </w:p>
        </w:tc>
      </w:tr>
      <w:tr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CTE</w:t>
            </w:r>
          </w:p>
        </w:tc>
        <w:tc>
          <w:tcPr>
            <w:tcW w:type="dxa" w:w="7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Common Table Expression (advanced SQL construct)</w:t>
            </w:r>
          </w:p>
        </w:tc>
      </w:tr>
      <w:tr>
        <w:tc>
          <w:tcPr>
            <w:tcW w:type="dxa" w:w="16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3NF</w:t>
            </w:r>
          </w:p>
        </w:tc>
        <w:tc>
          <w:tcPr>
            <w:tcW w:type="dxa" w:w="77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Third Normal Form (database normalization standard)</w:t>
            </w:r>
          </w:p>
        </w:tc>
      </w:tr>
      <w:tr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CBS</w:t>
            </w:r>
          </w:p>
        </w:tc>
        <w:tc>
          <w:tcPr>
            <w:tcW w:type="dxa" w:w="7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Core Banking System</w:t>
            </w:r>
          </w:p>
        </w:tc>
      </w:tr>
      <w:tr>
        <w:tc>
          <w:tcPr>
            <w:tcW w:type="dxa" w:w="16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EMI</w:t>
            </w:r>
          </w:p>
        </w:tc>
        <w:tc>
          <w:tcPr>
            <w:tcW w:type="dxa" w:w="77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Equated Monthly Installment</w:t>
            </w:r>
          </w:p>
        </w:tc>
      </w:tr>
      <w:tr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GNPA</w:t>
            </w:r>
          </w:p>
        </w:tc>
        <w:tc>
          <w:tcPr>
            <w:tcW w:type="dxa" w:w="7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Gross Non-Performing Assets ratio</w:t>
            </w:r>
          </w:p>
        </w:tc>
      </w:tr>
      <w:tr>
        <w:tc>
          <w:tcPr>
            <w:tcW w:type="dxa" w:w="16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LPA</w:t>
            </w:r>
          </w:p>
        </w:tc>
        <w:tc>
          <w:tcPr>
            <w:tcW w:type="dxa" w:w="77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Lakhs Per Annum (Rs. unit of annual income)</w:t>
            </w:r>
          </w:p>
        </w:tc>
      </w:tr>
      <w:tr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Cr</w:t>
            </w:r>
          </w:p>
        </w:tc>
        <w:tc>
          <w:tcPr>
            <w:tcW w:type="dxa" w:w="7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Crore (Rs. unit, 1 Cr = 10 million Rs.)</w:t>
            </w:r>
          </w:p>
        </w:tc>
      </w:tr>
      <w:tr>
        <w:tc>
          <w:tcPr>
            <w:tcW w:type="dxa" w:w="16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NPCI</w:t>
            </w:r>
          </w:p>
        </w:tc>
        <w:tc>
          <w:tcPr>
            <w:tcW w:type="dxa" w:w="77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National Payments Corporation of India</w:t>
            </w:r>
          </w:p>
        </w:tc>
      </w:tr>
      <w:tr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RBI</w:t>
            </w:r>
          </w:p>
        </w:tc>
        <w:tc>
          <w:tcPr>
            <w:tcW w:type="dxa" w:w="7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Reserve Bank of India</w:t>
            </w:r>
          </w:p>
        </w:tc>
      </w:tr>
    </w:tbl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B76E79"/>
          <w:sz w:val="23"/>
          <w:szCs w:val="23"/>
        </w:rPr>
        <w:t xml:space="preserve">1.4 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576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Business Requirements Document (BRD)</w:t>
            </w:r>
          </w:p>
        </w:tc>
        <w:tc>
          <w:tcPr>
            <w:tcW w:type="dxa" w:w="5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business_analysis/documents/business_requirements.md</w:t>
            </w:r>
          </w:p>
        </w:tc>
      </w:tr>
      <w:tr>
        <w:tc>
          <w:tcPr>
            <w:tcW w:type="dxa" w:w="36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KPI Definitions &amp; Governance Dictionary</w:t>
            </w:r>
          </w:p>
        </w:tc>
        <w:tc>
          <w:tcPr>
            <w:tcW w:type="dxa" w:w="57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business_analysis/documents/kpi_definitions.md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Executive Summary — Data Analytics Findings</w:t>
            </w:r>
          </w:p>
        </w:tc>
        <w:tc>
          <w:tcPr>
            <w:tcW w:type="dxa" w:w="5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business_analysis/documents/executive_summary.md</w:t>
            </w:r>
          </w:p>
        </w:tc>
      </w:tr>
      <w:tr>
        <w:tc>
          <w:tcPr>
            <w:tcW w:type="dxa" w:w="36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Power BI Dashboard Master Specification</w:t>
            </w:r>
          </w:p>
        </w:tc>
        <w:tc>
          <w:tcPr>
            <w:tcW w:type="dxa" w:w="57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powerbi_dashboard_specification.md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SQL Analysis Scripts (5 files)</w:t>
            </w:r>
          </w:p>
        </w:tc>
        <w:tc>
          <w:tcPr>
            <w:tcW w:type="dxa" w:w="5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business_analysis/sql_analysis/</w:t>
            </w:r>
          </w:p>
        </w:tc>
      </w:tr>
      <w:tr>
        <w:tc>
          <w:tcPr>
            <w:tcW w:type="dxa" w:w="36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BA Insight Report Generator</w:t>
            </w:r>
          </w:p>
        </w:tc>
        <w:tc>
          <w:tcPr>
            <w:tcW w:type="dxa" w:w="57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business_analysis/python_reports/ba_insight_report.py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Project Guide</w:t>
            </w:r>
          </w:p>
        </w:tc>
        <w:tc>
          <w:tcPr>
            <w:tcW w:type="dxa" w:w="5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project_guide.md</w:t>
            </w:r>
          </w:p>
        </w:tc>
      </w:tr>
      <w:tr>
        <w:tc>
          <w:tcPr>
            <w:tcW w:type="dxa" w:w="36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README</w:t>
            </w:r>
          </w:p>
        </w:tc>
        <w:tc>
          <w:tcPr>
            <w:tcW w:type="dxa" w:w="57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README.md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76E79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2.  Overall Description</w:t>
      </w:r>
    </w:p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B76E79"/>
          <w:sz w:val="23"/>
          <w:szCs w:val="23"/>
        </w:rPr>
        <w:t xml:space="preserve">2.1  Product Perspective</w:t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64A"/>
          <w:sz w:val="21"/>
          <w:szCs w:val="21"/>
        </w:rPr>
        <w:t xml:space="preserve">IndoSynth Gramin Bank operates 250 branches across rural, semi-urban, and urban India, serving 100,000+ customers with a portfolio of 300,000+ loan applications and 1.5 million+ transactions annually. Prior to this system, the bank faced: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Pain Point</w:t>
            </w:r>
          </w:p>
        </w:tc>
        <w:tc>
          <w:tcPr>
            <w:tcW w:type="dxa" w:w="596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Delayed NPA detection</w:t>
            </w:r>
          </w:p>
        </w:tc>
        <w:tc>
          <w:tcPr>
            <w:tcW w:type="dxa" w:w="59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Defaults identified weeks after occurrence</w:t>
            </w:r>
          </w:p>
        </w:tc>
      </w:tr>
      <w:tr>
        <w:tc>
          <w:tcPr>
            <w:tcW w:type="dxa" w:w="34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Siloed branch reporting</w:t>
            </w:r>
          </w:p>
        </w:tc>
        <w:tc>
          <w:tcPr>
            <w:tcW w:type="dxa" w:w="59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No network-wide trend visibility for managers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No digital adoption tracking</w:t>
            </w:r>
          </w:p>
        </w:tc>
        <w:tc>
          <w:tcPr>
            <w:tcW w:type="dxa" w:w="59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UPI growth not quantified or strategized</w:t>
            </w:r>
          </w:p>
        </w:tc>
      </w:tr>
      <w:tr>
        <w:tc>
          <w:tcPr>
            <w:tcW w:type="dxa" w:w="34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Manual KPI reporting</w:t>
            </w:r>
          </w:p>
        </w:tc>
        <w:tc>
          <w:tcPr>
            <w:tcW w:type="dxa" w:w="59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Weekly Excel reports — error-prone and stale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No segment profitability view</w:t>
            </w:r>
          </w:p>
        </w:tc>
        <w:tc>
          <w:tcPr>
            <w:tcW w:type="dxa" w:w="59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Revenue concentration unknown</w:t>
            </w:r>
          </w:p>
        </w:tc>
      </w:tr>
    </w:tbl>
    <w:p>
      <w:pPr>
        <w:spacing w:after="140"/>
      </w:pP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64A"/>
          <w:sz w:val="21"/>
          <w:szCs w:val="21"/>
        </w:rPr>
        <w:t xml:space="preserve">The IGB BI System eliminates these gaps through an end-to-end analytics pipeline.</w:t>
      </w:r>
    </w:p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B76E79"/>
          <w:sz w:val="23"/>
          <w:szCs w:val="23"/>
        </w:rPr>
        <w:t xml:space="preserve">2.2  Product Functions (High-Level)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B76E79"/>
          <w:sz w:val="21"/>
          <w:szCs w:val="21"/>
        </w:rPr>
        <w:t xml:space="preserve">1.  </w:t>
      </w:r>
      <w:r>
        <w:rPr>
          <w:rFonts w:ascii="Calibri" w:cs="Calibri" w:eastAsia="Calibri" w:hAnsi="Calibri"/>
          <w:color w:val="44464A"/>
          <w:sz w:val="21"/>
          <w:szCs w:val="21"/>
        </w:rPr>
        <w:t xml:space="preserve">Ingest &amp; Store — Load all 9 operational CSV tables into a normalized MySQL database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B76E79"/>
          <w:sz w:val="21"/>
          <w:szCs w:val="21"/>
        </w:rPr>
        <w:t xml:space="preserve">2.  </w:t>
      </w:r>
      <w:r>
        <w:rPr>
          <w:rFonts w:ascii="Calibri" w:cs="Calibri" w:eastAsia="Calibri" w:hAnsi="Calibri"/>
          <w:color w:val="44464A"/>
          <w:sz w:val="21"/>
          <w:szCs w:val="21"/>
        </w:rPr>
        <w:t xml:space="preserve">Clean &amp; Validate — Perform automated EDA, imputation, and feature engineering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B76E79"/>
          <w:sz w:val="21"/>
          <w:szCs w:val="21"/>
        </w:rPr>
        <w:t xml:space="preserve">3.  </w:t>
      </w:r>
      <w:r>
        <w:rPr>
          <w:rFonts w:ascii="Calibri" w:cs="Calibri" w:eastAsia="Calibri" w:hAnsi="Calibri"/>
          <w:color w:val="44464A"/>
          <w:sz w:val="21"/>
          <w:szCs w:val="21"/>
        </w:rPr>
        <w:t xml:space="preserve">Analyze &amp; Visualize — Run SQL analytical queries and Python statistical analyses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B76E79"/>
          <w:sz w:val="21"/>
          <w:szCs w:val="21"/>
        </w:rPr>
        <w:t xml:space="preserve">4.  </w:t>
      </w:r>
      <w:r>
        <w:rPr>
          <w:rFonts w:ascii="Calibri" w:cs="Calibri" w:eastAsia="Calibri" w:hAnsi="Calibri"/>
          <w:color w:val="44464A"/>
          <w:sz w:val="21"/>
          <w:szCs w:val="21"/>
        </w:rPr>
        <w:t xml:space="preserve">Report &amp; Monitor — Deliver interactive Power BI dashboards and automated HTML reports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B76E79"/>
          <w:sz w:val="21"/>
          <w:szCs w:val="21"/>
        </w:rPr>
        <w:t xml:space="preserve">5.  </w:t>
      </w:r>
      <w:r>
        <w:rPr>
          <w:rFonts w:ascii="Calibri" w:cs="Calibri" w:eastAsia="Calibri" w:hAnsi="Calibri"/>
          <w:color w:val="44464A"/>
          <w:sz w:val="21"/>
          <w:szCs w:val="21"/>
        </w:rPr>
        <w:t xml:space="preserve">Alert &amp; Govern — Track all KPIs against defined thresholds with traffic-light status</w:t>
      </w:r>
    </w:p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B76E79"/>
          <w:sz w:val="23"/>
          <w:szCs w:val="23"/>
        </w:rPr>
        <w:t xml:space="preserve">2.3  User Classes &amp;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4560"/>
        <w:gridCol w:w="1000"/>
      </w:tblGrid>
      <w:tr>
        <w:trPr>
          <w:tblHeader/>
        </w:trPr>
        <w:tc>
          <w:tcPr>
            <w:tcW w:type="dxa" w:w="220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User Class</w:t>
            </w:r>
          </w:p>
        </w:tc>
        <w:tc>
          <w:tcPr>
            <w:tcW w:type="dxa" w:w="160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Technical Level</w:t>
            </w:r>
          </w:p>
        </w:tc>
        <w:tc>
          <w:tcPr>
            <w:tcW w:type="dxa" w:w="456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Primary Interaction</w:t>
            </w:r>
          </w:p>
        </w:tc>
        <w:tc>
          <w:tcPr>
            <w:tcW w:type="dxa" w:w="100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Volume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MD / CEO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Low</w:t>
            </w:r>
          </w:p>
        </w:tc>
        <w:tc>
          <w:tcPr>
            <w:tcW w:type="dxa" w:w="45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Power BI — Executive Page</w:t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2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CFO / Finance Head</w:t>
            </w:r>
          </w:p>
        </w:tc>
        <w:tc>
          <w:tcPr>
            <w:tcW w:type="dxa" w:w="16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Low</w:t>
            </w:r>
          </w:p>
        </w:tc>
        <w:tc>
          <w:tcPr>
            <w:tcW w:type="dxa" w:w="45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Power BI — Executive + Loan Pages</w:t>
            </w:r>
          </w:p>
        </w:tc>
        <w:tc>
          <w:tcPr>
            <w:tcW w:type="dxa" w:w="10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Chief Risk Officer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Power BI — Risk Monitoring Page</w:t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2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Head of Retail Banking</w:t>
            </w:r>
          </w:p>
        </w:tc>
        <w:tc>
          <w:tcPr>
            <w:tcW w:type="dxa" w:w="16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Power BI — Customer 360 Page</w:t>
            </w:r>
          </w:p>
        </w:tc>
        <w:tc>
          <w:tcPr>
            <w:tcW w:type="dxa" w:w="10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Head of Credit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Power BI — Loan Performance Page</w:t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2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Head of Digital Banking</w:t>
            </w:r>
          </w:p>
        </w:tc>
        <w:tc>
          <w:tcPr>
            <w:tcW w:type="dxa" w:w="16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Power BI — Transactions Page</w:t>
            </w:r>
          </w:p>
        </w:tc>
        <w:tc>
          <w:tcPr>
            <w:tcW w:type="dxa" w:w="10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Zonal Managers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Power BI — Branch Ops Page (zone-filtered)</w:t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2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Branch Managers</w:t>
            </w:r>
          </w:p>
        </w:tc>
        <w:tc>
          <w:tcPr>
            <w:tcW w:type="dxa" w:w="16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Low</w:t>
            </w:r>
          </w:p>
        </w:tc>
        <w:tc>
          <w:tcPr>
            <w:tcW w:type="dxa" w:w="45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Power BI — Branch Ops Page (branch-filtered)</w:t>
            </w:r>
          </w:p>
        </w:tc>
        <w:tc>
          <w:tcPr>
            <w:tcW w:type="dxa" w:w="10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250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Compliance Officer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Power BI — Customer 360 (KYC metrics)</w:t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2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IT / Data Team</w:t>
            </w:r>
          </w:p>
        </w:tc>
        <w:tc>
          <w:tcPr>
            <w:tcW w:type="dxa" w:w="16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MySQL, Python scripts, Power BI data model</w:t>
            </w:r>
          </w:p>
        </w:tc>
        <w:tc>
          <w:tcPr>
            <w:tcW w:type="dxa" w:w="10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~5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Business Analyst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All layers — SQL, Python, Power BI authoring</w:t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~2</w:t>
            </w:r>
          </w:p>
        </w:tc>
      </w:tr>
    </w:tbl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B76E79"/>
          <w:sz w:val="23"/>
          <w:szCs w:val="23"/>
        </w:rPr>
        <w:t xml:space="preserve">2.4  Operating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1660"/>
        <w:gridCol w:w="3000"/>
      </w:tblGrid>
      <w:tr>
        <w:trPr>
          <w:tblHeader/>
        </w:trPr>
        <w:tc>
          <w:tcPr>
            <w:tcW w:type="dxa" w:w="220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50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66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00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Host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Database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MySQL</w:t>
            </w:r>
          </w:p>
        </w:tc>
        <w:tc>
          <w:tcPr>
            <w:tcW w:type="dxa" w:w="16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8.0+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Local / On-prem server</w:t>
            </w:r>
          </w:p>
        </w:tc>
      </w:tr>
      <w:tr>
        <w:tc>
          <w:tcPr>
            <w:tcW w:type="dxa" w:w="22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Python Runtime</w:t>
            </w:r>
          </w:p>
        </w:tc>
        <w:tc>
          <w:tcPr>
            <w:tcW w:type="dxa" w:w="25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CPython</w:t>
            </w:r>
          </w:p>
        </w:tc>
        <w:tc>
          <w:tcPr>
            <w:tcW w:type="dxa" w:w="16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3.10+</w:t>
            </w:r>
          </w:p>
        </w:tc>
        <w:tc>
          <w:tcPr>
            <w:tcW w:type="dxa" w:w="30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Local workstation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Dashboard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Power BI Desktop</w:t>
            </w:r>
          </w:p>
        </w:tc>
        <w:tc>
          <w:tcPr>
            <w:tcW w:type="dxa" w:w="16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March 2025+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Local workstation</w:t>
            </w:r>
          </w:p>
        </w:tc>
      </w:tr>
      <w:tr>
        <w:tc>
          <w:tcPr>
            <w:tcW w:type="dxa" w:w="22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Dashboard (distribution)</w:t>
            </w:r>
          </w:p>
        </w:tc>
        <w:tc>
          <w:tcPr>
            <w:tcW w:type="dxa" w:w="25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Power BI Service</w:t>
            </w:r>
          </w:p>
        </w:tc>
        <w:tc>
          <w:tcPr>
            <w:tcW w:type="dxa" w:w="16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Current</w:t>
            </w:r>
          </w:p>
        </w:tc>
        <w:tc>
          <w:tcPr>
            <w:tcW w:type="dxa" w:w="30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Cloud (Microsoft)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OS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Windows</w:t>
            </w:r>
          </w:p>
        </w:tc>
        <w:tc>
          <w:tcPr>
            <w:tcW w:type="dxa" w:w="16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10/11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Standard bank workstation</w:t>
            </w:r>
          </w:p>
        </w:tc>
      </w:tr>
    </w:tbl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B76E79"/>
          <w:sz w:val="23"/>
          <w:szCs w:val="23"/>
        </w:rPr>
        <w:t xml:space="preserve">2.5  Design &amp; Implementation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44464A"/>
          <w:sz w:val="21"/>
          <w:szCs w:val="21"/>
        </w:rPr>
        <w:t xml:space="preserve">All tools must be free/open-source or already licensed (no additional licensing cost)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44464A"/>
          <w:sz w:val="21"/>
          <w:szCs w:val="21"/>
        </w:rPr>
        <w:t xml:space="preserve">Python environment is managed via venv with dependencies in requirements.txt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44464A"/>
          <w:sz w:val="21"/>
          <w:szCs w:val="21"/>
        </w:rPr>
        <w:t xml:space="preserve">Data is batch-refreshed (not real-time)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44464A"/>
          <w:sz w:val="21"/>
          <w:szCs w:val="21"/>
        </w:rPr>
        <w:t xml:space="preserve">Raw data contains no PII beyond internal bank-issued IDs</w:t>
      </w:r>
    </w:p>
    <w:p>
      <w:r>
        <w:br w:type="page"/>
      </w:r>
    </w:p>
    <w:p>
      <w:pPr>
        <w:pStyle w:val="Heading1"/>
        <w:pBdr>
          <w:bottom w:val="single" w:color="B76E79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3.  System Architecture</w:t>
      </w:r>
    </w:p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B76E79"/>
          <w:sz w:val="23"/>
          <w:szCs w:val="23"/>
        </w:rPr>
        <w:t xml:space="preserve">3.1 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2430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4E7EC"/>
                <w:sz w:val="16"/>
                <w:szCs w:val="16"/>
              </w:rPr>
              <w:t xml:space="preserve">+----------------------------------------------------------+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4E7EC"/>
                <w:sz w:val="16"/>
                <w:szCs w:val="16"/>
              </w:rPr>
              <w:t xml:space="preserve">|                     RAW DATA SOURCE    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4E7EC"/>
                <w:sz w:val="16"/>
                <w:szCs w:val="16"/>
              </w:rPr>
              <w:t xml:space="preserve">|          9 CSV Files (~2.9 Million Records)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4E7EC"/>
                <w:sz w:val="16"/>
                <w:szCs w:val="16"/>
              </w:rPr>
              <w:t xml:space="preserve">+-----------------------------+----------------------------+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4E7EC"/>
                <w:sz w:val="16"/>
                <w:szCs w:val="16"/>
              </w:rPr>
              <w:t xml:space="preserve">                              | LOAD DATA LOCAL INFILE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4E7EC"/>
                <w:sz w:val="16"/>
                <w:szCs w:val="16"/>
              </w:rPr>
              <w:t xml:space="preserve">                              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4E7EC"/>
                <w:sz w:val="16"/>
                <w:szCs w:val="16"/>
              </w:rPr>
              <w:t xml:space="preserve">+----------------------------------------------------------+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4E7EC"/>
                <w:sz w:val="16"/>
                <w:szCs w:val="16"/>
              </w:rPr>
              <w:t xml:space="preserve">|                  PHASE 1 -- MySQL Layer  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4E7EC"/>
                <w:sz w:val="16"/>
                <w:szCs w:val="16"/>
              </w:rPr>
              <w:t xml:space="preserve">|     Normalized 3NF schema . 9 tables . 18 FK relations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4E7EC"/>
                <w:sz w:val="16"/>
                <w:szCs w:val="16"/>
              </w:rPr>
              <w:t xml:space="preserve">+----------+-----------------------------+-----------------+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4E7EC"/>
                <w:sz w:val="16"/>
                <w:szCs w:val="16"/>
              </w:rPr>
              <w:t xml:space="preserve">           | Python reads CSV            | SQL reads MySQL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4E7EC"/>
                <w:sz w:val="16"/>
                <w:szCs w:val="16"/>
              </w:rPr>
              <w:t xml:space="preserve">           v                             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4E7EC"/>
                <w:sz w:val="16"/>
                <w:szCs w:val="16"/>
              </w:rPr>
              <w:t xml:space="preserve">+--------------------+    +--------------------------------+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4E7EC"/>
                <w:sz w:val="16"/>
                <w:szCs w:val="16"/>
              </w:rPr>
              <w:t xml:space="preserve">|  PHASE 2 -- EDA    |    |  PHASE 4 -- BA SQL Analysis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4E7EC"/>
                <w:sz w:val="16"/>
                <w:szCs w:val="16"/>
              </w:rPr>
              <w:t xml:space="preserve">|  pandas . plotly   |    |  5 scripts . CTEs . Windows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4E7EC"/>
                <w:sz w:val="16"/>
                <w:szCs w:val="16"/>
              </w:rPr>
              <w:t xml:space="preserve">|  Cleaned CSVs      |    |  Customer/Loan/Risk/Branch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4E7EC"/>
                <w:sz w:val="16"/>
                <w:szCs w:val="16"/>
              </w:rPr>
              <w:t xml:space="preserve">+----------+---------+    +--------------------------------+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4E7EC"/>
                <w:sz w:val="16"/>
                <w:szCs w:val="16"/>
              </w:rPr>
              <w:t xml:space="preserve">           | Cleaned CSV exports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4E7EC"/>
                <w:sz w:val="16"/>
                <w:szCs w:val="16"/>
              </w:rPr>
              <w:t xml:space="preserve">           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4E7EC"/>
                <w:sz w:val="16"/>
                <w:szCs w:val="16"/>
              </w:rPr>
              <w:t xml:space="preserve">+----------------------------------------------------------+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4E7EC"/>
                <w:sz w:val="16"/>
                <w:szCs w:val="16"/>
              </w:rPr>
              <w:t xml:space="preserve">|              PHASE 3 -- Power BI Dashboard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4E7EC"/>
                <w:sz w:val="16"/>
                <w:szCs w:val="16"/>
              </w:rPr>
              <w:t xml:space="preserve">|   Star Schema . 40+ DAX Measures . 6 Pages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4E7EC"/>
                <w:sz w:val="16"/>
                <w:szCs w:val="16"/>
              </w:rPr>
              <w:t xml:space="preserve">|   Rose Gold Light Theme . Cross-filter . Drill-through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4E7EC"/>
                <w:sz w:val="16"/>
                <w:szCs w:val="16"/>
              </w:rPr>
              <w:t xml:space="preserve">+----------------------------------------------------------+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4E7EC"/>
                <w:sz w:val="16"/>
                <w:szCs w:val="16"/>
              </w:rPr>
              <w:t xml:space="preserve">           | Python reads cleaned CSVs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4E7EC"/>
                <w:sz w:val="16"/>
                <w:szCs w:val="16"/>
              </w:rPr>
              <w:t xml:space="preserve">           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4E7EC"/>
                <w:sz w:val="16"/>
                <w:szCs w:val="16"/>
              </w:rPr>
              <w:t xml:space="preserve">+----------------------------------------------------------+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4E7EC"/>
                <w:sz w:val="16"/>
                <w:szCs w:val="16"/>
              </w:rPr>
              <w:t xml:space="preserve">|        PHASE 4 -- Python BA Insight Report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4E7EC"/>
                <w:sz w:val="16"/>
                <w:szCs w:val="16"/>
              </w:rPr>
              <w:t xml:space="preserve">|   ba_insight_report.py  --&gt;  ba_report.html    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4E7EC"/>
                <w:sz w:val="16"/>
                <w:szCs w:val="16"/>
              </w:rPr>
              <w:t xml:space="preserve">|   6 automated analyses . Plotly embedded charts     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4E7EC"/>
                <w:sz w:val="16"/>
                <w:szCs w:val="16"/>
              </w:rPr>
              <w:t xml:space="preserve">+----------------------------------------------------------+</w:t>
            </w:r>
          </w:p>
        </w:tc>
      </w:tr>
    </w:tbl>
    <w:p>
      <w:pPr>
        <w:spacing w:after="200"/>
      </w:pPr>
    </w:p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B76E79"/>
          <w:sz w:val="23"/>
          <w:szCs w:val="23"/>
        </w:rPr>
        <w:t xml:space="preserve">3.2  Database Schema (MySQL)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64A"/>
          <w:sz w:val="21"/>
          <w:szCs w:val="21"/>
        </w:rPr>
        <w:t xml:space="preserve">The database uses a Star Schema with the following tables:</w:t>
      </w:r>
    </w:p>
    <w:p>
      <w:pPr>
        <w:spacing w:after="100" w:before="18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Fact Tables: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3760"/>
        <w:gridCol w:w="1500"/>
      </w:tblGrid>
      <w:tr>
        <w:trPr>
          <w:tblHeader/>
        </w:trPr>
        <w:tc>
          <w:tcPr>
            <w:tcW w:type="dxa" w:w="240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70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76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Foreign Keys</w:t>
            </w:r>
          </w:p>
        </w:tc>
        <w:tc>
          <w:tcPr>
            <w:tcW w:type="dxa" w:w="150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~Row Count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loan_applications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application_id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customer_id, branch_id, loan_type_id, employee_id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300,000</w:t>
            </w:r>
          </w:p>
        </w:tc>
      </w:tr>
      <w:tr>
        <w:tc>
          <w:tcPr>
            <w:tcW w:type="dxa" w:w="24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loan_payments</w:t>
            </w:r>
          </w:p>
        </w:tc>
        <w:tc>
          <w:tcPr>
            <w:tcW w:type="dxa" w:w="17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payment_id</w:t>
            </w:r>
          </w:p>
        </w:tc>
        <w:tc>
          <w:tcPr>
            <w:tcW w:type="dxa" w:w="37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application_id</w:t>
            </w:r>
          </w:p>
        </w:tc>
        <w:tc>
          <w:tcPr>
            <w:tcW w:type="dxa" w:w="15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900,000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transactions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transaction_id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customer_id, branch_id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1,500,000</w:t>
            </w:r>
          </w:p>
        </w:tc>
      </w:tr>
    </w:tbl>
    <w:p>
      <w:pPr>
        <w:spacing w:after="140"/>
      </w:pPr>
    </w:p>
    <w:p>
      <w:pPr>
        <w:spacing w:after="100" w:before="18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Dimension Tables: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20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96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~Row Count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customers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29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100,000</w:t>
            </w:r>
          </w:p>
        </w:tc>
      </w:tr>
      <w:tr>
        <w:tc>
          <w:tcPr>
            <w:tcW w:type="dxa" w:w="32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credit_history</w:t>
            </w:r>
          </w:p>
        </w:tc>
        <w:tc>
          <w:tcPr>
            <w:tcW w:type="dxa" w:w="32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credit_id</w:t>
            </w:r>
          </w:p>
        </w:tc>
        <w:tc>
          <w:tcPr>
            <w:tcW w:type="dxa" w:w="29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100,000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branches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branch_id</w:t>
            </w:r>
          </w:p>
        </w:tc>
        <w:tc>
          <w:tcPr>
            <w:tcW w:type="dxa" w:w="29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250</w:t>
            </w:r>
          </w:p>
        </w:tc>
      </w:tr>
      <w:tr>
        <w:tc>
          <w:tcPr>
            <w:tcW w:type="dxa" w:w="32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employees</w:t>
            </w:r>
          </w:p>
        </w:tc>
        <w:tc>
          <w:tcPr>
            <w:tcW w:type="dxa" w:w="32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employee_id</w:t>
            </w:r>
          </w:p>
        </w:tc>
        <w:tc>
          <w:tcPr>
            <w:tcW w:type="dxa" w:w="29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2,000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regions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region_id</w:t>
            </w:r>
          </w:p>
        </w:tc>
        <w:tc>
          <w:tcPr>
            <w:tcW w:type="dxa" w:w="29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40</w:t>
            </w:r>
          </w:p>
        </w:tc>
      </w:tr>
      <w:tr>
        <w:tc>
          <w:tcPr>
            <w:tcW w:type="dxa" w:w="32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loan_types</w:t>
            </w:r>
          </w:p>
        </w:tc>
        <w:tc>
          <w:tcPr>
            <w:tcW w:type="dxa" w:w="32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loan_type_id</w:t>
            </w:r>
          </w:p>
        </w:tc>
        <w:tc>
          <w:tcPr>
            <w:tcW w:type="dxa" w:w="29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10</w:t>
            </w:r>
          </w:p>
        </w:tc>
      </w:tr>
    </w:tbl>
    <w:p>
      <w:pPr>
        <w:spacing w:after="140"/>
      </w:pP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Total: ~2.9 Million Records across 9 tables with 18 defined FK relationships</w:t>
      </w:r>
    </w:p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B76E79"/>
          <w:sz w:val="23"/>
          <w:szCs w:val="23"/>
        </w:rPr>
        <w:t xml:space="preserve">3.3  Power BI Data Model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64A"/>
          <w:sz w:val="21"/>
          <w:szCs w:val="21"/>
        </w:rPr>
        <w:t xml:space="preserve">The Power BI data model mirrors the MySQL schema with an added dim_Date calendar table: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44464A"/>
          <w:sz w:val="21"/>
          <w:szCs w:val="21"/>
        </w:rPr>
        <w:t xml:space="preserve">Import mode (not DirectQuery) for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44464A"/>
          <w:sz w:val="21"/>
          <w:szCs w:val="21"/>
        </w:rPr>
        <w:t xml:space="preserve">Star schema with dimensions on the 1 side and facts on the * side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44464A"/>
          <w:sz w:val="21"/>
          <w:szCs w:val="21"/>
        </w:rPr>
        <w:t xml:space="preserve">Cross-filter direction: Single (1 → *) for all relationships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44464A"/>
          <w:sz w:val="21"/>
          <w:szCs w:val="21"/>
        </w:rPr>
        <w:t xml:space="preserve">dim_Date generated via DAX CALENDAR() function, connected to all fact tables via date columns</w:t>
      </w:r>
    </w:p>
    <w:p>
      <w:r>
        <w:br w:type="page"/>
      </w:r>
    </w:p>
    <w:p>
      <w:pPr>
        <w:pStyle w:val="Heading1"/>
        <w:pBdr>
          <w:bottom w:val="single" w:color="B76E79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4.  Functional Requirements</w:t>
      </w:r>
    </w:p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B76E79"/>
          <w:sz w:val="23"/>
          <w:szCs w:val="23"/>
        </w:rPr>
        <w:t xml:space="preserve">4.1  FR-01 to FR-05 — Data Layer (MySQL)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4800"/>
        <w:gridCol w:w="1300"/>
        <w:gridCol w:w="2510"/>
      </w:tblGrid>
      <w:tr>
        <w:trPr>
          <w:tblHeader/>
        </w:trPr>
        <w:tc>
          <w:tcPr>
            <w:tcW w:type="dxa" w:w="75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0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30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51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Verification</w:t>
            </w:r>
          </w:p>
        </w:tc>
      </w:tr>
      <w:tr>
        <w:tc>
          <w:tcPr>
            <w:tcW w:type="dxa" w:w="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FR-01</w:t>
            </w:r>
          </w:p>
        </w:tc>
        <w:tc>
          <w:tcPr>
            <w:tcW w:type="dxa" w:w="4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The system shall import all 9 raw CSV tables into a normalized MySQL database with properly typed columns (PK as INT NOT NULL, dates as DATE, text as VARCHAR)</w:t>
            </w:r>
          </w:p>
        </w:tc>
        <w:tc>
          <w:tcPr>
            <w:tcW w:type="dxa" w:w="1300"/>
            <w:shd w:fill="FCE8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7"/>
                <w:szCs w:val="17"/>
              </w:rPr>
              <w:t xml:space="preserve">Must Have</w:t>
            </w:r>
          </w:p>
        </w:tc>
        <w:tc>
          <w:tcPr>
            <w:tcW w:type="dxa" w:w="251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DESCRIBE &lt;table&gt; for all 9 tables</w:t>
            </w:r>
          </w:p>
        </w:tc>
      </w:tr>
      <w:tr>
        <w:tc>
          <w:tcPr>
            <w:tcW w:type="dxa" w:w="75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FR-02</w:t>
            </w:r>
          </w:p>
        </w:tc>
        <w:tc>
          <w:tcPr>
            <w:tcW w:type="dxa" w:w="48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Foreign key relationships shall enforce referential integrity across all 18 defined FOREIGN KEY constraints</w:t>
            </w:r>
          </w:p>
        </w:tc>
        <w:tc>
          <w:tcPr>
            <w:tcW w:type="dxa" w:w="1300"/>
            <w:shd w:fill="FCE8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7"/>
                <w:szCs w:val="17"/>
              </w:rPr>
              <w:t xml:space="preserve">Must Have</w:t>
            </w:r>
          </w:p>
        </w:tc>
        <w:tc>
          <w:tcPr>
            <w:tcW w:type="dxa" w:w="251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SHOW CREATE TABLE on all tables</w:t>
            </w:r>
          </w:p>
        </w:tc>
      </w:tr>
      <w:tr>
        <w:tc>
          <w:tcPr>
            <w:tcW w:type="dxa" w:w="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FR-03</w:t>
            </w:r>
          </w:p>
        </w:tc>
        <w:tc>
          <w:tcPr>
            <w:tcW w:type="dxa" w:w="4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Date columns shall be stored as MySQL DATE type; no date stored as text</w:t>
            </w:r>
          </w:p>
        </w:tc>
        <w:tc>
          <w:tcPr>
            <w:tcW w:type="dxa" w:w="1300"/>
            <w:shd w:fill="FCE8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7"/>
                <w:szCs w:val="17"/>
              </w:rPr>
              <w:t xml:space="preserve">Must Have</w:t>
            </w:r>
          </w:p>
        </w:tc>
        <w:tc>
          <w:tcPr>
            <w:tcW w:type="dxa" w:w="251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information_schema.COLUMNS check</w:t>
            </w:r>
          </w:p>
        </w:tc>
      </w:tr>
      <w:tr>
        <w:tc>
          <w:tcPr>
            <w:tcW w:type="dxa" w:w="75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FR-04</w:t>
            </w:r>
          </w:p>
        </w:tc>
        <w:tc>
          <w:tcPr>
            <w:tcW w:type="dxa" w:w="48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Bulk load mechanism (LOAD DATA LOCAL INFILE) shall ingest the full 2.9M+ row dataset in under 10 minutes</w:t>
            </w:r>
          </w:p>
        </w:tc>
        <w:tc>
          <w:tcPr>
            <w:tcW w:type="dxa" w:w="1300"/>
            <w:shd w:fill="FFF4D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7"/>
                <w:szCs w:val="17"/>
              </w:rPr>
              <w:t xml:space="preserve">Should Have</w:t>
            </w:r>
          </w:p>
        </w:tc>
        <w:tc>
          <w:tcPr>
            <w:tcW w:type="dxa" w:w="251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Timed execution log</w:t>
            </w:r>
          </w:p>
        </w:tc>
      </w:tr>
      <w:tr>
        <w:tc>
          <w:tcPr>
            <w:tcW w:type="dxa" w:w="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FR-05</w:t>
            </w:r>
          </w:p>
        </w:tc>
        <w:tc>
          <w:tcPr>
            <w:tcW w:type="dxa" w:w="4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Schema shall comply with 3NF — no transitive functional dependencies, no repeating groups</w:t>
            </w:r>
          </w:p>
        </w:tc>
        <w:tc>
          <w:tcPr>
            <w:tcW w:type="dxa" w:w="1300"/>
            <w:shd w:fill="FCE8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7"/>
                <w:szCs w:val="17"/>
              </w:rPr>
              <w:t xml:space="preserve">Must Have</w:t>
            </w:r>
          </w:p>
        </w:tc>
        <w:tc>
          <w:tcPr>
            <w:tcW w:type="dxa" w:w="251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Schema review against 3NF rules</w:t>
            </w:r>
          </w:p>
        </w:tc>
      </w:tr>
    </w:tbl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B76E79"/>
          <w:sz w:val="23"/>
          <w:szCs w:val="23"/>
        </w:rPr>
        <w:t xml:space="preserve">4.2  FR-06 to FR-11 — EDA &amp; Python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4800"/>
        <w:gridCol w:w="1300"/>
        <w:gridCol w:w="2510"/>
      </w:tblGrid>
      <w:tr>
        <w:trPr>
          <w:tblHeader/>
        </w:trPr>
        <w:tc>
          <w:tcPr>
            <w:tcW w:type="dxa" w:w="75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0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30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51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Verification</w:t>
            </w:r>
          </w:p>
        </w:tc>
      </w:tr>
      <w:tr>
        <w:tc>
          <w:tcPr>
            <w:tcW w:type="dxa" w:w="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FR-06</w:t>
            </w:r>
          </w:p>
        </w:tc>
        <w:tc>
          <w:tcPr>
            <w:tcW w:type="dxa" w:w="4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The system shall execute a 9-step automated preprocessing pipeline on all 9 raw tables (null handling, type casting, deduplication, range validation, derived features)</w:t>
            </w:r>
          </w:p>
        </w:tc>
        <w:tc>
          <w:tcPr>
            <w:tcW w:type="dxa" w:w="1300"/>
            <w:shd w:fill="FCE8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7"/>
                <w:szCs w:val="17"/>
              </w:rPr>
              <w:t xml:space="preserve">Must Have</w:t>
            </w:r>
          </w:p>
        </w:tc>
        <w:tc>
          <w:tcPr>
            <w:tcW w:type="dxa" w:w="251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Pipeline log output per table</w:t>
            </w:r>
          </w:p>
        </w:tc>
      </w:tr>
      <w:tr>
        <w:tc>
          <w:tcPr>
            <w:tcW w:type="dxa" w:w="75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FR-07</w:t>
            </w:r>
          </w:p>
        </w:tc>
        <w:tc>
          <w:tcPr>
            <w:tcW w:type="dxa" w:w="48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Domain-aware imputation shall set rejection_reason = 'N/A' for all loan applications where status != 'Rejected'</w:t>
            </w:r>
          </w:p>
        </w:tc>
        <w:tc>
          <w:tcPr>
            <w:tcW w:type="dxa" w:w="1300"/>
            <w:shd w:fill="FCE8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7"/>
                <w:szCs w:val="17"/>
              </w:rPr>
              <w:t xml:space="preserve">Must Have</w:t>
            </w:r>
          </w:p>
        </w:tc>
        <w:tc>
          <w:tcPr>
            <w:tcW w:type="dxa" w:w="251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Count query must return 0 violations</w:t>
            </w:r>
          </w:p>
        </w:tc>
      </w:tr>
      <w:tr>
        <w:tc>
          <w:tcPr>
            <w:tcW w:type="dxa" w:w="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FR-08</w:t>
            </w:r>
          </w:p>
        </w:tc>
        <w:tc>
          <w:tcPr>
            <w:tcW w:type="dxa" w:w="4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The EDA layer shall generate a minimum of 30 interactive Plotly visualizations covering 6 thematic sections (Customer, Loan, Payment, Credit, Transaction, Branch)</w:t>
            </w:r>
          </w:p>
        </w:tc>
        <w:tc>
          <w:tcPr>
            <w:tcW w:type="dxa" w:w="1300"/>
            <w:shd w:fill="FFF4D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7"/>
                <w:szCs w:val="17"/>
              </w:rPr>
              <w:t xml:space="preserve">Should Have</w:t>
            </w:r>
          </w:p>
        </w:tc>
        <w:tc>
          <w:tcPr>
            <w:tcW w:type="dxa" w:w="251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HTML output file visual count</w:t>
            </w:r>
          </w:p>
        </w:tc>
      </w:tr>
      <w:tr>
        <w:tc>
          <w:tcPr>
            <w:tcW w:type="dxa" w:w="75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FR-09</w:t>
            </w:r>
          </w:p>
        </w:tc>
        <w:tc>
          <w:tcPr>
            <w:tcW w:type="dxa" w:w="48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Four statistical hypothesis tests shall be conducted with documented null hypothesis, test statistic, p-value, and conclusion: (1) income vs loan amount, (2) credit score vs default rate, (3) branch type vs processing time, (4) digital usage vs repayment rate</w:t>
            </w:r>
          </w:p>
        </w:tc>
        <w:tc>
          <w:tcPr>
            <w:tcW w:type="dxa" w:w="1300"/>
            <w:shd w:fill="FFF4D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7"/>
                <w:szCs w:val="17"/>
              </w:rPr>
              <w:t xml:space="preserve">Should Have</w:t>
            </w:r>
          </w:p>
        </w:tc>
        <w:tc>
          <w:tcPr>
            <w:tcW w:type="dxa" w:w="251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Printed test results in output</w:t>
            </w:r>
          </w:p>
        </w:tc>
      </w:tr>
      <w:tr>
        <w:tc>
          <w:tcPr>
            <w:tcW w:type="dxa" w:w="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FR-10</w:t>
            </w:r>
          </w:p>
        </w:tc>
        <w:tc>
          <w:tcPr>
            <w:tcW w:type="dxa" w:w="4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Feature engineering shall produce a minimum of 20 derived attributes including: age_group, income_band, credit_band, loan_to_income_ratio, upi_share_pct, tenure_months</w:t>
            </w:r>
          </w:p>
        </w:tc>
        <w:tc>
          <w:tcPr>
            <w:tcW w:type="dxa" w:w="1300"/>
            <w:shd w:fill="FCE8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7"/>
                <w:szCs w:val="17"/>
              </w:rPr>
              <w:t xml:space="preserve">Must Have</w:t>
            </w:r>
          </w:p>
        </w:tc>
        <w:tc>
          <w:tcPr>
            <w:tcW w:type="dxa" w:w="251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Column count in cleaned CSVs</w:t>
            </w:r>
          </w:p>
        </w:tc>
      </w:tr>
      <w:tr>
        <w:tc>
          <w:tcPr>
            <w:tcW w:type="dxa" w:w="75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FR-11</w:t>
            </w:r>
          </w:p>
        </w:tc>
        <w:tc>
          <w:tcPr>
            <w:tcW w:type="dxa" w:w="48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All cleaned CSV outputs shall be exported to eda/cleaned_data/ directory for downstream consumption by Power BI and Python reports</w:t>
            </w:r>
          </w:p>
        </w:tc>
        <w:tc>
          <w:tcPr>
            <w:tcW w:type="dxa" w:w="1300"/>
            <w:shd w:fill="FCE8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7"/>
                <w:szCs w:val="17"/>
              </w:rPr>
              <w:t xml:space="preserve">Must Have</w:t>
            </w:r>
          </w:p>
        </w:tc>
        <w:tc>
          <w:tcPr>
            <w:tcW w:type="dxa" w:w="251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File existence check in eda/cleaned_data/</w:t>
            </w:r>
          </w:p>
        </w:tc>
      </w:tr>
    </w:tbl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B76E79"/>
          <w:sz w:val="23"/>
          <w:szCs w:val="23"/>
        </w:rPr>
        <w:t xml:space="preserve">4.3  FR-12 to FR-20 — Power BI Dashboard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4800"/>
        <w:gridCol w:w="1300"/>
        <w:gridCol w:w="2510"/>
      </w:tblGrid>
      <w:tr>
        <w:trPr>
          <w:tblHeader/>
        </w:trPr>
        <w:tc>
          <w:tcPr>
            <w:tcW w:type="dxa" w:w="75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0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30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51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Verification</w:t>
            </w:r>
          </w:p>
        </w:tc>
      </w:tr>
      <w:tr>
        <w:tc>
          <w:tcPr>
            <w:tcW w:type="dxa" w:w="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FR-12</w:t>
            </w:r>
          </w:p>
        </w:tc>
        <w:tc>
          <w:tcPr>
            <w:tcW w:type="dxa" w:w="4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The dashboard shall contain exactly 6 named pages: (1) Executive Summary, (2) Customer 360, (3) Loan Performance, (4) Risk Monitoring, (5) Transactions &amp; Digital, (6) Branch Operations</w:t>
            </w:r>
          </w:p>
        </w:tc>
        <w:tc>
          <w:tcPr>
            <w:tcW w:type="dxa" w:w="1300"/>
            <w:shd w:fill="FCE8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7"/>
                <w:szCs w:val="17"/>
              </w:rPr>
              <w:t xml:space="preserve">Must Have</w:t>
            </w:r>
          </w:p>
        </w:tc>
        <w:tc>
          <w:tcPr>
            <w:tcW w:type="dxa" w:w="251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Page count in .pbix</w:t>
            </w:r>
          </w:p>
        </w:tc>
      </w:tr>
      <w:tr>
        <w:tc>
          <w:tcPr>
            <w:tcW w:type="dxa" w:w="75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FR-13</w:t>
            </w:r>
          </w:p>
        </w:tc>
        <w:tc>
          <w:tcPr>
            <w:tcW w:type="dxa" w:w="48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All pages shall apply the Rose Gold Light Theme — canvas #FFF5F0, containers #FFFFFF, header/sidebar #B76E79</w:t>
            </w:r>
          </w:p>
        </w:tc>
        <w:tc>
          <w:tcPr>
            <w:tcW w:type="dxa" w:w="1300"/>
            <w:shd w:fill="FCE8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7"/>
                <w:szCs w:val="17"/>
              </w:rPr>
              <w:t xml:space="preserve">Must Have</w:t>
            </w:r>
          </w:p>
        </w:tc>
        <w:tc>
          <w:tcPr>
            <w:tcW w:type="dxa" w:w="251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Visual inspection + theme JSON</w:t>
            </w:r>
          </w:p>
        </w:tc>
      </w:tr>
      <w:tr>
        <w:tc>
          <w:tcPr>
            <w:tcW w:type="dxa" w:w="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FR-14</w:t>
            </w:r>
          </w:p>
        </w:tc>
        <w:tc>
          <w:tcPr>
            <w:tcW w:type="dxa" w:w="4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A universal dim_Date[YearMonth] slicer shall be present on every page and shall filter all visuals on that page</w:t>
            </w:r>
          </w:p>
        </w:tc>
        <w:tc>
          <w:tcPr>
            <w:tcW w:type="dxa" w:w="1300"/>
            <w:shd w:fill="FCE8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7"/>
                <w:szCs w:val="17"/>
              </w:rPr>
              <w:t xml:space="preserve">Must Have</w:t>
            </w:r>
          </w:p>
        </w:tc>
        <w:tc>
          <w:tcPr>
            <w:tcW w:type="dxa" w:w="251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Slicer interaction test on all 6 pages</w:t>
            </w:r>
          </w:p>
        </w:tc>
      </w:tr>
      <w:tr>
        <w:tc>
          <w:tcPr>
            <w:tcW w:type="dxa" w:w="75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FR-15</w:t>
            </w:r>
          </w:p>
        </w:tc>
        <w:tc>
          <w:tcPr>
            <w:tcW w:type="dxa" w:w="48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A left navigation sidebar (70px wide, #B76E79 background) shall be present on all 6 pages with page-navigation buttons</w:t>
            </w:r>
          </w:p>
        </w:tc>
        <w:tc>
          <w:tcPr>
            <w:tcW w:type="dxa" w:w="1300"/>
            <w:shd w:fill="FCE8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7"/>
                <w:szCs w:val="17"/>
              </w:rPr>
              <w:t xml:space="preserve">Must Have</w:t>
            </w:r>
          </w:p>
        </w:tc>
        <w:tc>
          <w:tcPr>
            <w:tcW w:type="dxa" w:w="251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Button action test per page</w:t>
            </w:r>
          </w:p>
        </w:tc>
      </w:tr>
      <w:tr>
        <w:tc>
          <w:tcPr>
            <w:tcW w:type="dxa" w:w="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FR-16</w:t>
            </w:r>
          </w:p>
        </w:tc>
        <w:tc>
          <w:tcPr>
            <w:tcW w:type="dxa" w:w="4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A minimum of 40 DAX measures shall be created in a dedicated _Measures table, covering all KPIs in kpi_definitions.md</w:t>
            </w:r>
          </w:p>
        </w:tc>
        <w:tc>
          <w:tcPr>
            <w:tcW w:type="dxa" w:w="1300"/>
            <w:shd w:fill="FCE8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7"/>
                <w:szCs w:val="17"/>
              </w:rPr>
              <w:t xml:space="preserve">Must Have</w:t>
            </w:r>
          </w:p>
        </w:tc>
        <w:tc>
          <w:tcPr>
            <w:tcW w:type="dxa" w:w="251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Measure count in Fields pane</w:t>
            </w:r>
          </w:p>
        </w:tc>
      </w:tr>
      <w:tr>
        <w:tc>
          <w:tcPr>
            <w:tcW w:type="dxa" w:w="75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FR-17</w:t>
            </w:r>
          </w:p>
        </w:tc>
        <w:tc>
          <w:tcPr>
            <w:tcW w:type="dxa" w:w="48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All KPI card visuals shall display conditional formatting using the threshold bands defined in kpi_definitions.md (Green / Amber / Red)</w:t>
            </w:r>
          </w:p>
        </w:tc>
        <w:tc>
          <w:tcPr>
            <w:tcW w:type="dxa" w:w="1300"/>
            <w:shd w:fill="FCE8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7"/>
                <w:szCs w:val="17"/>
              </w:rPr>
              <w:t xml:space="preserve">Must Have</w:t>
            </w:r>
          </w:p>
        </w:tc>
        <w:tc>
          <w:tcPr>
            <w:tcW w:type="dxa" w:w="251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KPI card color test at boundary values</w:t>
            </w:r>
          </w:p>
        </w:tc>
      </w:tr>
      <w:tr>
        <w:tc>
          <w:tcPr>
            <w:tcW w:type="dxa" w:w="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FR-18</w:t>
            </w:r>
          </w:p>
        </w:tc>
        <w:tc>
          <w:tcPr>
            <w:tcW w:type="dxa" w:w="4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Page 6 (Branch Operations) shall include a geographic map visual with state/zone-level loan disbursement bubbles sized by portfolio volume</w:t>
            </w:r>
          </w:p>
        </w:tc>
        <w:tc>
          <w:tcPr>
            <w:tcW w:type="dxa" w:w="1300"/>
            <w:shd w:fill="FFF4D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7"/>
                <w:szCs w:val="17"/>
              </w:rPr>
              <w:t xml:space="preserve">Should Have</w:t>
            </w:r>
          </w:p>
        </w:tc>
        <w:tc>
          <w:tcPr>
            <w:tcW w:type="dxa" w:w="251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Visual inspection of map page</w:t>
            </w:r>
          </w:p>
        </w:tc>
      </w:tr>
      <w:tr>
        <w:tc>
          <w:tcPr>
            <w:tcW w:type="dxa" w:w="75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FR-19</w:t>
            </w:r>
          </w:p>
        </w:tc>
        <w:tc>
          <w:tcPr>
            <w:tcW w:type="dxa" w:w="48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The Power BI report shall fully load (all visuals rendered) within 8 seconds on a standard workstation (Intel i5, 8 GB RAM)</w:t>
            </w:r>
          </w:p>
        </w:tc>
        <w:tc>
          <w:tcPr>
            <w:tcW w:type="dxa" w:w="1300"/>
            <w:shd w:fill="FFF4D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7"/>
                <w:szCs w:val="17"/>
              </w:rPr>
              <w:t xml:space="preserve">Should Have</w:t>
            </w:r>
          </w:p>
        </w:tc>
        <w:tc>
          <w:tcPr>
            <w:tcW w:type="dxa" w:w="251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Stopwatch test on cold open</w:t>
            </w:r>
          </w:p>
        </w:tc>
      </w:tr>
      <w:tr>
        <w:tc>
          <w:tcPr>
            <w:tcW w:type="dxa" w:w="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FR-20</w:t>
            </w:r>
          </w:p>
        </w:tc>
        <w:tc>
          <w:tcPr>
            <w:tcW w:type="dxa" w:w="4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Clicking any segment on a categorical visual shall cross-filter all other visuals on the same page</w:t>
            </w:r>
          </w:p>
        </w:tc>
        <w:tc>
          <w:tcPr>
            <w:tcW w:type="dxa" w:w="1300"/>
            <w:shd w:fill="FCE8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7"/>
                <w:szCs w:val="17"/>
              </w:rPr>
              <w:t xml:space="preserve">Must Have</w:t>
            </w:r>
          </w:p>
        </w:tc>
        <w:tc>
          <w:tcPr>
            <w:tcW w:type="dxa" w:w="251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Click-test on 3 visuals per page</w:t>
            </w:r>
          </w:p>
        </w:tc>
      </w:tr>
    </w:tbl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B76E79"/>
          <w:sz w:val="23"/>
          <w:szCs w:val="23"/>
        </w:rPr>
        <w:t xml:space="preserve">4.4  FR-21 to FR-26 — Business Analysis (BA)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4800"/>
        <w:gridCol w:w="1300"/>
        <w:gridCol w:w="2510"/>
      </w:tblGrid>
      <w:tr>
        <w:trPr>
          <w:tblHeader/>
        </w:trPr>
        <w:tc>
          <w:tcPr>
            <w:tcW w:type="dxa" w:w="75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0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30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51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Verification</w:t>
            </w:r>
          </w:p>
        </w:tc>
      </w:tr>
      <w:tr>
        <w:tc>
          <w:tcPr>
            <w:tcW w:type="dxa" w:w="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FR-21</w:t>
            </w:r>
          </w:p>
        </w:tc>
        <w:tc>
          <w:tcPr>
            <w:tcW w:type="dxa" w:w="4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Five SQL analysis scripts shall answer defined business questions using advanced SQL (CTEs, window functions, subqueries): Customer Segmentation, Loan Funnel, Risk Profiling, Branch Performance, Digital Transformation</w:t>
            </w:r>
          </w:p>
        </w:tc>
        <w:tc>
          <w:tcPr>
            <w:tcW w:type="dxa" w:w="1300"/>
            <w:shd w:fill="FFF4D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7"/>
                <w:szCs w:val="17"/>
              </w:rPr>
              <w:t xml:space="preserve">Should Have</w:t>
            </w:r>
          </w:p>
        </w:tc>
        <w:tc>
          <w:tcPr>
            <w:tcW w:type="dxa" w:w="251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Script execution without errors</w:t>
            </w:r>
          </w:p>
        </w:tc>
      </w:tr>
      <w:tr>
        <w:tc>
          <w:tcPr>
            <w:tcW w:type="dxa" w:w="75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FR-22</w:t>
            </w:r>
          </w:p>
        </w:tc>
        <w:tc>
          <w:tcPr>
            <w:tcW w:type="dxa" w:w="48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The Python KPI tracker shall compute all 12 KPIs from cleaned data and compare each against its defined threshold, outputting a Green / Yellow / Red status</w:t>
            </w:r>
          </w:p>
        </w:tc>
        <w:tc>
          <w:tcPr>
            <w:tcW w:type="dxa" w:w="1300"/>
            <w:shd w:fill="FFF4D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7"/>
                <w:szCs w:val="17"/>
              </w:rPr>
              <w:t xml:space="preserve">Should Have</w:t>
            </w:r>
          </w:p>
        </w:tc>
        <w:tc>
          <w:tcPr>
            <w:tcW w:type="dxa" w:w="251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KPI tracker output validation</w:t>
            </w:r>
          </w:p>
        </w:tc>
      </w:tr>
      <w:tr>
        <w:tc>
          <w:tcPr>
            <w:tcW w:type="dxa" w:w="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FR-23</w:t>
            </w:r>
          </w:p>
        </w:tc>
        <w:tc>
          <w:tcPr>
            <w:tcW w:type="dxa" w:w="4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ba_insight_report.py shall generate a self-contained HTML file (ba_report.html) containing 6 embedded Plotly charts and business insight text</w:t>
            </w:r>
          </w:p>
        </w:tc>
        <w:tc>
          <w:tcPr>
            <w:tcW w:type="dxa" w:w="1300"/>
            <w:shd w:fill="FFF4D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7"/>
                <w:szCs w:val="17"/>
              </w:rPr>
              <w:t xml:space="preserve">Should Have</w:t>
            </w:r>
          </w:p>
        </w:tc>
        <w:tc>
          <w:tcPr>
            <w:tcW w:type="dxa" w:w="251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HTML file opens in browser without errors</w:t>
            </w:r>
          </w:p>
        </w:tc>
      </w:tr>
      <w:tr>
        <w:tc>
          <w:tcPr>
            <w:tcW w:type="dxa" w:w="75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FR-24</w:t>
            </w:r>
          </w:p>
        </w:tc>
        <w:tc>
          <w:tcPr>
            <w:tcW w:type="dxa" w:w="48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The kpi_definitions.md governance document shall align DAX measure names, SQL formulas, thresholds, and owners for all 12 defined KPIs</w:t>
            </w:r>
          </w:p>
        </w:tc>
        <w:tc>
          <w:tcPr>
            <w:tcW w:type="dxa" w:w="1300"/>
            <w:shd w:fill="FCE8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7"/>
                <w:szCs w:val="17"/>
              </w:rPr>
              <w:t xml:space="preserve">Must Have</w:t>
            </w:r>
          </w:p>
        </w:tc>
        <w:tc>
          <w:tcPr>
            <w:tcW w:type="dxa" w:w="251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Cross-reference audit between KPI doc and DAX/SQL</w:t>
            </w:r>
          </w:p>
        </w:tc>
      </w:tr>
      <w:tr>
        <w:tc>
          <w:tcPr>
            <w:tcW w:type="dxa" w:w="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FR-25</w:t>
            </w:r>
          </w:p>
        </w:tc>
        <w:tc>
          <w:tcPr>
            <w:tcW w:type="dxa" w:w="4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All SQL scripts shall include inline comments explaining the business context of each major CTE and query block</w:t>
            </w:r>
          </w:p>
        </w:tc>
        <w:tc>
          <w:tcPr>
            <w:tcW w:type="dxa" w:w="1300"/>
            <w:shd w:fill="FFF4D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7"/>
                <w:szCs w:val="17"/>
              </w:rPr>
              <w:t xml:space="preserve">Should Have</w:t>
            </w:r>
          </w:p>
        </w:tc>
        <w:tc>
          <w:tcPr>
            <w:tcW w:type="dxa" w:w="251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Code review</w:t>
            </w:r>
          </w:p>
        </w:tc>
      </w:tr>
      <w:tr>
        <w:tc>
          <w:tcPr>
            <w:tcW w:type="dxa" w:w="75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FR-26</w:t>
            </w:r>
          </w:p>
        </w:tc>
        <w:tc>
          <w:tcPr>
            <w:tcW w:type="dxa" w:w="48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The BA Insight Report shall run on Windows with Python 3.10+ and produce no errors or encoding exceptions when executed</w:t>
            </w:r>
          </w:p>
        </w:tc>
        <w:tc>
          <w:tcPr>
            <w:tcW w:type="dxa" w:w="1300"/>
            <w:shd w:fill="FCE8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7"/>
                <w:szCs w:val="17"/>
              </w:rPr>
              <w:t xml:space="preserve">Must Have</w:t>
            </w:r>
          </w:p>
        </w:tc>
        <w:tc>
          <w:tcPr>
            <w:tcW w:type="dxa" w:w="251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Script exit code = 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76E79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5.  Non-Functional Requirements</w:t>
      </w:r>
    </w:p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B76E79"/>
          <w:sz w:val="23"/>
          <w:szCs w:val="23"/>
        </w:rPr>
        <w:t xml:space="preserve">5.1  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900"/>
        <w:gridCol w:w="2360"/>
      </w:tblGrid>
      <w:tr>
        <w:trPr>
          <w:tblHeader/>
        </w:trPr>
        <w:tc>
          <w:tcPr>
            <w:tcW w:type="dxa" w:w="110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90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36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NFR-P1</w:t>
            </w:r>
          </w:p>
        </w:tc>
        <w:tc>
          <w:tcPr>
            <w:tcW w:type="dxa" w:w="5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Power BI report shall fully load within 8 seconds on cold open</w:t>
            </w:r>
          </w:p>
        </w:tc>
        <w:tc>
          <w:tcPr>
            <w:tcW w:type="dxa" w:w="23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Stopwatch: &lt;= 8s</w:t>
            </w:r>
          </w:p>
        </w:tc>
      </w:tr>
      <w:tr>
        <w:tc>
          <w:tcPr>
            <w:tcW w:type="dxa" w:w="11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NFR-P2</w:t>
            </w:r>
          </w:p>
        </w:tc>
        <w:tc>
          <w:tcPr>
            <w:tcW w:type="dxa" w:w="59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Power BI dataset refresh (all 9 tables) shall complete within 30 seconds</w:t>
            </w:r>
          </w:p>
        </w:tc>
        <w:tc>
          <w:tcPr>
            <w:tcW w:type="dxa" w:w="23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Refresh log: &lt;= 30s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NFR-P3</w:t>
            </w:r>
          </w:p>
        </w:tc>
        <w:tc>
          <w:tcPr>
            <w:tcW w:type="dxa" w:w="5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MySQL bulk data load for 2.9M rows shall complete within 10 minutes</w:t>
            </w:r>
          </w:p>
        </w:tc>
        <w:tc>
          <w:tcPr>
            <w:tcW w:type="dxa" w:w="23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Execution timer: &lt;= 10 min</w:t>
            </w:r>
          </w:p>
        </w:tc>
      </w:tr>
      <w:tr>
        <w:tc>
          <w:tcPr>
            <w:tcW w:type="dxa" w:w="11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NFR-P4</w:t>
            </w:r>
          </w:p>
        </w:tc>
        <w:tc>
          <w:tcPr>
            <w:tcW w:type="dxa" w:w="59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Python EDA preprocessing pipeline shall process all 9 tables within 5 minutes</w:t>
            </w:r>
          </w:p>
        </w:tc>
        <w:tc>
          <w:tcPr>
            <w:tcW w:type="dxa" w:w="23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Script runtime: &lt;= 5 min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NFR-P5</w:t>
            </w:r>
          </w:p>
        </w:tc>
        <w:tc>
          <w:tcPr>
            <w:tcW w:type="dxa" w:w="5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ba_insight_report.py shall generate the HTML report within 3 minutes</w:t>
            </w:r>
          </w:p>
        </w:tc>
        <w:tc>
          <w:tcPr>
            <w:tcW w:type="dxa" w:w="23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Script runtime: &lt;= 3 min</w:t>
            </w:r>
          </w:p>
        </w:tc>
      </w:tr>
    </w:tbl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B76E79"/>
          <w:sz w:val="23"/>
          <w:szCs w:val="23"/>
        </w:rPr>
        <w:t xml:space="preserve">5.2  Usability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rPr>
          <w:tblHeader/>
        </w:trPr>
        <w:tc>
          <w:tcPr>
            <w:tcW w:type="dxa" w:w="110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26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NFR-U1</w:t>
            </w:r>
          </w:p>
        </w:tc>
        <w:tc>
          <w:tcPr>
            <w:tcW w:type="dxa" w:w="82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The Power BI dashboard shall be operable by a non-technical stakeholder after no more than 30 minutes of orientation</w:t>
            </w:r>
          </w:p>
        </w:tc>
      </w:tr>
      <w:tr>
        <w:tc>
          <w:tcPr>
            <w:tcW w:type="dxa" w:w="11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NFR-U2</w:t>
            </w:r>
          </w:p>
        </w:tc>
        <w:tc>
          <w:tcPr>
            <w:tcW w:type="dxa" w:w="82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All KPI cards shall include a subtitle or tooltip explaining what the metric measures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NFR-U3</w:t>
            </w:r>
          </w:p>
        </w:tc>
        <w:tc>
          <w:tcPr>
            <w:tcW w:type="dxa" w:w="82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Navigation buttons shall be labeled with page names AND icons (not icons alone)</w:t>
            </w:r>
          </w:p>
        </w:tc>
      </w:tr>
      <w:tr>
        <w:tc>
          <w:tcPr>
            <w:tcW w:type="dxa" w:w="11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NFR-U4</w:t>
            </w:r>
          </w:p>
        </w:tc>
        <w:tc>
          <w:tcPr>
            <w:tcW w:type="dxa" w:w="82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The dashboard shall function correctly on both Power BI Desktop (authoring) and Power BI Service (distribution)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NFR-U5</w:t>
            </w:r>
          </w:p>
        </w:tc>
        <w:tc>
          <w:tcPr>
            <w:tcW w:type="dxa" w:w="82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Color choices shall maintain WCAG AA contrast ratio (&gt;= 4.5:1) for all text-on-background combinations</w:t>
            </w:r>
          </w:p>
        </w:tc>
      </w:tr>
    </w:tbl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B76E79"/>
          <w:sz w:val="23"/>
          <w:szCs w:val="23"/>
        </w:rPr>
        <w:t xml:space="preserve">5.3  Reliability &amp; Data Quality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700"/>
        <w:gridCol w:w="2560"/>
      </w:tblGrid>
      <w:tr>
        <w:trPr>
          <w:tblHeader/>
        </w:trPr>
        <w:tc>
          <w:tcPr>
            <w:tcW w:type="dxa" w:w="110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70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56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NFR-R1</w:t>
            </w:r>
          </w:p>
        </w:tc>
        <w:tc>
          <w:tcPr>
            <w:tcW w:type="dxa" w:w="5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Cleaned datasets shall have &lt; 0.1% null rate on all primary key columns</w:t>
            </w:r>
          </w:p>
        </w:tc>
        <w:tc>
          <w:tcPr>
            <w:tcW w:type="dxa" w:w="25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Validated via IS NULL count query</w:t>
            </w:r>
          </w:p>
        </w:tc>
      </w:tr>
      <w:tr>
        <w:tc>
          <w:tcPr>
            <w:tcW w:type="dxa" w:w="11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NFR-R2</w:t>
            </w:r>
          </w:p>
        </w:tc>
        <w:tc>
          <w:tcPr>
            <w:tcW w:type="dxa" w:w="57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Credit score values in credit_history shall be within the range 300–850 only</w:t>
            </w:r>
          </w:p>
        </w:tc>
        <w:tc>
          <w:tcPr>
            <w:tcW w:type="dxa" w:w="25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Range check query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NFR-R3</w:t>
            </w:r>
          </w:p>
        </w:tc>
        <w:tc>
          <w:tcPr>
            <w:tcW w:type="dxa" w:w="5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All loan amounts shall be &gt; 0</w:t>
            </w:r>
          </w:p>
        </w:tc>
        <w:tc>
          <w:tcPr>
            <w:tcW w:type="dxa" w:w="25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Positive value check</w:t>
            </w:r>
          </w:p>
        </w:tc>
      </w:tr>
      <w:tr>
        <w:tc>
          <w:tcPr>
            <w:tcW w:type="dxa" w:w="11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NFR-R4</w:t>
            </w:r>
          </w:p>
        </w:tc>
        <w:tc>
          <w:tcPr>
            <w:tcW w:type="dxa" w:w="57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loan_applications.status shall be restricted to 5 allowed values only</w:t>
            </w:r>
          </w:p>
        </w:tc>
        <w:tc>
          <w:tcPr>
            <w:tcW w:type="dxa" w:w="25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Allowed values check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NFR-R5</w:t>
            </w:r>
          </w:p>
        </w:tc>
        <w:tc>
          <w:tcPr>
            <w:tcW w:type="dxa" w:w="5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branches.branch_type shall be restricted to: Rural, Semi-Urban, Urban only</w:t>
            </w:r>
          </w:p>
        </w:tc>
        <w:tc>
          <w:tcPr>
            <w:tcW w:type="dxa" w:w="25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Allowed values check</w:t>
            </w:r>
          </w:p>
        </w:tc>
      </w:tr>
      <w:tr>
        <w:tc>
          <w:tcPr>
            <w:tcW w:type="dxa" w:w="11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NFR-R6</w:t>
            </w:r>
          </w:p>
        </w:tc>
        <w:tc>
          <w:tcPr>
            <w:tcW w:type="dxa" w:w="57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transactions.amount values shall all be &gt; 0</w:t>
            </w:r>
          </w:p>
        </w:tc>
        <w:tc>
          <w:tcPr>
            <w:tcW w:type="dxa" w:w="25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Positive value check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NFR-R7</w:t>
            </w:r>
          </w:p>
        </w:tc>
        <w:tc>
          <w:tcPr>
            <w:tcW w:type="dxa" w:w="5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All foreign key references shall resolve — no orphan records after cleaning</w:t>
            </w:r>
          </w:p>
        </w:tc>
        <w:tc>
          <w:tcPr>
            <w:tcW w:type="dxa" w:w="25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FK integrity check</w:t>
            </w:r>
          </w:p>
        </w:tc>
      </w:tr>
    </w:tbl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B76E79"/>
          <w:sz w:val="23"/>
          <w:szCs w:val="23"/>
        </w:rPr>
        <w:t xml:space="preserve">5.4  Maintainability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rPr>
          <w:tblHeader/>
        </w:trPr>
        <w:tc>
          <w:tcPr>
            <w:tcW w:type="dxa" w:w="110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26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NFR-M1</w:t>
            </w:r>
          </w:p>
        </w:tc>
        <w:tc>
          <w:tcPr>
            <w:tcW w:type="dxa" w:w="82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All SQL scripts shall include a header block with: script name, author, date, purpose, and table dependencies</w:t>
            </w:r>
          </w:p>
        </w:tc>
      </w:tr>
      <w:tr>
        <w:tc>
          <w:tcPr>
            <w:tcW w:type="dxa" w:w="11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NFR-M2</w:t>
            </w:r>
          </w:p>
        </w:tc>
        <w:tc>
          <w:tcPr>
            <w:tcW w:type="dxa" w:w="82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All Python functions shall include docstrings describing parameters, return values, and business purpose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NFR-M3</w:t>
            </w:r>
          </w:p>
        </w:tc>
        <w:tc>
          <w:tcPr>
            <w:tcW w:type="dxa" w:w="82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kpi_definitions.md must be updated whenever any KPI formula, threshold, or owner changes — before the change is deployed</w:t>
            </w:r>
          </w:p>
        </w:tc>
      </w:tr>
      <w:tr>
        <w:tc>
          <w:tcPr>
            <w:tcW w:type="dxa" w:w="11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NFR-M4</w:t>
            </w:r>
          </w:p>
        </w:tc>
        <w:tc>
          <w:tcPr>
            <w:tcW w:type="dxa" w:w="82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Power BI DAX measures shall be organized into display folders by category (Customer KPIs, Loan KPIs, Risk KPIs, etc.)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NFR-M5</w:t>
            </w:r>
          </w:p>
        </w:tc>
        <w:tc>
          <w:tcPr>
            <w:tcW w:type="dxa" w:w="82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The project shall maintain a requirements.txt with pinned library versions for reproducible Python environments</w:t>
            </w:r>
          </w:p>
        </w:tc>
      </w:tr>
    </w:tbl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B76E79"/>
          <w:sz w:val="23"/>
          <w:szCs w:val="23"/>
        </w:rPr>
        <w:t xml:space="preserve">5.5  Security &amp; Compliance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rPr>
          <w:tblHeader/>
        </w:trPr>
        <w:tc>
          <w:tcPr>
            <w:tcW w:type="dxa" w:w="110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26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NFR-S1</w:t>
            </w:r>
          </w:p>
        </w:tc>
        <w:tc>
          <w:tcPr>
            <w:tcW w:type="dxa" w:w="82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Raw CSV files shall not contain real customer names, Aadhaar numbers, PAN numbers, or any PII beyond internal bank-issued IDs</w:t>
            </w:r>
          </w:p>
        </w:tc>
      </w:tr>
      <w:tr>
        <w:tc>
          <w:tcPr>
            <w:tcW w:type="dxa" w:w="11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NFR-S2</w:t>
            </w:r>
          </w:p>
        </w:tc>
        <w:tc>
          <w:tcPr>
            <w:tcW w:type="dxa" w:w="82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MySQL credentials shall not be hardcoded in any Python script — loaded from environment variables or config file excluded from version control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NFR-S3</w:t>
            </w:r>
          </w:p>
        </w:tc>
        <w:tc>
          <w:tcPr>
            <w:tcW w:type="dxa" w:w="82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The .gitignore file shall exclude: venv/, raw data CSVs, .env files, and credential files</w:t>
            </w:r>
          </w:p>
        </w:tc>
      </w:tr>
      <w:tr>
        <w:tc>
          <w:tcPr>
            <w:tcW w:type="dxa" w:w="11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NFR-S4</w:t>
            </w:r>
          </w:p>
        </w:tc>
        <w:tc>
          <w:tcPr>
            <w:tcW w:type="dxa" w:w="82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KYC compliance rate shall be monitored and reported — RBI mandates 100% KYC compliance</w:t>
            </w:r>
          </w:p>
        </w:tc>
      </w:tr>
    </w:tbl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B76E79"/>
          <w:sz w:val="23"/>
          <w:szCs w:val="23"/>
        </w:rPr>
        <w:t xml:space="preserve">5.6  Compatibility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rPr>
          <w:tblHeader/>
        </w:trPr>
        <w:tc>
          <w:tcPr>
            <w:tcW w:type="dxa" w:w="110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26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NFR-C1</w:t>
            </w:r>
          </w:p>
        </w:tc>
        <w:tc>
          <w:tcPr>
            <w:tcW w:type="dxa" w:w="82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Dashboard .pbix file shall open without errors in Power BI Desktop (March 2025+)</w:t>
            </w:r>
          </w:p>
        </w:tc>
      </w:tr>
      <w:tr>
        <w:tc>
          <w:tcPr>
            <w:tcW w:type="dxa" w:w="11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NFR-C2</w:t>
            </w:r>
          </w:p>
        </w:tc>
        <w:tc>
          <w:tcPr>
            <w:tcW w:type="dxa" w:w="82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Python scripts shall run on Python 3.10+ with Windows 10/11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NFR-C3</w:t>
            </w:r>
          </w:p>
        </w:tc>
        <w:tc>
          <w:tcPr>
            <w:tcW w:type="dxa" w:w="82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Python stdout/stderr shall be configured as UTF-8 to handle Unicode characters on Windows cp1252 terminals</w:t>
            </w:r>
          </w:p>
        </w:tc>
      </w:tr>
      <w:tr>
        <w:tc>
          <w:tcPr>
            <w:tcW w:type="dxa" w:w="11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NFR-C4</w:t>
            </w:r>
          </w:p>
        </w:tc>
        <w:tc>
          <w:tcPr>
            <w:tcW w:type="dxa" w:w="82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MySQL scripts shall be compatible with MySQL 8.0+ syntax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NFR-C5</w:t>
            </w:r>
          </w:p>
        </w:tc>
        <w:tc>
          <w:tcPr>
            <w:tcW w:type="dxa" w:w="82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All generated HTML reports shall render correctly in Chromium-based browsers without plugins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76E79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6.  Data Requirements</w:t>
      </w:r>
    </w:p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B76E79"/>
          <w:sz w:val="23"/>
          <w:szCs w:val="23"/>
        </w:rPr>
        <w:t xml:space="preserve">6.1  Input Data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3960"/>
        <w:gridCol w:w="1700"/>
      </w:tblGrid>
      <w:tr>
        <w:trPr>
          <w:tblHeader/>
        </w:trPr>
        <w:tc>
          <w:tcPr>
            <w:tcW w:type="dxa" w:w="240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 (CSV File)</w:t>
            </w:r>
          </w:p>
        </w:tc>
        <w:tc>
          <w:tcPr>
            <w:tcW w:type="dxa" w:w="130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Rows</w:t>
            </w:r>
          </w:p>
        </w:tc>
        <w:tc>
          <w:tcPr>
            <w:tcW w:type="dxa" w:w="396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  <w:tc>
          <w:tcPr>
            <w:tcW w:type="dxa" w:w="170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 Period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6"/>
                <w:szCs w:val="16"/>
              </w:rPr>
              <w:t xml:space="preserve">customers_cleaned.csv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6"/>
                <w:szCs w:val="16"/>
              </w:rPr>
              <w:t xml:space="preserve">~100,000</w:t>
            </w:r>
          </w:p>
        </w:tc>
        <w:tc>
          <w:tcPr>
            <w:tcW w:type="dxa" w:w="39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6"/>
                <w:szCs w:val="16"/>
              </w:rPr>
              <w:t xml:space="preserve">customer_id, annual_income, kyc_status, state, branch_id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6"/>
                <w:szCs w:val="16"/>
              </w:rPr>
              <w:t xml:space="preserve">FY 2018–2025</w:t>
            </w:r>
          </w:p>
        </w:tc>
      </w:tr>
      <w:tr>
        <w:tc>
          <w:tcPr>
            <w:tcW w:type="dxa" w:w="24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6"/>
                <w:szCs w:val="16"/>
              </w:rPr>
              <w:t xml:space="preserve">credit_history_cleaned.csv</w:t>
            </w:r>
          </w:p>
        </w:tc>
        <w:tc>
          <w:tcPr>
            <w:tcW w:type="dxa" w:w="13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6"/>
                <w:szCs w:val="16"/>
              </w:rPr>
              <w:t xml:space="preserve">~100,000</w:t>
            </w:r>
          </w:p>
        </w:tc>
        <w:tc>
          <w:tcPr>
            <w:tcW w:type="dxa" w:w="39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6"/>
                <w:szCs w:val="16"/>
              </w:rPr>
              <w:t xml:space="preserve">customer_id, credit_score, credit_band</w:t>
            </w:r>
          </w:p>
        </w:tc>
        <w:tc>
          <w:tcPr>
            <w:tcW w:type="dxa" w:w="17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6"/>
                <w:szCs w:val="16"/>
              </w:rPr>
              <w:t xml:space="preserve">FY 2018–2025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6"/>
                <w:szCs w:val="16"/>
              </w:rPr>
              <w:t xml:space="preserve">loan_apps_cleaned.csv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6"/>
                <w:szCs w:val="16"/>
              </w:rPr>
              <w:t xml:space="preserve">~300,000</w:t>
            </w:r>
          </w:p>
        </w:tc>
        <w:tc>
          <w:tcPr>
            <w:tcW w:type="dxa" w:w="39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6"/>
                <w:szCs w:val="16"/>
              </w:rPr>
              <w:t xml:space="preserve">application_id, customer_id, loan_amount_approved, status, rejection_reason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6"/>
                <w:szCs w:val="16"/>
              </w:rPr>
              <w:t xml:space="preserve">FY 2018–2025</w:t>
            </w:r>
          </w:p>
        </w:tc>
      </w:tr>
      <w:tr>
        <w:tc>
          <w:tcPr>
            <w:tcW w:type="dxa" w:w="24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6"/>
                <w:szCs w:val="16"/>
              </w:rPr>
              <w:t xml:space="preserve">loan_payments_cleaned.csv</w:t>
            </w:r>
          </w:p>
        </w:tc>
        <w:tc>
          <w:tcPr>
            <w:tcW w:type="dxa" w:w="13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6"/>
                <w:szCs w:val="16"/>
              </w:rPr>
              <w:t xml:space="preserve">~900,000</w:t>
            </w:r>
          </w:p>
        </w:tc>
        <w:tc>
          <w:tcPr>
            <w:tcW w:type="dxa" w:w="39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6"/>
                <w:szCs w:val="16"/>
              </w:rPr>
              <w:t xml:space="preserve">payment_id, application_id, payment_status, days_late, outstanding_balance</w:t>
            </w:r>
          </w:p>
        </w:tc>
        <w:tc>
          <w:tcPr>
            <w:tcW w:type="dxa" w:w="17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6"/>
                <w:szCs w:val="16"/>
              </w:rPr>
              <w:t xml:space="preserve">FY 2018–2025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6"/>
                <w:szCs w:val="16"/>
              </w:rPr>
              <w:t xml:space="preserve">transactions_cleaned.csv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6"/>
                <w:szCs w:val="16"/>
              </w:rPr>
              <w:t xml:space="preserve">~1,500,000</w:t>
            </w:r>
          </w:p>
        </w:tc>
        <w:tc>
          <w:tcPr>
            <w:tcW w:type="dxa" w:w="39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6"/>
                <w:szCs w:val="16"/>
              </w:rPr>
              <w:t xml:space="preserve">transaction_id, customer_id, transaction_mode, amount, status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6"/>
                <w:szCs w:val="16"/>
              </w:rPr>
              <w:t xml:space="preserve">FY 2018–2025</w:t>
            </w:r>
          </w:p>
        </w:tc>
      </w:tr>
      <w:tr>
        <w:tc>
          <w:tcPr>
            <w:tcW w:type="dxa" w:w="24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6"/>
                <w:szCs w:val="16"/>
              </w:rPr>
              <w:t xml:space="preserve">branches_cleaned.csv</w:t>
            </w:r>
          </w:p>
        </w:tc>
        <w:tc>
          <w:tcPr>
            <w:tcW w:type="dxa" w:w="13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6"/>
                <w:szCs w:val="16"/>
              </w:rPr>
              <w:t xml:space="preserve">250</w:t>
            </w:r>
          </w:p>
        </w:tc>
        <w:tc>
          <w:tcPr>
            <w:tcW w:type="dxa" w:w="39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6"/>
                <w:szCs w:val="16"/>
              </w:rPr>
              <w:t xml:space="preserve">branch_id, branch_name, branch_type, region_id</w:t>
            </w:r>
          </w:p>
        </w:tc>
        <w:tc>
          <w:tcPr>
            <w:tcW w:type="dxa" w:w="17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6"/>
                <w:szCs w:val="16"/>
              </w:rPr>
              <w:t xml:space="preserve">Static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6"/>
                <w:szCs w:val="16"/>
              </w:rPr>
              <w:t xml:space="preserve">employees_cleaned.csv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6"/>
                <w:szCs w:val="16"/>
              </w:rPr>
              <w:t xml:space="preserve">2,000</w:t>
            </w:r>
          </w:p>
        </w:tc>
        <w:tc>
          <w:tcPr>
            <w:tcW w:type="dxa" w:w="39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6"/>
                <w:szCs w:val="16"/>
              </w:rPr>
              <w:t xml:space="preserve">employee_id, branch_id, designation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6"/>
                <w:szCs w:val="16"/>
              </w:rPr>
              <w:t xml:space="preserve">Static</w:t>
            </w:r>
          </w:p>
        </w:tc>
      </w:tr>
      <w:tr>
        <w:tc>
          <w:tcPr>
            <w:tcW w:type="dxa" w:w="24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6"/>
                <w:szCs w:val="16"/>
              </w:rPr>
              <w:t xml:space="preserve">regions_cleaned.csv</w:t>
            </w:r>
          </w:p>
        </w:tc>
        <w:tc>
          <w:tcPr>
            <w:tcW w:type="dxa" w:w="13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6"/>
                <w:szCs w:val="16"/>
              </w:rPr>
              <w:t xml:space="preserve">40</w:t>
            </w:r>
          </w:p>
        </w:tc>
        <w:tc>
          <w:tcPr>
            <w:tcW w:type="dxa" w:w="39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6"/>
                <w:szCs w:val="16"/>
              </w:rPr>
              <w:t xml:space="preserve">region_id, zone</w:t>
            </w:r>
          </w:p>
        </w:tc>
        <w:tc>
          <w:tcPr>
            <w:tcW w:type="dxa" w:w="17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6"/>
                <w:szCs w:val="16"/>
              </w:rPr>
              <w:t xml:space="preserve">Static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6"/>
                <w:szCs w:val="16"/>
              </w:rPr>
              <w:t xml:space="preserve">loan_types_cleaned.csv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6"/>
                <w:szCs w:val="16"/>
              </w:rPr>
              <w:t xml:space="preserve">10</w:t>
            </w:r>
          </w:p>
        </w:tc>
        <w:tc>
          <w:tcPr>
            <w:tcW w:type="dxa" w:w="39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6"/>
                <w:szCs w:val="16"/>
              </w:rPr>
              <w:t xml:space="preserve">loan_type_id, loan_type_name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6"/>
                <w:szCs w:val="16"/>
              </w:rPr>
              <w:t xml:space="preserve">Static</w:t>
            </w:r>
          </w:p>
        </w:tc>
      </w:tr>
    </w:tbl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B76E79"/>
          <w:sz w:val="23"/>
          <w:szCs w:val="23"/>
        </w:rPr>
        <w:t xml:space="preserve">6.2  Data Quality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4860"/>
      </w:tblGrid>
      <w:tr>
        <w:trPr>
          <w:tblHeader/>
        </w:trPr>
        <w:tc>
          <w:tcPr>
            <w:tcW w:type="dxa" w:w="210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40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486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Acceptance Rule</w:t>
            </w:r>
          </w:p>
        </w:tc>
      </w:tr>
      <w:t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customers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48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0 nulls · 0 duplicates</w:t>
            </w:r>
          </w:p>
        </w:tc>
      </w:tr>
      <w:tr>
        <w:tc>
          <w:tcPr>
            <w:tcW w:type="dxa" w:w="21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customers</w:t>
            </w:r>
          </w:p>
        </w:tc>
        <w:tc>
          <w:tcPr>
            <w:tcW w:type="dxa" w:w="24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annual_income</w:t>
            </w:r>
          </w:p>
        </w:tc>
        <w:tc>
          <w:tcPr>
            <w:tcW w:type="dxa" w:w="48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All values &gt; 0 · No negatives</w:t>
            </w:r>
          </w:p>
        </w:tc>
      </w:tr>
      <w:t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customers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kyc_status</w:t>
            </w:r>
          </w:p>
        </w:tc>
        <w:tc>
          <w:tcPr>
            <w:tcW w:type="dxa" w:w="48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Values: Verified, Pending, Rejected only</w:t>
            </w:r>
          </w:p>
        </w:tc>
      </w:tr>
      <w:tr>
        <w:tc>
          <w:tcPr>
            <w:tcW w:type="dxa" w:w="21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loan_applications</w:t>
            </w:r>
          </w:p>
        </w:tc>
        <w:tc>
          <w:tcPr>
            <w:tcW w:type="dxa" w:w="24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loan_amount_requested</w:t>
            </w:r>
          </w:p>
        </w:tc>
        <w:tc>
          <w:tcPr>
            <w:tcW w:type="dxa" w:w="48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All values &gt; 0</w:t>
            </w:r>
          </w:p>
        </w:tc>
      </w:tr>
      <w:t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loan_applications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status</w:t>
            </w:r>
          </w:p>
        </w:tc>
        <w:tc>
          <w:tcPr>
            <w:tcW w:type="dxa" w:w="48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Values: Pending, Under Review, Approved, Disbursed, Rejected only</w:t>
            </w:r>
          </w:p>
        </w:tc>
      </w:tr>
      <w:tr>
        <w:tc>
          <w:tcPr>
            <w:tcW w:type="dxa" w:w="21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loan_applications</w:t>
            </w:r>
          </w:p>
        </w:tc>
        <w:tc>
          <w:tcPr>
            <w:tcW w:type="dxa" w:w="24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rejection_reason</w:t>
            </w:r>
          </w:p>
        </w:tc>
        <w:tc>
          <w:tcPr>
            <w:tcW w:type="dxa" w:w="48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'N/A' for all non-Rejected applications</w:t>
            </w:r>
          </w:p>
        </w:tc>
      </w:tr>
      <w:t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loan_payments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days_late</w:t>
            </w:r>
          </w:p>
        </w:tc>
        <w:tc>
          <w:tcPr>
            <w:tcW w:type="dxa" w:w="48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Null allowed for Pending; numeric for Paid / Missed / Late</w:t>
            </w:r>
          </w:p>
        </w:tc>
      </w:tr>
      <w:tr>
        <w:tc>
          <w:tcPr>
            <w:tcW w:type="dxa" w:w="21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credit_history</w:t>
            </w:r>
          </w:p>
        </w:tc>
        <w:tc>
          <w:tcPr>
            <w:tcW w:type="dxa" w:w="24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credit_score</w:t>
            </w:r>
          </w:p>
        </w:tc>
        <w:tc>
          <w:tcPr>
            <w:tcW w:type="dxa" w:w="48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Range: 300–850 only</w:t>
            </w:r>
          </w:p>
        </w:tc>
      </w:tr>
      <w:t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transactions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amount</w:t>
            </w:r>
          </w:p>
        </w:tc>
        <w:tc>
          <w:tcPr>
            <w:tcW w:type="dxa" w:w="48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All values &gt; 0</w:t>
            </w:r>
          </w:p>
        </w:tc>
      </w:tr>
      <w:tr>
        <w:tc>
          <w:tcPr>
            <w:tcW w:type="dxa" w:w="21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branches</w:t>
            </w:r>
          </w:p>
        </w:tc>
        <w:tc>
          <w:tcPr>
            <w:tcW w:type="dxa" w:w="24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branch_type</w:t>
            </w:r>
          </w:p>
        </w:tc>
        <w:tc>
          <w:tcPr>
            <w:tcW w:type="dxa" w:w="48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Values: Rural, Semi-Urban, Urban only</w:t>
            </w:r>
          </w:p>
        </w:tc>
      </w:tr>
    </w:tbl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B76E79"/>
          <w:sz w:val="23"/>
          <w:szCs w:val="23"/>
        </w:rPr>
        <w:t xml:space="preserve">6.3  Derived / Engineered Features (Minimum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600"/>
        <w:gridCol w:w="4660"/>
      </w:tblGrid>
      <w:tr>
        <w:trPr>
          <w:tblHeader/>
        </w:trPr>
        <w:tc>
          <w:tcPr>
            <w:tcW w:type="dxa" w:w="210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 Column</w:t>
            </w:r>
          </w:p>
        </w:tc>
        <w:tc>
          <w:tcPr>
            <w:tcW w:type="dxa" w:w="260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 Table</w:t>
            </w:r>
          </w:p>
        </w:tc>
        <w:tc>
          <w:tcPr>
            <w:tcW w:type="dxa" w:w="466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Derivation Logic</w:t>
            </w:r>
          </w:p>
        </w:tc>
      </w:tr>
      <w:t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age_group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customers</w:t>
            </w:r>
          </w:p>
        </w:tc>
        <w:tc>
          <w:tcPr>
            <w:tcW w:type="dxa" w:w="46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Bucketed from age (e.g., 18–25, 26–35, 36–50, 50+)</w:t>
            </w:r>
          </w:p>
        </w:tc>
      </w:tr>
      <w:tr>
        <w:tc>
          <w:tcPr>
            <w:tcW w:type="dxa" w:w="21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income_band</w:t>
            </w:r>
          </w:p>
        </w:tc>
        <w:tc>
          <w:tcPr>
            <w:tcW w:type="dxa" w:w="26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customers</w:t>
            </w:r>
          </w:p>
        </w:tc>
        <w:tc>
          <w:tcPr>
            <w:tcW w:type="dxa" w:w="46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Bucketed from annual_income (Low &lt;3L, Mid 3–6L, High 6–12L, Premium 12L+)</w:t>
            </w:r>
          </w:p>
        </w:tc>
      </w:tr>
      <w:t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credit_band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credit_history</w:t>
            </w:r>
          </w:p>
        </w:tc>
        <w:tc>
          <w:tcPr>
            <w:tcW w:type="dxa" w:w="46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Bucketed from credit_score (Poor &lt;580, Fair 580–669, Good 670–739, Excellent 740+)</w:t>
            </w:r>
          </w:p>
        </w:tc>
      </w:tr>
      <w:tr>
        <w:tc>
          <w:tcPr>
            <w:tcW w:type="dxa" w:w="21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loan_to_income_ratio</w:t>
            </w:r>
          </w:p>
        </w:tc>
        <w:tc>
          <w:tcPr>
            <w:tcW w:type="dxa" w:w="26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loan_applications + customers</w:t>
            </w:r>
          </w:p>
        </w:tc>
        <w:tc>
          <w:tcPr>
            <w:tcW w:type="dxa" w:w="46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loan_amount_approved / annual_income</w:t>
            </w:r>
          </w:p>
        </w:tc>
      </w:tr>
      <w:t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upi_share_pct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transactions</w:t>
            </w:r>
          </w:p>
        </w:tc>
        <w:tc>
          <w:tcPr>
            <w:tcW w:type="dxa" w:w="46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UPI transactions / total transactions per customer</w:t>
            </w:r>
          </w:p>
        </w:tc>
      </w:tr>
      <w:tr>
        <w:tc>
          <w:tcPr>
            <w:tcW w:type="dxa" w:w="21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tenure_months</w:t>
            </w:r>
          </w:p>
        </w:tc>
        <w:tc>
          <w:tcPr>
            <w:tcW w:type="dxa" w:w="26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loan_applications</w:t>
            </w:r>
          </w:p>
        </w:tc>
        <w:tc>
          <w:tcPr>
            <w:tcW w:type="dxa" w:w="46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Derived from start_date to end_date</w:t>
            </w:r>
          </w:p>
        </w:tc>
      </w:tr>
      <w:t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is_high_risk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credit_history</w:t>
            </w:r>
          </w:p>
        </w:tc>
        <w:tc>
          <w:tcPr>
            <w:tcW w:type="dxa" w:w="46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Boolean: credit_score &lt; 600</w:t>
            </w:r>
          </w:p>
        </w:tc>
      </w:tr>
      <w:tr>
        <w:tc>
          <w:tcPr>
            <w:tcW w:type="dxa" w:w="21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profitability_index</w:t>
            </w:r>
          </w:p>
        </w:tc>
        <w:tc>
          <w:tcPr>
            <w:tcW w:type="dxa" w:w="26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loan_applications + loan_payments</w:t>
            </w:r>
          </w:p>
        </w:tc>
        <w:tc>
          <w:tcPr>
            <w:tcW w:type="dxa" w:w="46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interest_earned / loan_amount_approved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76E79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7.  External Interface Requirements</w:t>
      </w:r>
    </w:p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B76E79"/>
          <w:sz w:val="23"/>
          <w:szCs w:val="23"/>
        </w:rPr>
        <w:t xml:space="preserve">7.1  Power BI Dashboard — Page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360"/>
        <w:gridCol w:w="4500"/>
      </w:tblGrid>
      <w:tr>
        <w:trPr>
          <w:tblHeader/>
        </w:trPr>
        <w:tc>
          <w:tcPr>
            <w:tcW w:type="dxa" w:w="50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6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Primary Audience</w:t>
            </w:r>
          </w:p>
        </w:tc>
        <w:tc>
          <w:tcPr>
            <w:tcW w:type="dxa" w:w="450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Visuals</w:t>
            </w:r>
          </w:p>
        </w:tc>
      </w:tr>
      <w:t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6"/>
                <w:szCs w:val="16"/>
              </w:rPr>
              <w:t xml:space="preserve">1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6"/>
                <w:szCs w:val="16"/>
              </w:rPr>
              <w:t xml:space="preserve">Executive Summary</w:t>
            </w:r>
          </w:p>
        </w:tc>
        <w:tc>
          <w:tcPr>
            <w:tcW w:type="dxa" w:w="23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6"/>
                <w:szCs w:val="16"/>
              </w:rPr>
              <w:t xml:space="preserve">MD, CFO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6"/>
                <w:szCs w:val="16"/>
              </w:rPr>
              <w:t xml:space="preserve">8 headline KPI cards, trend chart, approval &amp; default gauges, zone map</w:t>
            </w:r>
          </w:p>
        </w:tc>
      </w:tr>
      <w:tr>
        <w:tc>
          <w:tcPr>
            <w:tcW w:type="dxa" w:w="5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6"/>
                <w:szCs w:val="16"/>
              </w:rPr>
              <w:t xml:space="preserve">2</w:t>
            </w:r>
          </w:p>
        </w:tc>
        <w:tc>
          <w:tcPr>
            <w:tcW w:type="dxa" w:w="20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6"/>
                <w:szCs w:val="16"/>
              </w:rPr>
              <w:t xml:space="preserve">Customer 360</w:t>
            </w:r>
          </w:p>
        </w:tc>
        <w:tc>
          <w:tcPr>
            <w:tcW w:type="dxa" w:w="23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6"/>
                <w:szCs w:val="16"/>
              </w:rPr>
              <w:t xml:space="preserve">Retail Banking Head, Compliance</w:t>
            </w:r>
          </w:p>
        </w:tc>
        <w:tc>
          <w:tcPr>
            <w:tcW w:type="dxa" w:w="45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6"/>
                <w:szCs w:val="16"/>
              </w:rPr>
              <w:t xml:space="preserve">Segment bar chart, income distribution, KYC donut, state map, age pyramid</w:t>
            </w:r>
          </w:p>
        </w:tc>
      </w:tr>
      <w:t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6"/>
                <w:szCs w:val="16"/>
              </w:rPr>
              <w:t xml:space="preserve">3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6"/>
                <w:szCs w:val="16"/>
              </w:rPr>
              <w:t xml:space="preserve">Loan Performance</w:t>
            </w:r>
          </w:p>
        </w:tc>
        <w:tc>
          <w:tcPr>
            <w:tcW w:type="dxa" w:w="23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6"/>
                <w:szCs w:val="16"/>
              </w:rPr>
              <w:t xml:space="preserve">Head of Credit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6"/>
                <w:szCs w:val="16"/>
              </w:rPr>
              <w:t xml:space="preserve">Application funnel waterfall, loan type split, approval trend, rejection reason Pareto</w:t>
            </w:r>
          </w:p>
        </w:tc>
      </w:tr>
      <w:tr>
        <w:tc>
          <w:tcPr>
            <w:tcW w:type="dxa" w:w="5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6"/>
                <w:szCs w:val="16"/>
              </w:rPr>
              <w:t xml:space="preserve">4</w:t>
            </w:r>
          </w:p>
        </w:tc>
        <w:tc>
          <w:tcPr>
            <w:tcW w:type="dxa" w:w="20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6"/>
                <w:szCs w:val="16"/>
              </w:rPr>
              <w:t xml:space="preserve">Risk Monitoring</w:t>
            </w:r>
          </w:p>
        </w:tc>
        <w:tc>
          <w:tcPr>
            <w:tcW w:type="dxa" w:w="23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6"/>
                <w:szCs w:val="16"/>
              </w:rPr>
              <w:t xml:space="preserve">Chief Risk Officer</w:t>
            </w:r>
          </w:p>
        </w:tc>
        <w:tc>
          <w:tcPr>
            <w:tcW w:type="dxa" w:w="45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6"/>
                <w:szCs w:val="16"/>
              </w:rPr>
              <w:t xml:space="preserve">Default rate gauge, credit band scatter, NPA trend, high-risk customer table</w:t>
            </w:r>
          </w:p>
        </w:tc>
      </w:tr>
      <w:t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6"/>
                <w:szCs w:val="16"/>
              </w:rPr>
              <w:t xml:space="preserve">5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6"/>
                <w:szCs w:val="16"/>
              </w:rPr>
              <w:t xml:space="preserve">Transactions &amp; Digital</w:t>
            </w:r>
          </w:p>
        </w:tc>
        <w:tc>
          <w:tcPr>
            <w:tcW w:type="dxa" w:w="23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6"/>
                <w:szCs w:val="16"/>
              </w:rPr>
              <w:t xml:space="preserve">Head of Digital</w:t>
            </w:r>
          </w:p>
        </w:tc>
        <w:tc>
          <w:tcPr>
            <w:tcW w:type="dxa" w:w="4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6"/>
                <w:szCs w:val="16"/>
              </w:rPr>
              <w:t xml:space="preserve">UPI adoption area chart, transaction mode donut, volume trend, channel success rate</w:t>
            </w:r>
          </w:p>
        </w:tc>
      </w:tr>
      <w:tr>
        <w:tc>
          <w:tcPr>
            <w:tcW w:type="dxa" w:w="5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6"/>
                <w:szCs w:val="16"/>
              </w:rPr>
              <w:t xml:space="preserve">6</w:t>
            </w:r>
          </w:p>
        </w:tc>
        <w:tc>
          <w:tcPr>
            <w:tcW w:type="dxa" w:w="20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6"/>
                <w:szCs w:val="16"/>
              </w:rPr>
              <w:t xml:space="preserve">Branch Operations</w:t>
            </w:r>
          </w:p>
        </w:tc>
        <w:tc>
          <w:tcPr>
            <w:tcW w:type="dxa" w:w="23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6"/>
                <w:szCs w:val="16"/>
              </w:rPr>
              <w:t xml:space="preserve">Zonal/Branch Managers</w:t>
            </w:r>
          </w:p>
        </w:tc>
        <w:tc>
          <w:tcPr>
            <w:tcW w:type="dxa" w:w="45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6"/>
                <w:szCs w:val="16"/>
              </w:rPr>
              <w:t xml:space="preserve">Branch scatter (volume vs default), top/bottom branch table, processing days bar, geo map</w:t>
            </w:r>
          </w:p>
        </w:tc>
      </w:tr>
    </w:tbl>
    <w:p>
      <w:pPr>
        <w:spacing w:after="160"/>
      </w:pPr>
    </w:p>
    <w:p>
      <w:pPr>
        <w:spacing w:after="100" w:before="18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Global Layout Rules: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44464A"/>
          <w:sz w:val="21"/>
          <w:szCs w:val="21"/>
        </w:rPr>
        <w:t xml:space="preserve">Canvas: 1280 x 720 px (16:9)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44464A"/>
          <w:sz w:val="21"/>
          <w:szCs w:val="21"/>
        </w:rPr>
        <w:t xml:space="preserve">Background: #FFF5F0 (Rose Cream)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44464A"/>
          <w:sz w:val="21"/>
          <w:szCs w:val="21"/>
        </w:rPr>
        <w:t xml:space="preserve">Grid Unit: 8px spacing between all visual containers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44464A"/>
          <w:sz w:val="21"/>
          <w:szCs w:val="21"/>
        </w:rPr>
        <w:t xml:space="preserve">Container Style: White (#FFFFFF) background, 1px #F2D7D0 border, 8px rounded corners, drop shadow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44464A"/>
          <w:sz w:val="21"/>
          <w:szCs w:val="21"/>
        </w:rPr>
        <w:t xml:space="preserve">Font: Segoe UI across all text elements</w:t>
      </w:r>
    </w:p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B76E79"/>
          <w:sz w:val="23"/>
          <w:szCs w:val="23"/>
        </w:rPr>
        <w:t xml:space="preserve">7.2  Software Interface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716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MySQL ODBC</w:t>
            </w:r>
          </w:p>
        </w:tc>
        <w:tc>
          <w:tcPr>
            <w:tcW w:type="dxa" w:w="71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Power BI connects via MySQL ODBC 8.0 Unicode Driver or imports from cleaned CSVs</w:t>
            </w:r>
          </w:p>
        </w:tc>
      </w:tr>
      <w:tr>
        <w:tc>
          <w:tcPr>
            <w:tcW w:type="dxa" w:w="22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Python Libraries</w:t>
            </w:r>
          </w:p>
        </w:tc>
        <w:tc>
          <w:tcPr>
            <w:tcW w:type="dxa" w:w="71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pandas &gt;= 1.5, numpy &gt;= 1.20, plotly &gt;= 5.0, scipy &gt;= 1.9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Power BI Version</w:t>
            </w:r>
          </w:p>
        </w:tc>
        <w:tc>
          <w:tcPr>
            <w:tcW w:type="dxa" w:w="71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Desktop March 2025+ · Power BI Service for distribution</w:t>
            </w:r>
          </w:p>
        </w:tc>
      </w:tr>
      <w:tr>
        <w:tc>
          <w:tcPr>
            <w:tcW w:type="dxa" w:w="22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Browser (HTML report)</w:t>
            </w:r>
          </w:p>
        </w:tc>
        <w:tc>
          <w:tcPr>
            <w:tcW w:type="dxa" w:w="71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Chrome 110+ / Edge 110+ (Chromium-based)</w:t>
            </w:r>
          </w:p>
        </w:tc>
      </w:tr>
    </w:tbl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B76E79"/>
          <w:sz w:val="23"/>
          <w:szCs w:val="23"/>
        </w:rPr>
        <w:t xml:space="preserve">7.3  Communication Interfaces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44464A"/>
          <w:sz w:val="21"/>
          <w:szCs w:val="21"/>
        </w:rPr>
        <w:t xml:space="preserve">Data Refresh: Batch-based, manual trigger or scheduled via Power BI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44464A"/>
          <w:sz w:val="21"/>
          <w:szCs w:val="21"/>
        </w:rPr>
        <w:t xml:space="preserve">Report Distribution: Power BI Service Workspace or shared .pbix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44464A"/>
          <w:sz w:val="21"/>
          <w:szCs w:val="21"/>
        </w:rPr>
        <w:t xml:space="preserve">HTML Report: Generated locally, distributed as email attachment or shared drive link</w:t>
      </w:r>
    </w:p>
    <w:p>
      <w:r>
        <w:br w:type="page"/>
      </w:r>
    </w:p>
    <w:p>
      <w:pPr>
        <w:pStyle w:val="Heading1"/>
        <w:pBdr>
          <w:bottom w:val="single" w:color="B76E79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8.  KPI &amp; Business Rules</w:t>
      </w:r>
    </w:p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B76E79"/>
          <w:sz w:val="23"/>
          <w:szCs w:val="23"/>
        </w:rPr>
        <w:t xml:space="preserve">8.1  KPI Definition Summary</w:t>
      </w:r>
    </w:p>
    <w:tbl>
      <w:tblPr>
        <w:tblW w:type="dxa" w:w="9360"/>
        <w:tblBorders>
          <w:top w:val="single" w:color="1A5C8A" w:sz="4"/>
          <w:left w:val="single" w:color="1A5C8A" w:sz="24"/>
          <w:bottom w:val="single" w:color="1A5C8A" w:sz="4"/>
          <w:right w:val="single" w:color="1A5C8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6F1F8" w:color="auto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aps/>
                <w:color w:val="1A5C8A"/>
                <w:sz w:val="17"/>
                <w:szCs w:val="17"/>
              </w:rPr>
              <w:t xml:space="preserve">GOVERNANCE RULE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64A"/>
                <w:sz w:val="19"/>
                <w:szCs w:val="19"/>
              </w:rPr>
              <w:t xml:space="preserve">All KPIs are fully defined in kpi_definitions.md. This table is the governance summary.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650"/>
        <w:gridCol w:w="2450"/>
        <w:gridCol w:w="1000"/>
        <w:gridCol w:w="1050"/>
        <w:gridCol w:w="900"/>
        <w:gridCol w:w="1530"/>
      </w:tblGrid>
      <w:tr>
        <w:trPr>
          <w:tblHeader/>
        </w:trPr>
        <w:tc>
          <w:tcPr>
            <w:tcW w:type="dxa" w:w="78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 ID</w:t>
            </w:r>
          </w:p>
        </w:tc>
        <w:tc>
          <w:tcPr>
            <w:tcW w:type="dxa" w:w="165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45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100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Green</w:t>
            </w:r>
          </w:p>
        </w:tc>
        <w:tc>
          <w:tcPr>
            <w:tcW w:type="dxa" w:w="105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Yellow</w:t>
            </w:r>
          </w:p>
        </w:tc>
        <w:tc>
          <w:tcPr>
            <w:tcW w:type="dxa" w:w="90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Red</w:t>
            </w:r>
          </w:p>
        </w:tc>
        <w:tc>
          <w:tcPr>
            <w:tcW w:type="dxa" w:w="153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78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KPI-C1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Total Customers</w:t>
            </w:r>
          </w:p>
        </w:tc>
        <w:tc>
          <w:tcPr>
            <w:tcW w:type="dxa" w:w="24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COUNT(customer_id)</w:t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N/A</w:t>
            </w:r>
          </w:p>
        </w:tc>
        <w:tc>
          <w:tcPr>
            <w:tcW w:type="dxa" w:w="10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N/A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N/A</w:t>
            </w:r>
          </w:p>
        </w:tc>
        <w:tc>
          <w:tcPr>
            <w:tcW w:type="dxa" w:w="153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Retail Banking</w:t>
            </w:r>
          </w:p>
        </w:tc>
      </w:tr>
      <w:tr>
        <w:tc>
          <w:tcPr>
            <w:tcW w:type="dxa" w:w="78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KPI-C2</w:t>
            </w:r>
          </w:p>
        </w:tc>
        <w:tc>
          <w:tcPr>
            <w:tcW w:type="dxa" w:w="165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Active Customer %</w:t>
            </w:r>
          </w:p>
        </w:tc>
        <w:tc>
          <w:tcPr>
            <w:tcW w:type="dxa" w:w="245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Active / Total * 100</w:t>
            </w:r>
          </w:p>
        </w:tc>
        <w:tc>
          <w:tcPr>
            <w:tcW w:type="dxa" w:w="10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&gt;= 85%</w:t>
            </w:r>
          </w:p>
        </w:tc>
        <w:tc>
          <w:tcPr>
            <w:tcW w:type="dxa" w:w="105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75–84%</w:t>
            </w:r>
          </w:p>
        </w:tc>
        <w:tc>
          <w:tcPr>
            <w:tcW w:type="dxa" w:w="9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&lt; 75%</w:t>
            </w:r>
          </w:p>
        </w:tc>
        <w:tc>
          <w:tcPr>
            <w:tcW w:type="dxa" w:w="153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Retail Banking</w:t>
            </w:r>
          </w:p>
        </w:tc>
      </w:tr>
      <w:tr>
        <w:tc>
          <w:tcPr>
            <w:tcW w:type="dxa" w:w="78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KPI-C3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KYC Verified %</w:t>
            </w:r>
          </w:p>
        </w:tc>
        <w:tc>
          <w:tcPr>
            <w:tcW w:type="dxa" w:w="24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Verified / Total * 100</w:t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&gt;= 90%</w:t>
            </w:r>
          </w:p>
        </w:tc>
        <w:tc>
          <w:tcPr>
            <w:tcW w:type="dxa" w:w="10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80–89%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&lt; 80%</w:t>
            </w:r>
          </w:p>
        </w:tc>
        <w:tc>
          <w:tcPr>
            <w:tcW w:type="dxa" w:w="153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Compliance</w:t>
            </w:r>
          </w:p>
        </w:tc>
      </w:tr>
      <w:tr>
        <w:tc>
          <w:tcPr>
            <w:tcW w:type="dxa" w:w="78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KPI-C4</w:t>
            </w:r>
          </w:p>
        </w:tc>
        <w:tc>
          <w:tcPr>
            <w:tcW w:type="dxa" w:w="165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Avg Annual Income</w:t>
            </w:r>
          </w:p>
        </w:tc>
        <w:tc>
          <w:tcPr>
            <w:tcW w:type="dxa" w:w="245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AVG(annual_income) / 100000</w:t>
            </w:r>
          </w:p>
        </w:tc>
        <w:tc>
          <w:tcPr>
            <w:tcW w:type="dxa" w:w="10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N/A</w:t>
            </w:r>
          </w:p>
        </w:tc>
        <w:tc>
          <w:tcPr>
            <w:tcW w:type="dxa" w:w="105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N/A</w:t>
            </w:r>
          </w:p>
        </w:tc>
        <w:tc>
          <w:tcPr>
            <w:tcW w:type="dxa" w:w="9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N/A</w:t>
            </w:r>
          </w:p>
        </w:tc>
        <w:tc>
          <w:tcPr>
            <w:tcW w:type="dxa" w:w="153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Retail Banking</w:t>
            </w:r>
          </w:p>
        </w:tc>
      </w:tr>
      <w:tr>
        <w:tc>
          <w:tcPr>
            <w:tcW w:type="dxa" w:w="78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KPI-L1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Approval Rate %</w:t>
            </w:r>
          </w:p>
        </w:tc>
        <w:tc>
          <w:tcPr>
            <w:tcW w:type="dxa" w:w="24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(Approved + Disbursed) / Total * 100</w:t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&gt;= 60%</w:t>
            </w:r>
          </w:p>
        </w:tc>
        <w:tc>
          <w:tcPr>
            <w:tcW w:type="dxa" w:w="10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45–59%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&lt; 45%</w:t>
            </w:r>
          </w:p>
        </w:tc>
        <w:tc>
          <w:tcPr>
            <w:tcW w:type="dxa" w:w="153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Credit</w:t>
            </w:r>
          </w:p>
        </w:tc>
      </w:tr>
      <w:tr>
        <w:tc>
          <w:tcPr>
            <w:tcW w:type="dxa" w:w="78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KPI-L2</w:t>
            </w:r>
          </w:p>
        </w:tc>
        <w:tc>
          <w:tcPr>
            <w:tcW w:type="dxa" w:w="165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Disbursement Rate %</w:t>
            </w:r>
          </w:p>
        </w:tc>
        <w:tc>
          <w:tcPr>
            <w:tcW w:type="dxa" w:w="245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Disbursed / Total * 100</w:t>
            </w:r>
          </w:p>
        </w:tc>
        <w:tc>
          <w:tcPr>
            <w:tcW w:type="dxa" w:w="10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&gt;= 55%</w:t>
            </w:r>
          </w:p>
        </w:tc>
        <w:tc>
          <w:tcPr>
            <w:tcW w:type="dxa" w:w="105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40–54%</w:t>
            </w:r>
          </w:p>
        </w:tc>
        <w:tc>
          <w:tcPr>
            <w:tcW w:type="dxa" w:w="9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&lt; 40%</w:t>
            </w:r>
          </w:p>
        </w:tc>
        <w:tc>
          <w:tcPr>
            <w:tcW w:type="dxa" w:w="153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Loan Ops</w:t>
            </w:r>
          </w:p>
        </w:tc>
      </w:tr>
      <w:tr>
        <w:tc>
          <w:tcPr>
            <w:tcW w:type="dxa" w:w="78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KPI-L3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Total Disbursed Portfolio</w:t>
            </w:r>
          </w:p>
        </w:tc>
        <w:tc>
          <w:tcPr>
            <w:tcW w:type="dxa" w:w="24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SUM(loan_amount_approved)/1e7</w:t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&gt;= ₹300 Cr</w:t>
            </w:r>
          </w:p>
        </w:tc>
        <w:tc>
          <w:tcPr>
            <w:tcW w:type="dxa" w:w="10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₹200–299 Cr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&lt; ₹200 Cr</w:t>
            </w:r>
          </w:p>
        </w:tc>
        <w:tc>
          <w:tcPr>
            <w:tcW w:type="dxa" w:w="153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CFO</w:t>
            </w:r>
          </w:p>
        </w:tc>
      </w:tr>
      <w:tr>
        <w:tc>
          <w:tcPr>
            <w:tcW w:type="dxa" w:w="78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KPI-R1</w:t>
            </w:r>
          </w:p>
        </w:tc>
        <w:tc>
          <w:tcPr>
            <w:tcW w:type="dxa" w:w="165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Default Rate %</w:t>
            </w:r>
          </w:p>
        </w:tc>
        <w:tc>
          <w:tcPr>
            <w:tcW w:type="dxa" w:w="245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Missed Payments / Total EMI * 100</w:t>
            </w:r>
          </w:p>
        </w:tc>
        <w:tc>
          <w:tcPr>
            <w:tcW w:type="dxa" w:w="10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&lt;= 5%</w:t>
            </w:r>
          </w:p>
        </w:tc>
        <w:tc>
          <w:tcPr>
            <w:tcW w:type="dxa" w:w="105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5–10%</w:t>
            </w:r>
          </w:p>
        </w:tc>
        <w:tc>
          <w:tcPr>
            <w:tcW w:type="dxa" w:w="9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&gt; 10%</w:t>
            </w:r>
          </w:p>
        </w:tc>
        <w:tc>
          <w:tcPr>
            <w:tcW w:type="dxa" w:w="153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Risk Officer</w:t>
            </w:r>
          </w:p>
        </w:tc>
      </w:tr>
      <w:tr>
        <w:tc>
          <w:tcPr>
            <w:tcW w:type="dxa" w:w="78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KPI-R2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On-Time Payment Rate %</w:t>
            </w:r>
          </w:p>
        </w:tc>
        <w:tc>
          <w:tcPr>
            <w:tcW w:type="dxa" w:w="24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On-Time EMI / Total EMI * 100</w:t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&gt;= 85%</w:t>
            </w:r>
          </w:p>
        </w:tc>
        <w:tc>
          <w:tcPr>
            <w:tcW w:type="dxa" w:w="10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75–84%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&lt; 75%</w:t>
            </w:r>
          </w:p>
        </w:tc>
        <w:tc>
          <w:tcPr>
            <w:tcW w:type="dxa" w:w="153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Collections</w:t>
            </w:r>
          </w:p>
        </w:tc>
      </w:tr>
      <w:tr>
        <w:tc>
          <w:tcPr>
            <w:tcW w:type="dxa" w:w="78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KPI-R3</w:t>
            </w:r>
          </w:p>
        </w:tc>
        <w:tc>
          <w:tcPr>
            <w:tcW w:type="dxa" w:w="165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Total Outstanding Balance</w:t>
            </w:r>
          </w:p>
        </w:tc>
        <w:tc>
          <w:tcPr>
            <w:tcW w:type="dxa" w:w="245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SUM(outstanding_balance)/1e7</w:t>
            </w:r>
          </w:p>
        </w:tc>
        <w:tc>
          <w:tcPr>
            <w:tcW w:type="dxa" w:w="10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N/A</w:t>
            </w:r>
          </w:p>
        </w:tc>
        <w:tc>
          <w:tcPr>
            <w:tcW w:type="dxa" w:w="105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N/A</w:t>
            </w:r>
          </w:p>
        </w:tc>
        <w:tc>
          <w:tcPr>
            <w:tcW w:type="dxa" w:w="9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N/A</w:t>
            </w:r>
          </w:p>
        </w:tc>
        <w:tc>
          <w:tcPr>
            <w:tcW w:type="dxa" w:w="153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Finance</w:t>
            </w:r>
          </w:p>
        </w:tc>
      </w:tr>
      <w:tr>
        <w:tc>
          <w:tcPr>
            <w:tcW w:type="dxa" w:w="78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KPI-T1</w:t>
            </w:r>
          </w:p>
        </w:tc>
        <w:tc>
          <w:tcPr>
            <w:tcW w:type="dxa" w:w="16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UPI Adoption Share %</w:t>
            </w:r>
          </w:p>
        </w:tc>
        <w:tc>
          <w:tcPr>
            <w:tcW w:type="dxa" w:w="24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UPI Txns / Total Txns * 100</w:t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&gt;= 60%</w:t>
            </w:r>
          </w:p>
        </w:tc>
        <w:tc>
          <w:tcPr>
            <w:tcW w:type="dxa" w:w="10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40–59%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&lt; 40%</w:t>
            </w:r>
          </w:p>
        </w:tc>
        <w:tc>
          <w:tcPr>
            <w:tcW w:type="dxa" w:w="153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Digital Banking</w:t>
            </w:r>
          </w:p>
        </w:tc>
      </w:tr>
      <w:tr>
        <w:tc>
          <w:tcPr>
            <w:tcW w:type="dxa" w:w="78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KPI-T2</w:t>
            </w:r>
          </w:p>
        </w:tc>
        <w:tc>
          <w:tcPr>
            <w:tcW w:type="dxa" w:w="165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Transaction Success Rate %</w:t>
            </w:r>
          </w:p>
        </w:tc>
        <w:tc>
          <w:tcPr>
            <w:tcW w:type="dxa" w:w="245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Success Txns / Total Txns * 100</w:t>
            </w:r>
          </w:p>
        </w:tc>
        <w:tc>
          <w:tcPr>
            <w:tcW w:type="dxa" w:w="10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&gt;= 97%</w:t>
            </w:r>
          </w:p>
        </w:tc>
        <w:tc>
          <w:tcPr>
            <w:tcW w:type="dxa" w:w="105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92–96%</w:t>
            </w:r>
          </w:p>
        </w:tc>
        <w:tc>
          <w:tcPr>
            <w:tcW w:type="dxa" w:w="9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&lt; 92%</w:t>
            </w:r>
          </w:p>
        </w:tc>
        <w:tc>
          <w:tcPr>
            <w:tcW w:type="dxa" w:w="153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5"/>
                <w:szCs w:val="15"/>
              </w:rPr>
              <w:t xml:space="preserve">Tech Ops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1A5C8A" w:sz="4"/>
          <w:left w:val="single" w:color="1A5C8A" w:sz="24"/>
          <w:bottom w:val="single" w:color="1A5C8A" w:sz="4"/>
          <w:right w:val="single" w:color="1A5C8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6F1F8" w:color="auto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aps/>
                <w:color w:val="1A5C8A"/>
                <w:sz w:val="17"/>
                <w:szCs w:val="17"/>
              </w:rPr>
              <w:t xml:space="preserve">GOVERNANCE RULE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64A"/>
                <w:sz w:val="19"/>
                <w:szCs w:val="19"/>
              </w:rPr>
              <w:t xml:space="preserve">Governance Rule: Any change to a KPI formula, threshold, or ownership must be reflected in kpi_definitions.md, the Power BI DAX measure, and the SQL script simultaneously.</w:t>
            </w:r>
          </w:p>
        </w:tc>
      </w:tr>
    </w:tbl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B76E79"/>
          <w:sz w:val="23"/>
          <w:szCs w:val="23"/>
        </w:rPr>
        <w:t xml:space="preserve">8.2  Business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Rule ID</w:t>
            </w:r>
          </w:p>
        </w:tc>
        <w:tc>
          <w:tcPr>
            <w:tcW w:type="dxa" w:w="816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BR-01</w:t>
            </w:r>
          </w:p>
        </w:tc>
        <w:tc>
          <w:tcPr>
            <w:tcW w:type="dxa" w:w="81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rejection_reason must be 'N/A' for all non-Rejected loan applications</w:t>
            </w:r>
          </w:p>
        </w:tc>
      </w:tr>
      <w:tr>
        <w:tc>
          <w:tcPr>
            <w:tcW w:type="dxa" w:w="12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BR-02</w:t>
            </w:r>
          </w:p>
        </w:tc>
        <w:tc>
          <w:tcPr>
            <w:tcW w:type="dxa" w:w="81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Credit score range is strictly 300–850 (CIBIL scale); values outside this range are invalid</w:t>
            </w:r>
          </w:p>
        </w:tc>
      </w:tr>
      <w:tr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BR-03</w:t>
            </w:r>
          </w:p>
        </w:tc>
        <w:tc>
          <w:tcPr>
            <w:tcW w:type="dxa" w:w="81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Loan status transitions are one-directional: Pending → Under Review → Approved → Disbursed (or Rejected from any stage)</w:t>
            </w:r>
          </w:p>
        </w:tc>
      </w:tr>
      <w:tr>
        <w:tc>
          <w:tcPr>
            <w:tcW w:type="dxa" w:w="12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BR-04</w:t>
            </w:r>
          </w:p>
        </w:tc>
        <w:tc>
          <w:tcPr>
            <w:tcW w:type="dxa" w:w="81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days_late = 0 means payment was made exactly on due date (not late)</w:t>
            </w:r>
          </w:p>
        </w:tc>
      </w:tr>
      <w:tr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BR-05</w:t>
            </w:r>
          </w:p>
        </w:tc>
        <w:tc>
          <w:tcPr>
            <w:tcW w:type="dxa" w:w="81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payment_status = 'Missed' is the sole indicator for NPA calculation in Default Rate %</w:t>
            </w:r>
          </w:p>
        </w:tc>
      </w:tr>
      <w:tr>
        <w:tc>
          <w:tcPr>
            <w:tcW w:type="dxa" w:w="12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BR-06</w:t>
            </w:r>
          </w:p>
        </w:tc>
        <w:tc>
          <w:tcPr>
            <w:tcW w:type="dxa" w:w="81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branch_type determines processing SLA: Rural = 22-day benchmark, Urban = 13-day benchmark</w:t>
            </w:r>
          </w:p>
        </w:tc>
      </w:tr>
      <w:tr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BR-07</w:t>
            </w:r>
          </w:p>
        </w:tc>
        <w:tc>
          <w:tcPr>
            <w:tcW w:type="dxa" w:w="81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UPI share above 60% per customer qualifies as 'Heavy Digital' tier; used in risk correlation</w:t>
            </w:r>
          </w:p>
        </w:tc>
      </w:tr>
      <w:tr>
        <w:tc>
          <w:tcPr>
            <w:tcW w:type="dxa" w:w="12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BR-08</w:t>
            </w:r>
          </w:p>
        </w:tc>
        <w:tc>
          <w:tcPr>
            <w:tcW w:type="dxa" w:w="81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A customer with credit_score &lt; 600 is classified as is_high_risk = True</w:t>
            </w:r>
          </w:p>
        </w:tc>
      </w:tr>
      <w:tr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BR-09</w:t>
            </w:r>
          </w:p>
        </w:tc>
        <w:tc>
          <w:tcPr>
            <w:tcW w:type="dxa" w:w="81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profitability_index = interest_earned / loan_amount_approved; &gt;= 0.15 = High Profit, 0.08–0.14 = Medium, &lt; 0.08 = Low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76E79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9.  Constraints &amp; Assumptions</w:t>
      </w:r>
    </w:p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B76E79"/>
          <w:sz w:val="23"/>
          <w:szCs w:val="23"/>
        </w:rPr>
        <w:t xml:space="preserve">9.1 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16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Budget</w:t>
            </w:r>
          </w:p>
        </w:tc>
        <w:tc>
          <w:tcPr>
            <w:tcW w:type="dxa" w:w="71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Portfolio/educational initiative — zero additional licensing budget</w:t>
            </w:r>
          </w:p>
        </w:tc>
      </w:tr>
      <w:tr>
        <w:tc>
          <w:tcPr>
            <w:tcW w:type="dxa" w:w="22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Tools</w:t>
            </w:r>
          </w:p>
        </w:tc>
        <w:tc>
          <w:tcPr>
            <w:tcW w:type="dxa" w:w="71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Fixed technology stack: MySQL 8.0, Python 3.10+, Power BI Desktop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Data</w:t>
            </w:r>
          </w:p>
        </w:tc>
        <w:tc>
          <w:tcPr>
            <w:tcW w:type="dxa" w:w="71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Batch refresh only — no real-time streaming or live CBS connection</w:t>
            </w:r>
          </w:p>
        </w:tc>
      </w:tr>
      <w:tr>
        <w:tc>
          <w:tcPr>
            <w:tcW w:type="dxa" w:w="22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Timeline</w:t>
            </w:r>
          </w:p>
        </w:tc>
        <w:tc>
          <w:tcPr>
            <w:tcW w:type="dxa" w:w="71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4-phase sequential delivery (Phase 1 → 2 → 3 → 4)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71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Windows OS workstations only</w:t>
            </w:r>
          </w:p>
        </w:tc>
      </w:tr>
      <w:tr>
        <w:tc>
          <w:tcPr>
            <w:tcW w:type="dxa" w:w="22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Data Volume</w:t>
            </w:r>
          </w:p>
        </w:tc>
        <w:tc>
          <w:tcPr>
            <w:tcW w:type="dxa" w:w="71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Designed for up to ~5M records; beyond this, performance NFRs must be re-evaluated</w:t>
            </w:r>
          </w:p>
        </w:tc>
      </w:tr>
    </w:tbl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B76E79"/>
          <w:sz w:val="23"/>
          <w:szCs w:val="23"/>
        </w:rPr>
        <w:t xml:space="preserve">9.2  Assumptions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rPr>
          <w:tblHeader/>
        </w:trPr>
        <w:tc>
          <w:tcPr>
            <w:tcW w:type="dxa" w:w="110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26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Assumption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A-01</w:t>
            </w:r>
          </w:p>
        </w:tc>
        <w:tc>
          <w:tcPr>
            <w:tcW w:type="dxa" w:w="82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All 9 CSV files accurately represent operational data for FY 2018–2025</w:t>
            </w:r>
          </w:p>
        </w:tc>
      </w:tr>
      <w:tr>
        <w:tc>
          <w:tcPr>
            <w:tcW w:type="dxa" w:w="11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A-02</w:t>
            </w:r>
          </w:p>
        </w:tc>
        <w:tc>
          <w:tcPr>
            <w:tcW w:type="dxa" w:w="82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Power BI workspace has map visuals enabled (Bing Maps turned on)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A-03</w:t>
            </w:r>
          </w:p>
        </w:tc>
        <w:tc>
          <w:tcPr>
            <w:tcW w:type="dxa" w:w="82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Python virtual environment is correctly configured from requirements.txt before running any scripts</w:t>
            </w:r>
          </w:p>
        </w:tc>
      </w:tr>
      <w:tr>
        <w:tc>
          <w:tcPr>
            <w:tcW w:type="dxa" w:w="11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A-04</w:t>
            </w:r>
          </w:p>
        </w:tc>
        <w:tc>
          <w:tcPr>
            <w:tcW w:type="dxa" w:w="82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Cleaned CSVs are always read from eda/cleaned_data/ — if this directory is missing, all downstream tools will fail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A-05</w:t>
            </w:r>
          </w:p>
        </w:tc>
        <w:tc>
          <w:tcPr>
            <w:tcW w:type="dxa" w:w="82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Power BI Desktop (March 2025+ version) is installed on the analyst workstation</w:t>
            </w:r>
          </w:p>
        </w:tc>
      </w:tr>
      <w:tr>
        <w:tc>
          <w:tcPr>
            <w:tcW w:type="dxa" w:w="11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A-06</w:t>
            </w:r>
          </w:p>
        </w:tc>
        <w:tc>
          <w:tcPr>
            <w:tcW w:type="dxa" w:w="82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MySQL 8.0+ is installed and the indosynth_bank database is created before running SQL scripts</w:t>
            </w:r>
          </w:p>
        </w:tc>
      </w:tr>
      <w:tr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A-07</w:t>
            </w:r>
          </w:p>
        </w:tc>
        <w:tc>
          <w:tcPr>
            <w:tcW w:type="dxa" w:w="82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Data in the CSVs does not represent any real individual's personal financial data</w:t>
            </w:r>
          </w:p>
        </w:tc>
      </w:tr>
      <w:tr>
        <w:tc>
          <w:tcPr>
            <w:tcW w:type="dxa" w:w="11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A-08</w:t>
            </w:r>
          </w:p>
        </w:tc>
        <w:tc>
          <w:tcPr>
            <w:tcW w:type="dxa" w:w="82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The regions table contains a zone column; if absent, branch analysis falls back to branch_type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76E79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10.  Appendix</w:t>
      </w:r>
    </w:p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B76E79"/>
          <w:sz w:val="23"/>
          <w:szCs w:val="23"/>
        </w:rPr>
        <w:t xml:space="preserve">10.1  SQL Analysis Scripts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dxa" w:w="260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36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Business Question Answered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Customer Segmentation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01_customer_segmentation.sql</w:t>
            </w:r>
          </w:p>
        </w:tc>
        <w:tc>
          <w:tcPr>
            <w:tcW w:type="dxa" w:w="43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Which segments are most profitable? Top states by customer value?</w:t>
            </w:r>
          </w:p>
        </w:tc>
      </w:tr>
      <w:tr>
        <w:tc>
          <w:tcPr>
            <w:tcW w:type="dxa" w:w="24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Loan Funnel Analysis</w:t>
            </w:r>
          </w:p>
        </w:tc>
        <w:tc>
          <w:tcPr>
            <w:tcW w:type="dxa" w:w="26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02_loan_funnel_analysis.sql</w:t>
            </w:r>
          </w:p>
        </w:tc>
        <w:tc>
          <w:tcPr>
            <w:tcW w:type="dxa" w:w="43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Where is the largest drop-off from application to disbursement?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Risk Profiling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03_risk_profiling.sql</w:t>
            </w:r>
          </w:p>
        </w:tc>
        <w:tc>
          <w:tcPr>
            <w:tcW w:type="dxa" w:w="43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How does credit band correlate with default rate? Who are the high-risk borrowers?</w:t>
            </w:r>
          </w:p>
        </w:tc>
      </w:tr>
      <w:tr>
        <w:tc>
          <w:tcPr>
            <w:tcW w:type="dxa" w:w="24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Branch Performance</w:t>
            </w:r>
          </w:p>
        </w:tc>
        <w:tc>
          <w:tcPr>
            <w:tcW w:type="dxa" w:w="26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04_branch_performance.sql</w:t>
            </w:r>
          </w:p>
        </w:tc>
        <w:tc>
          <w:tcPr>
            <w:tcW w:type="dxa" w:w="43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Which branches have highest volume and lowest defaults? Processing time variance?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Digital Transformation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05_digital_transformation.sql</w:t>
            </w:r>
          </w:p>
        </w:tc>
        <w:tc>
          <w:tcPr>
            <w:tcW w:type="dxa" w:w="43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7"/>
                <w:szCs w:val="17"/>
              </w:rPr>
              <w:t xml:space="preserve">How has UPI adoption evolved? Does digital usage predict repayment behaviour?</w:t>
            </w:r>
          </w:p>
        </w:tc>
      </w:tr>
    </w:tbl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B76E79"/>
          <w:sz w:val="23"/>
          <w:szCs w:val="23"/>
        </w:rPr>
        <w:t xml:space="preserve">10.2  File &amp;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2430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4E7EC"/>
                <w:sz w:val="16"/>
                <w:szCs w:val="16"/>
              </w:rPr>
              <w:t xml:space="preserve">B:\Major Project\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4E7EC"/>
                <w:sz w:val="16"/>
                <w:szCs w:val="16"/>
              </w:rPr>
              <w:t xml:space="preserve">├── IndoSynth Bank.pbix                         # Power BI dashboard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4E7EC"/>
                <w:sz w:val="16"/>
                <w:szCs w:val="16"/>
              </w:rPr>
              <w:t xml:space="preserve">├── powerbi_dashboard_specification.md          # Dashboard pixel blueprint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4E7EC"/>
                <w:sz w:val="16"/>
                <w:szCs w:val="16"/>
              </w:rPr>
              <w:t xml:space="preserve">├── project_guide.md                            # Project walkthrough guide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4E7EC"/>
                <w:sz w:val="16"/>
                <w:szCs w:val="16"/>
              </w:rPr>
              <w:t xml:space="preserve">├── README.md                                   # Project overview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4E7EC"/>
                <w:sz w:val="16"/>
                <w:szCs w:val="16"/>
              </w:rPr>
              <w:t xml:space="preserve">├── requirements.txt                            # Python dependencies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4E7EC"/>
                <w:sz w:val="16"/>
                <w:szCs w:val="16"/>
              </w:rPr>
              <w:t xml:space="preserve">├── IndoSynth_RoseGold_Theme.json                # Power BI theme file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4E7EC"/>
                <w:sz w:val="16"/>
                <w:szCs w:val="16"/>
              </w:rPr>
              <w:t xml:space="preserve">├── data/                                        # Raw source CSVs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4E7EC"/>
                <w:sz w:val="16"/>
                <w:szCs w:val="16"/>
              </w:rPr>
              <w:t xml:space="preserve">├── eda/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4E7EC"/>
                <w:sz w:val="16"/>
                <w:szCs w:val="16"/>
              </w:rPr>
              <w:t xml:space="preserve">│   └── cleaned_data/                            # Cleaned CSVs (EDA output)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4E7EC"/>
                <w:sz w:val="16"/>
                <w:szCs w:val="16"/>
              </w:rPr>
              <w:t xml:space="preserve">├── mysql/                                       # MySQL schema &amp; load scripts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4E7EC"/>
                <w:sz w:val="16"/>
                <w:szCs w:val="16"/>
              </w:rPr>
              <w:t xml:space="preserve">├── business_analysis/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4E7EC"/>
                <w:sz w:val="16"/>
                <w:szCs w:val="16"/>
              </w:rPr>
              <w:t xml:space="preserve">│   ├── documents/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4E7EC"/>
                <w:sz w:val="16"/>
                <w:szCs w:val="16"/>
              </w:rPr>
              <w:t xml:space="preserve">│   │   ├── SRS.md                               &lt;- This document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4E7EC"/>
                <w:sz w:val="16"/>
                <w:szCs w:val="16"/>
              </w:rPr>
              <w:t xml:space="preserve">│   │   ├── business_requirements.md             # BRD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4E7EC"/>
                <w:sz w:val="16"/>
                <w:szCs w:val="16"/>
              </w:rPr>
              <w:t xml:space="preserve">│   │   ├── kpi_definitions.md                   # KPI Governance Dictionary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4E7EC"/>
                <w:sz w:val="16"/>
                <w:szCs w:val="16"/>
              </w:rPr>
              <w:t xml:space="preserve">│   │   └── executive_summary.md                 # Executive analytics findings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4E7EC"/>
                <w:sz w:val="16"/>
                <w:szCs w:val="16"/>
              </w:rPr>
              <w:t xml:space="preserve">│   ├── sql_analysis/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4E7EC"/>
                <w:sz w:val="16"/>
                <w:szCs w:val="16"/>
              </w:rPr>
              <w:t xml:space="preserve">│   │   ├── 01_customer_segmentation.sql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4E7EC"/>
                <w:sz w:val="16"/>
                <w:szCs w:val="16"/>
              </w:rPr>
              <w:t xml:space="preserve">│   │   ├── 02_loan_funnel_analysis.sql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4E7EC"/>
                <w:sz w:val="16"/>
                <w:szCs w:val="16"/>
              </w:rPr>
              <w:t xml:space="preserve">│   │   ├── 03_risk_profiling.sql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4E7EC"/>
                <w:sz w:val="16"/>
                <w:szCs w:val="16"/>
              </w:rPr>
              <w:t xml:space="preserve">│   │   ├── 04_branch_performance.sql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4E7EC"/>
                <w:sz w:val="16"/>
                <w:szCs w:val="16"/>
              </w:rPr>
              <w:t xml:space="preserve">│   │   └── 05_digital_transformation.sql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4E7EC"/>
                <w:sz w:val="16"/>
                <w:szCs w:val="16"/>
              </w:rPr>
              <w:t xml:space="preserve">│   ├── python_reports/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4E7EC"/>
                <w:sz w:val="16"/>
                <w:szCs w:val="16"/>
              </w:rPr>
              <w:t xml:space="preserve">│   │   └── ba_insight_report.py                 # Generates ba_report.html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4E7EC"/>
                <w:sz w:val="16"/>
                <w:szCs w:val="16"/>
              </w:rPr>
              <w:t xml:space="preserve">│   └── output/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4E7EC"/>
                <w:sz w:val="16"/>
                <w:szCs w:val="16"/>
              </w:rPr>
              <w:t xml:space="preserve">│       └── ba_report.html                       # Generated HTML report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4E7EC"/>
                <w:sz w:val="16"/>
                <w:szCs w:val="16"/>
              </w:rPr>
              <w:t xml:space="preserve">└── venv/                                        # Python virtual environment</w:t>
            </w:r>
          </w:p>
        </w:tc>
      </w:tr>
    </w:tbl>
    <w:p>
      <w:pPr>
        <w:spacing w:after="200"/>
      </w:pPr>
    </w:p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B76E79"/>
          <w:sz w:val="23"/>
          <w:szCs w:val="23"/>
        </w:rPr>
        <w:t xml:space="preserve">10.3  Document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3160"/>
        <w:gridCol w:w="2900"/>
      </w:tblGrid>
      <w:tr>
        <w:trPr>
          <w:tblHeader/>
        </w:trPr>
        <w:tc>
          <w:tcPr>
            <w:tcW w:type="dxa" w:w="140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90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6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0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v1.0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August 2026</w:t>
            </w:r>
          </w:p>
        </w:tc>
        <w:tc>
          <w:tcPr>
            <w:tcW w:type="dxa" w:w="31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Business Analyst — IGB BI Team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Initial SRS created</w:t>
            </w:r>
          </w:p>
        </w:tc>
      </w:tr>
    </w:tbl>
    <w:p>
      <w:pPr>
        <w:pStyle w:val="Heading2"/>
        <w:spacing w:after="130" w:before="260"/>
      </w:pPr>
      <w:r>
        <w:rPr>
          <w:rFonts w:ascii="Calibri" w:cs="Calibri" w:eastAsia="Calibri" w:hAnsi="Calibri"/>
          <w:b/>
          <w:bCs/>
          <w:color w:val="B76E79"/>
          <w:sz w:val="23"/>
          <w:szCs w:val="23"/>
        </w:rPr>
        <w:t xml:space="preserve">10.4 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00"/>
        <w:gridCol w:w="3160"/>
        <w:gridCol w:w="1700"/>
      </w:tblGrid>
      <w:tr>
        <w:trPr>
          <w:tblHeader/>
        </w:trPr>
        <w:tc>
          <w:tcPr>
            <w:tcW w:type="dxa" w:w="240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10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16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700"/>
            <w:shd w:fill="2B243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Business Analyst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_______________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Aug 2026</w:t>
            </w:r>
          </w:p>
        </w:tc>
      </w:tr>
      <w:tr>
        <w:tc>
          <w:tcPr>
            <w:tcW w:type="dxa" w:w="24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Project Sponsor</w:t>
            </w:r>
          </w:p>
        </w:tc>
        <w:tc>
          <w:tcPr>
            <w:tcW w:type="dxa" w:w="21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_______________</w:t>
            </w:r>
          </w:p>
        </w:tc>
        <w:tc>
          <w:tcPr>
            <w:tcW w:type="dxa" w:w="17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Aug 2026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Data Lead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_______________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Aug 2026</w:t>
            </w:r>
          </w:p>
        </w:tc>
      </w:tr>
      <w:tr>
        <w:tc>
          <w:tcPr>
            <w:tcW w:type="dxa" w:w="24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Chief Risk Officer</w:t>
            </w:r>
          </w:p>
        </w:tc>
        <w:tc>
          <w:tcPr>
            <w:tcW w:type="dxa" w:w="21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_______________</w:t>
            </w:r>
          </w:p>
        </w:tc>
        <w:tc>
          <w:tcPr>
            <w:tcW w:type="dxa" w:w="1700"/>
            <w:shd w:fill="FBF7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64A"/>
                <w:sz w:val="18"/>
                <w:szCs w:val="18"/>
              </w:rPr>
              <w:t xml:space="preserve">Aug 2026</w:t>
            </w:r>
          </w:p>
        </w:tc>
      </w:tr>
    </w:tbl>
    <w:p>
      <w:pPr>
        <w:spacing w:after="280"/>
      </w:pPr>
    </w:p>
    <w:p>
      <w:pPr>
        <w:pBdr>
          <w:top w:val="single" w:color="D9D9D9" w:sz="4" w:space="6"/>
        </w:pBdr>
        <w:spacing w:after="40" w:before="200"/>
        <w:jc w:val="center"/>
      </w:pPr>
      <w:r>
        <w:rPr>
          <w:rFonts w:ascii="Calibri" w:cs="Calibri" w:eastAsia="Calibri" w:hAnsi="Calibri"/>
          <w:i/>
          <w:iCs/>
          <w:color w:val="8A8A8A"/>
          <w:sz w:val="17"/>
          <w:szCs w:val="17"/>
        </w:rPr>
        <w:t xml:space="preserve">Document Owner: Business Analysis Team · IndoSynth Gramin Bank BI Project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8A8A8A"/>
          <w:sz w:val="17"/>
          <w:szCs w:val="17"/>
        </w:rPr>
        <w:t xml:space="preserve">Standard: IEEE 830 / ISO/IEC 29148 aligned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A8A8A"/>
          <w:sz w:val="17"/>
          <w:szCs w:val="17"/>
        </w:rPr>
        <w:t xml:space="preserve">Last Reviewed: August 2026 · Next Review: February 2027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jc w:val="center"/>
    </w:pPr>
    <w:r>
      <w:rPr>
        <w:rFonts w:ascii="Calibri" w:cs="Calibri" w:eastAsia="Calibri" w:hAnsi="Calibri"/>
        <w:color w:val="8A8A8A"/>
        <w:sz w:val="16"/>
        <w:szCs w:val="16"/>
      </w:rPr>
      <w:t xml:space="preserve">Page </w:t>
    </w:r>
    <w:r>
      <w:rPr>
        <w:rFonts w:ascii="Calibri" w:cs="Calibri" w:eastAsia="Calibri" w:hAnsi="Calibri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A8A8A"/>
        <w:sz w:val="16"/>
        <w:szCs w:val="16"/>
      </w:rPr>
      <w:t xml:space="preserve"> of </w:t>
    </w:r>
    <w:r>
      <w:rPr>
        <w:rFonts w:ascii="Calibri" w:cs="Calibri" w:eastAsia="Calibri" w:hAnsi="Calibri"/>
        <w:color w:val="8A8A8A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8A8A8A"/>
        <w:sz w:val="16"/>
        <w:szCs w:val="16"/>
      </w:rPr>
      <w:t xml:space="preserve">   ·   Internal — Restricted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tabs>
        <w:tab w:val="right" w:pos="9026"/>
      </w:tabs>
    </w:pPr>
    <w:r>
      <w:rPr>
        <w:rFonts w:ascii="Calibri" w:cs="Calibri" w:eastAsia="Calibri" w:hAnsi="Calibri"/>
        <w:color w:val="8A8A8A"/>
        <w:sz w:val="16"/>
        <w:szCs w:val="16"/>
      </w:rPr>
      <w:t xml:space="preserve">IndoSynth Gramin Bank · SRS</w:t>
    </w:r>
    <w:r>
      <w:rPr>
        <w:rFonts w:ascii="Calibri" w:cs="Calibri" w:eastAsia="Calibri" w:hAnsi="Calibri"/>
        <w:color w:val="8A8A8A"/>
        <w:sz w:val="16"/>
        <w:szCs w:val="16"/>
      </w:rPr>
      <w:t xml:space="preserve">	IGB-SRS-2026-v1.0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  <w:rPr>
        <w:color w:val="B76E7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4464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2026-08-11T09:42:31.151Z</dcterms:created>
  <dcterms:modified xsi:type="dcterms:W3CDTF">2026-08-11T09:42:31.152Z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