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300" w:lineRule="auto"/>
        <w:jc w:val="center"/>
      </w:pPr>
      <w:r>
        <w:rPr>
          <w:rFonts w:ascii="Times New Roman" w:hAnsi="Times New Roman"/>
          <w:b/>
          <w:i w:val="0"/>
          <w:color w:val="000000"/>
          <w:sz w:val="26"/>
        </w:rPr>
        <w:t>A PRELIMINARY REPORT</w:t>
      </w:r>
    </w:p>
    <w:p>
      <w:pPr>
        <w:spacing w:before="40" w:after="200" w:line="300" w:lineRule="auto"/>
        <w:jc w:val="center"/>
      </w:pPr>
      <w:r>
        <w:rPr>
          <w:rFonts w:ascii="Times New Roman" w:hAnsi="Times New Roman"/>
          <w:b/>
          <w:i w:val="0"/>
          <w:color w:val="000000"/>
          <w:sz w:val="24"/>
        </w:rPr>
        <w:t>ON</w:t>
      </w:r>
    </w:p>
    <w:p>
      <w:pPr>
        <w:spacing w:before="80" w:after="240" w:line="300" w:lineRule="auto"/>
        <w:jc w:val="center"/>
      </w:pPr>
      <w:r>
        <w:rPr>
          <w:rFonts w:ascii="Times New Roman" w:hAnsi="Times New Roman"/>
          <w:b/>
          <w:i w:val="0"/>
          <w:color w:val="000000"/>
          <w:sz w:val="30"/>
        </w:rPr>
        <w:t>NEUROSHIELD: A DUAL-CORE EXPLAINABLE AI INTRUSION DETECTION SYSTEM (IDS) FOR MULTI-STAGE THREAT PREDICTION IN SMART MANUFACTURING</w:t>
      </w:r>
    </w:p>
    <w:p>
      <w:pPr>
        <w:spacing w:before="80" w:after="40" w:line="300" w:lineRule="auto"/>
        <w:jc w:val="center"/>
      </w:pPr>
      <w:r>
        <w:rPr>
          <w:rFonts w:ascii="Times New Roman" w:hAnsi="Times New Roman"/>
          <w:b/>
          <w:i w:val="0"/>
          <w:color w:val="000000"/>
          <w:sz w:val="22"/>
        </w:rPr>
        <w:t>SUBMITTED TO THE SAVITRIBAI PHULE PUNE UNIVERSITY, PUNE</w:t>
      </w:r>
    </w:p>
    <w:p>
      <w:pPr>
        <w:spacing w:before="20" w:after="20" w:line="300" w:lineRule="auto"/>
        <w:jc w:val="center"/>
      </w:pPr>
      <w:r>
        <w:rPr>
          <w:rFonts w:ascii="Times New Roman" w:hAnsi="Times New Roman"/>
          <w:b w:val="0"/>
          <w:i w:val="0"/>
          <w:color w:val="000000"/>
          <w:sz w:val="21"/>
        </w:rPr>
        <w:t>IN THE PARTIAL FULFILLMENT OF THE REQUIREMENTS</w:t>
      </w:r>
    </w:p>
    <w:p>
      <w:pPr>
        <w:spacing w:before="20" w:after="20" w:line="300" w:lineRule="auto"/>
        <w:jc w:val="center"/>
      </w:pPr>
      <w:r>
        <w:rPr>
          <w:rFonts w:ascii="Times New Roman" w:hAnsi="Times New Roman"/>
          <w:b w:val="0"/>
          <w:i w:val="0"/>
          <w:color w:val="000000"/>
          <w:sz w:val="21"/>
        </w:rPr>
        <w:t>FOR THE AWARD OF THE DEGREE</w:t>
      </w:r>
    </w:p>
    <w:p>
      <w:pPr>
        <w:spacing w:before="20" w:after="40" w:line="300" w:lineRule="auto"/>
        <w:jc w:val="center"/>
      </w:pPr>
      <w:r>
        <w:rPr>
          <w:rFonts w:ascii="Times New Roman" w:hAnsi="Times New Roman"/>
          <w:b w:val="0"/>
          <w:i w:val="0"/>
          <w:color w:val="000000"/>
          <w:sz w:val="21"/>
        </w:rPr>
        <w:t>OF</w:t>
      </w:r>
    </w:p>
    <w:p>
      <w:pPr>
        <w:spacing w:before="40" w:after="20" w:line="300" w:lineRule="auto"/>
        <w:jc w:val="center"/>
      </w:pPr>
      <w:r>
        <w:rPr>
          <w:rFonts w:ascii="Times New Roman" w:hAnsi="Times New Roman"/>
          <w:b/>
          <w:i w:val="0"/>
          <w:color w:val="000000"/>
          <w:sz w:val="24"/>
        </w:rPr>
        <w:t>BACHELOR OF ENGINEERING</w:t>
      </w:r>
    </w:p>
    <w:p>
      <w:pPr>
        <w:spacing w:before="20" w:after="160" w:line="300" w:lineRule="auto"/>
        <w:jc w:val="center"/>
      </w:pPr>
      <w:r>
        <w:rPr>
          <w:rFonts w:ascii="Times New Roman" w:hAnsi="Times New Roman"/>
          <w:b/>
          <w:i w:val="0"/>
          <w:color w:val="000000"/>
          <w:sz w:val="24"/>
        </w:rPr>
        <w:t>(ARTIFICIAL INTELLIGENCE AND DATA SCIENCE)</w:t>
      </w:r>
    </w:p>
    <w:p>
      <w:pPr>
        <w:spacing w:before="40" w:after="80" w:line="300" w:lineRule="auto"/>
        <w:jc w:val="center"/>
      </w:pPr>
      <w:r>
        <w:rPr>
          <w:rFonts w:ascii="Times New Roman" w:hAnsi="Times New Roman"/>
          <w:b/>
          <w:i w:val="0"/>
          <w:color w:val="000000"/>
          <w:sz w:val="22"/>
        </w:rPr>
        <w:t>SUBMITTED BY</w:t>
      </w:r>
    </w:p>
    <w:tbl>
      <w:tblPr>
        <w:tblW w:type="auto" w:w="0"/>
        <w:jc w:val="center"/>
        <w:tblLook w:firstColumn="1" w:firstRow="1" w:lastColumn="0" w:lastRow="0" w:noHBand="0" w:noVBand="1" w:val="04A0"/>
      </w:tblPr>
      <w:tblGrid>
        <w:gridCol w:w="4809"/>
        <w:gridCol w:w="4809"/>
      </w:tblGrid>
      <w:tr>
        <w:tc>
          <w:tcPr>
            <w:tcW w:type="dxa" w:w="4896"/>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0"/>
              </w:rPr>
              <w:t>STUDENT NAME</w:t>
            </w:r>
          </w:p>
        </w:tc>
        <w:tc>
          <w:tcPr>
            <w:tcW w:type="dxa" w:w="288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0"/>
              </w:rPr>
              <w:t>EXAM SEAT NO</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Yash Mahendra Dhongade (Leader)</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BEAD23118</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Milan T Roy</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BEAD23119</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Aditya Prakash Rade</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BEAD23167</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Prathamesh Samadhan Chavan</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BEAD23105</w:t>
            </w:r>
          </w:p>
        </w:tc>
      </w:tr>
    </w:tbl>
    <w:p>
      <w:pPr>
        <w:spacing w:before="160" w:after="40" w:line="300" w:lineRule="auto"/>
        <w:jc w:val="center"/>
      </w:pPr>
      <w:r>
        <w:rPr>
          <w:rFonts w:ascii="Times New Roman" w:hAnsi="Times New Roman"/>
          <w:b w:val="0"/>
          <w:i w:val="0"/>
          <w:color w:val="000000"/>
          <w:sz w:val="22"/>
        </w:rPr>
        <w:t>Under the guidance of</w:t>
      </w:r>
    </w:p>
    <w:p>
      <w:pPr>
        <w:spacing w:before="20" w:after="160" w:line="300" w:lineRule="auto"/>
        <w:jc w:val="center"/>
      </w:pPr>
      <w:r>
        <w:rPr>
          <w:rFonts w:ascii="Times New Roman" w:hAnsi="Times New Roman"/>
          <w:b/>
          <w:i w:val="0"/>
          <w:color w:val="000000"/>
          <w:sz w:val="24"/>
        </w:rPr>
        <w:t>Mrs. Reena Sahane &amp; Mrs. Ashwini Dhumal</w:t>
      </w:r>
    </w:p>
    <w:p>
      <w:pPr>
        <w:spacing w:before="120" w:after="80"/>
        <w:jc w:val="center"/>
      </w:pPr>
      <w:r>
        <w:drawing>
          <wp:inline xmlns:a="http://schemas.openxmlformats.org/drawingml/2006/main" xmlns:pic="http://schemas.openxmlformats.org/drawingml/2006/picture">
            <wp:extent cx="1371600" cy="1548190"/>
            <wp:docPr id="1" name="Picture 1"/>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371600" cy="1548190"/>
                    </a:xfrm>
                    <a:prstGeom prst="rect"/>
                  </pic:spPr>
                </pic:pic>
              </a:graphicData>
            </a:graphic>
          </wp:inline>
        </w:drawing>
      </w:r>
    </w:p>
    <w:p>
      <w:pPr>
        <w:spacing w:before="80" w:after="40" w:line="300" w:lineRule="auto"/>
        <w:jc w:val="center"/>
      </w:pPr>
      <w:r>
        <w:rPr>
          <w:rFonts w:ascii="Times New Roman" w:hAnsi="Times New Roman"/>
          <w:b/>
          <w:i w:val="0"/>
          <w:color w:val="000000"/>
          <w:sz w:val="24"/>
        </w:rPr>
        <w:t>DEPARTMENT OF ARTIFICIAL INTELLIGENCE AND DATA SCIENCE</w:t>
      </w:r>
    </w:p>
    <w:p>
      <w:pPr>
        <w:spacing w:before="40" w:after="40" w:line="300" w:lineRule="auto"/>
        <w:jc w:val="center"/>
      </w:pPr>
      <w:r>
        <w:rPr>
          <w:rFonts w:ascii="Times New Roman" w:hAnsi="Times New Roman"/>
          <w:b/>
          <w:i w:val="0"/>
          <w:color w:val="000000"/>
          <w:sz w:val="25"/>
        </w:rPr>
        <w:t>DR. D.Y.PATIL INSTITUTE OF ENGINEERING, MANAGEMENT &amp; RESEARCH</w:t>
      </w:r>
    </w:p>
    <w:p>
      <w:pPr>
        <w:spacing w:before="20" w:after="40" w:line="300" w:lineRule="auto"/>
        <w:jc w:val="center"/>
      </w:pPr>
      <w:r>
        <w:rPr>
          <w:rFonts w:ascii="Times New Roman" w:hAnsi="Times New Roman"/>
          <w:b/>
          <w:i w:val="0"/>
          <w:color w:val="000000"/>
          <w:sz w:val="22"/>
        </w:rPr>
        <w:t>AKURDI, PUNE 411044</w:t>
      </w:r>
    </w:p>
    <w:p>
      <w:pPr>
        <w:spacing w:before="40" w:after="20" w:line="300" w:lineRule="auto"/>
        <w:jc w:val="center"/>
      </w:pPr>
      <w:r>
        <w:rPr>
          <w:rFonts w:ascii="Times New Roman" w:hAnsi="Times New Roman"/>
          <w:b/>
          <w:i w:val="0"/>
          <w:color w:val="000000"/>
          <w:sz w:val="23"/>
        </w:rPr>
        <w:t>SAVITRIBAI PHULE PUNE UNIVERSITY</w:t>
      </w:r>
    </w:p>
    <w:p>
      <w:pPr>
        <w:spacing w:before="20" w:after="120" w:line="300" w:lineRule="auto"/>
        <w:jc w:val="center"/>
      </w:pPr>
      <w:r>
        <w:rPr>
          <w:rFonts w:ascii="Times New Roman" w:hAnsi="Times New Roman"/>
          <w:b/>
          <w:i w:val="0"/>
          <w:color w:val="000000"/>
          <w:sz w:val="22"/>
        </w:rPr>
        <w:t>2026-2027</w:t>
      </w:r>
    </w:p>
    <w:p>
      <w:r>
        <w:br w:type="page"/>
      </w:r>
    </w:p>
    <w:p>
      <w:pPr>
        <w:spacing w:before="120" w:after="80"/>
        <w:jc w:val="center"/>
      </w:pPr>
      <w:r>
        <w:drawing>
          <wp:inline xmlns:a="http://schemas.openxmlformats.org/drawingml/2006/main" xmlns:pic="http://schemas.openxmlformats.org/drawingml/2006/picture">
            <wp:extent cx="1280160" cy="1444978"/>
            <wp:docPr id="2" name="Picture 2"/>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280160" cy="1444978"/>
                    </a:xfrm>
                    <a:prstGeom prst="rect"/>
                  </pic:spPr>
                </pic:pic>
              </a:graphicData>
            </a:graphic>
          </wp:inline>
        </w:drawing>
      </w:r>
    </w:p>
    <w:p>
      <w:pPr>
        <w:spacing w:before="80" w:after="200" w:line="300" w:lineRule="auto"/>
        <w:jc w:val="center"/>
      </w:pPr>
      <w:r>
        <w:rPr>
          <w:rFonts w:ascii="Times New Roman" w:hAnsi="Times New Roman"/>
          <w:b/>
          <w:i w:val="0"/>
          <w:color w:val="000000"/>
          <w:sz w:val="28"/>
        </w:rPr>
        <w:t>CERTIFICATE</w:t>
      </w:r>
    </w:p>
    <w:p>
      <w:pPr>
        <w:spacing w:before="80" w:after="120" w:line="300" w:lineRule="auto"/>
        <w:jc w:val="both"/>
      </w:pPr>
      <w:r>
        <w:rPr>
          <w:rFonts w:ascii="Times New Roman" w:hAnsi="Times New Roman"/>
          <w:b w:val="0"/>
          <w:i w:val="0"/>
          <w:color w:val="000000"/>
          <w:sz w:val="23"/>
        </w:rPr>
        <w:t>This is to certify that the project report entitled "NEUROSHIELD: A DUAL-CORE EXPLAINABLE AI INTRUSION DETECTION SYSTEM (IDS) FOR MULTI-STAGE THREAT PREDICTION IN SMART MANUFACTURING" submitted by:</w:t>
      </w:r>
    </w:p>
    <w:tbl>
      <w:tblPr>
        <w:tblW w:type="auto" w:w="0"/>
        <w:jc w:val="center"/>
        <w:tblLook w:firstColumn="1" w:firstRow="1" w:lastColumn="0" w:lastRow="0" w:noHBand="0" w:noVBand="1" w:val="04A0"/>
      </w:tblPr>
      <w:tblGrid>
        <w:gridCol w:w="4809"/>
        <w:gridCol w:w="4809"/>
      </w:tblGrid>
      <w:tr>
        <w:tc>
          <w:tcPr>
            <w:tcW w:type="dxa" w:w="4896"/>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0"/>
              </w:rPr>
              <w:t>STUDENT NAME</w:t>
            </w:r>
          </w:p>
        </w:tc>
        <w:tc>
          <w:tcPr>
            <w:tcW w:type="dxa" w:w="288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20"/>
              </w:rPr>
              <w:t>EXAM SEAT NO</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Yash Mahendra Dhongade (Leader)</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BEAD23118</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Milan T Roy</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BEAD23119</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Aditya Prakash Rade</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BEAD23167</w:t>
            </w:r>
          </w:p>
        </w:tc>
      </w:tr>
      <w:tr>
        <w:tc>
          <w:tcPr>
            <w:tcW w:type="dxa" w:w="489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20"/>
              </w:rPr>
              <w:t>Prathamesh Samadhan Chavan</w:t>
            </w:r>
          </w:p>
        </w:tc>
        <w:tc>
          <w:tcPr>
            <w:tcW w:type="dxa" w:w="288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20"/>
              </w:rPr>
              <w:t>BEAD23105</w:t>
            </w:r>
          </w:p>
        </w:tc>
      </w:tr>
    </w:tbl>
    <w:p>
      <w:pPr>
        <w:spacing w:before="200" w:after="400" w:line="300" w:lineRule="auto"/>
        <w:jc w:val="both"/>
      </w:pPr>
      <w:r>
        <w:rPr>
          <w:rFonts w:ascii="Times New Roman" w:hAnsi="Times New Roman"/>
          <w:b w:val="0"/>
          <w:i w:val="0"/>
          <w:color w:val="000000"/>
          <w:sz w:val="23"/>
        </w:rPr>
        <w:t>is a bonafide student of this institute and the work has been carried out by him/her under the supervision of Mrs. Reena Sahane and Mrs. Ashwini Dhumal, and it is approved for the partial fulfillment of the requirement of Savitribai Phule Pune University, for the award of the degree of Bachelor of Engineering (Artificial Intelligence and Data Science).</w:t>
      </w:r>
    </w:p>
    <w:tbl>
      <w:tblPr>
        <w:tblW w:type="auto" w:w="0"/>
        <w:jc w:val="center"/>
        <w:tblLook w:firstColumn="1" w:firstRow="1" w:lastColumn="0" w:lastRow="0" w:noHBand="0" w:noVBand="1" w:val="04A0"/>
      </w:tblPr>
      <w:tblGrid>
        <w:gridCol w:w="3206"/>
        <w:gridCol w:w="3206"/>
        <w:gridCol w:w="3206"/>
      </w:tblGrid>
      <w:tr>
        <w:tc>
          <w:tcPr>
            <w:tcW w:type="dxa" w:w="3168"/>
          </w:tcPr>
          <w:p>
            <w:pPr>
              <w:jc w:val="center"/>
            </w:pPr>
            <w:r>
              <w:rPr>
                <w:rFonts w:ascii="Times New Roman" w:hAnsi="Times New Roman"/>
                <w:b/>
                <w:sz w:val="20"/>
              </w:rPr>
              <w:t>Mrs. Reena Sahane</w:t>
              <w:br/>
              <w:t>Mrs. Ashwini Dhumal</w:t>
              <w:br/>
              <w:t>Guides</w:t>
              <w:br/>
              <w:t>Dept. of AI&amp;DS</w:t>
            </w:r>
          </w:p>
        </w:tc>
        <w:tc>
          <w:tcPr>
            <w:tcW w:type="dxa" w:w="3168"/>
          </w:tcPr>
          <w:p>
            <w:pPr>
              <w:jc w:val="center"/>
            </w:pPr>
            <w:r>
              <w:rPr>
                <w:rFonts w:ascii="Times New Roman" w:hAnsi="Times New Roman"/>
                <w:b/>
                <w:sz w:val="20"/>
              </w:rPr>
              <w:t>Dr. Suvarna Patil</w:t>
              <w:br/>
              <w:t>HOD</w:t>
              <w:br/>
              <w:t>Dept. of AI&amp;DS</w:t>
            </w:r>
          </w:p>
        </w:tc>
        <w:tc>
          <w:tcPr>
            <w:tcW w:type="dxa" w:w="3168"/>
          </w:tcPr>
          <w:p>
            <w:pPr>
              <w:jc w:val="center"/>
            </w:pPr>
            <w:r>
              <w:rPr>
                <w:rFonts w:ascii="Times New Roman" w:hAnsi="Times New Roman"/>
                <w:b/>
                <w:sz w:val="20"/>
              </w:rPr>
              <w:t>Dr. Anupama V. Patil</w:t>
              <w:br/>
              <w:t>Principal</w:t>
              <w:br/>
              <w:t>DYPIEMR, Akurdi, Pune</w:t>
            </w:r>
          </w:p>
        </w:tc>
      </w:tr>
      <w:tr>
        <w:tc>
          <w:tcPr>
            <w:tcW w:type="dxa" w:w="3168"/>
          </w:tcPr>
          <w:p/>
        </w:tc>
        <w:tc>
          <w:tcPr>
            <w:tcW w:type="dxa" w:w="3168"/>
          </w:tcPr>
          <w:p/>
        </w:tc>
        <w:tc>
          <w:tcPr>
            <w:tcW w:type="dxa" w:w="3168"/>
          </w:tcPr>
          <w:p/>
        </w:tc>
      </w:tr>
    </w:tbl>
    <w:p>
      <w:pPr>
        <w:spacing w:before="320" w:after="80" w:line="300" w:lineRule="auto"/>
        <w:jc w:val="left"/>
      </w:pPr>
      <w:r>
        <w:rPr>
          <w:rFonts w:ascii="Times New Roman" w:hAnsi="Times New Roman"/>
          <w:b w:val="0"/>
          <w:i w:val="0"/>
          <w:color w:val="000000"/>
          <w:sz w:val="22"/>
        </w:rPr>
        <w:t>Place : Pune</w:t>
        <w:br/>
        <w:t>Date :</w:t>
      </w:r>
    </w:p>
    <w:p>
      <w:r>
        <w:br w:type="page"/>
      </w:r>
    </w:p>
    <w:p>
      <w:pPr>
        <w:spacing w:before="280" w:after="160" w:line="300" w:lineRule="auto"/>
        <w:jc w:val="center"/>
      </w:pPr>
      <w:r>
        <w:rPr>
          <w:rFonts w:ascii="Times New Roman" w:hAnsi="Times New Roman"/>
          <w:b/>
          <w:i w:val="0"/>
          <w:color w:val="000000"/>
          <w:sz w:val="28"/>
        </w:rPr>
        <w:t>ACKNOWLEDGEMENT</w:t>
      </w:r>
    </w:p>
    <w:p>
      <w:pPr>
        <w:spacing w:before="120" w:after="120" w:line="300" w:lineRule="auto"/>
        <w:jc w:val="both"/>
      </w:pPr>
      <w:r>
        <w:rPr>
          <w:rFonts w:ascii="Times New Roman" w:hAnsi="Times New Roman"/>
          <w:b w:val="0"/>
          <w:i w:val="0"/>
          <w:color w:val="000000"/>
          <w:sz w:val="24"/>
        </w:rPr>
        <w:t>It gives us great pleasure in presenting the preliminary project report on "NeuroShield: A Dual-Core Explainable AI Intrusion Detection System (IDS) for Multi-Stage Threat Prediction in Smart Manufacturing". We express our deepest sense of gratitude to our internal guides, Mrs. Reena Sahane and Mrs. Ashwini Dhumal, for their invaluable guidance, constant motivation, and insightful technical feedback throughout this research work.</w:t>
      </w:r>
    </w:p>
    <w:p>
      <w:pPr>
        <w:spacing w:before="120" w:after="120" w:line="300" w:lineRule="auto"/>
        <w:jc w:val="both"/>
      </w:pPr>
      <w:r>
        <w:rPr>
          <w:rFonts w:ascii="Times New Roman" w:hAnsi="Times New Roman"/>
          <w:b w:val="0"/>
          <w:i w:val="0"/>
          <w:color w:val="000000"/>
          <w:sz w:val="24"/>
        </w:rPr>
        <w:t>We are immensely thankful to Dr. Suvarna Patil, Head of Artificial Intelligence and Data Science Department, Dr. D.Y. Patil Institute of Engineering, Management &amp; Research, Akurdi, Pune, for granting us access to laboratory facilities, high-performance computing resources, and institutional encouragement.</w:t>
      </w:r>
    </w:p>
    <w:p>
      <w:pPr>
        <w:spacing w:before="120" w:after="120" w:line="300" w:lineRule="auto"/>
        <w:jc w:val="both"/>
      </w:pPr>
      <w:r>
        <w:rPr>
          <w:rFonts w:ascii="Times New Roman" w:hAnsi="Times New Roman"/>
          <w:b w:val="0"/>
          <w:i w:val="0"/>
          <w:color w:val="000000"/>
          <w:sz w:val="24"/>
        </w:rPr>
        <w:t>We extend our sincere gratitude to Dr. Anupama V. Patil, Principal, for fostering an academic environment dedicated to advanced research and innovation. We also thank our project coordinators, teaching faculty, and technical assistants for their continuous assistance.</w:t>
      </w:r>
    </w:p>
    <w:p>
      <w:pPr>
        <w:spacing w:before="120" w:after="320" w:line="300" w:lineRule="auto"/>
        <w:jc w:val="both"/>
      </w:pPr>
      <w:r>
        <w:rPr>
          <w:rFonts w:ascii="Times New Roman" w:hAnsi="Times New Roman"/>
          <w:b w:val="0"/>
          <w:i w:val="0"/>
          <w:color w:val="000000"/>
          <w:sz w:val="24"/>
        </w:rPr>
        <w:t>Lastly, we wish to express our appreciation to our parents, family members, and classmates for their enduring moral support and cooperation throughout the preparation of this report.</w:t>
      </w:r>
    </w:p>
    <w:tbl>
      <w:tblPr>
        <w:tblW w:type="auto" w:w="0"/>
        <w:jc w:val="center"/>
        <w:tblLook w:firstColumn="1" w:firstRow="1" w:lastColumn="0" w:lastRow="0" w:noHBand="0" w:noVBand="1" w:val="04A0"/>
      </w:tblPr>
      <w:tblGrid>
        <w:gridCol w:w="4809"/>
        <w:gridCol w:w="4809"/>
      </w:tblGrid>
      <w:tr>
        <w:tc>
          <w:tcPr>
            <w:tcW w:type="dxa" w:w="5040"/>
          </w:tcPr>
          <w:p>
            <w:r>
              <w:rPr>
                <w:b/>
              </w:rPr>
              <w:t>Name of Student</w:t>
            </w:r>
          </w:p>
        </w:tc>
        <w:tc>
          <w:tcPr>
            <w:tcW w:type="dxa" w:w="2880"/>
          </w:tcPr>
          <w:p>
            <w:r>
              <w:rPr>
                <w:b/>
              </w:rPr>
              <w:t>Sign</w:t>
            </w:r>
          </w:p>
        </w:tc>
      </w:tr>
      <w:tr>
        <w:tc>
          <w:tcPr>
            <w:tcW w:type="dxa" w:w="5040"/>
          </w:tcPr>
          <w:p>
            <w:r>
              <w:rPr>
                <w:sz w:val="20"/>
              </w:rPr>
              <w:t>Yash Mahendra Dhongade (Leader)</w:t>
            </w:r>
          </w:p>
        </w:tc>
        <w:tc>
          <w:tcPr>
            <w:tcW w:type="dxa" w:w="2880"/>
          </w:tcPr>
          <w:p>
            <w:r>
              <w:rPr>
                <w:sz w:val="20"/>
              </w:rPr>
              <w:t>____________________</w:t>
            </w:r>
          </w:p>
        </w:tc>
      </w:tr>
      <w:tr>
        <w:tc>
          <w:tcPr>
            <w:tcW w:type="dxa" w:w="5040"/>
          </w:tcPr>
          <w:p>
            <w:r>
              <w:rPr>
                <w:sz w:val="20"/>
              </w:rPr>
              <w:t>Milan T Roy</w:t>
            </w:r>
          </w:p>
        </w:tc>
        <w:tc>
          <w:tcPr>
            <w:tcW w:type="dxa" w:w="2880"/>
          </w:tcPr>
          <w:p>
            <w:r>
              <w:rPr>
                <w:sz w:val="20"/>
              </w:rPr>
              <w:t>____________________</w:t>
            </w:r>
          </w:p>
        </w:tc>
      </w:tr>
      <w:tr>
        <w:tc>
          <w:tcPr>
            <w:tcW w:type="dxa" w:w="5040"/>
          </w:tcPr>
          <w:p>
            <w:r>
              <w:rPr>
                <w:sz w:val="20"/>
              </w:rPr>
              <w:t>Aditya Prakash Rade</w:t>
            </w:r>
          </w:p>
        </w:tc>
        <w:tc>
          <w:tcPr>
            <w:tcW w:type="dxa" w:w="2880"/>
          </w:tcPr>
          <w:p>
            <w:r>
              <w:rPr>
                <w:sz w:val="20"/>
              </w:rPr>
              <w:t>____________________</w:t>
            </w:r>
          </w:p>
        </w:tc>
      </w:tr>
      <w:tr>
        <w:tc>
          <w:tcPr>
            <w:tcW w:type="dxa" w:w="5040"/>
          </w:tcPr>
          <w:p>
            <w:r>
              <w:rPr>
                <w:sz w:val="20"/>
              </w:rPr>
              <w:t>Prathamesh Samadhan Chavan</w:t>
            </w:r>
          </w:p>
        </w:tc>
        <w:tc>
          <w:tcPr>
            <w:tcW w:type="dxa" w:w="2880"/>
          </w:tcPr>
          <w:p>
            <w:r>
              <w:rPr>
                <w:sz w:val="20"/>
              </w:rPr>
              <w:t>____________________</w:t>
            </w:r>
          </w:p>
        </w:tc>
      </w:tr>
    </w:tbl>
    <w:p>
      <w:pPr>
        <w:spacing w:before="160" w:after="80" w:line="300" w:lineRule="auto"/>
        <w:jc w:val="left"/>
      </w:pPr>
      <w:r>
        <w:rPr>
          <w:rFonts w:ascii="Times New Roman" w:hAnsi="Times New Roman"/>
          <w:b/>
          <w:i w:val="0"/>
          <w:color w:val="000000"/>
          <w:sz w:val="22"/>
        </w:rPr>
        <w:t>(BE Artificial Intelligence and Data Science)</w:t>
      </w:r>
    </w:p>
    <w:p>
      <w:r>
        <w:br w:type="page"/>
      </w:r>
    </w:p>
    <w:p>
      <w:pPr>
        <w:spacing w:before="280" w:after="160" w:line="300" w:lineRule="auto"/>
        <w:jc w:val="center"/>
      </w:pPr>
      <w:r>
        <w:rPr>
          <w:rFonts w:ascii="Times New Roman" w:hAnsi="Times New Roman"/>
          <w:b/>
          <w:i w:val="0"/>
          <w:color w:val="000000"/>
          <w:sz w:val="28"/>
        </w:rPr>
        <w:t>ABSTRACT</w:t>
      </w:r>
    </w:p>
    <w:p>
      <w:pPr>
        <w:spacing w:before="120" w:after="120" w:line="300" w:lineRule="auto"/>
        <w:jc w:val="both"/>
      </w:pPr>
      <w:r>
        <w:rPr>
          <w:rFonts w:ascii="Times New Roman" w:hAnsi="Times New Roman"/>
          <w:b w:val="0"/>
          <w:i w:val="0"/>
          <w:color w:val="000000"/>
          <w:sz w:val="24"/>
        </w:rPr>
        <w:t>Smart manufacturing environments tightly integrate Information Technology (IT) networks with Operational Technology (OT) systems, including Programmable Logic Controllers (PLCs), Supervisory Control and Data Acquisition (SCADA) master stations, and Industrial Internet of Things (IIoT) sensors. While this convergence drives unprecedented manufacturing automation, it exposes fragile, unpatchable legacy machinery to devastating cyber-attacks, where compromised enterprise IT devices can directly manipulate physical industrial actuators. Distributed cyber-attacks like DDoS, port scanning, and botnets disrupt IIoT telemetry networks, while stealthy API abuse and abnormal process behavior compromise individual factory devices without triggering conventional network-level alarms.</w:t>
      </w:r>
    </w:p>
    <w:p>
      <w:pPr>
        <w:spacing w:before="120" w:after="120" w:line="300" w:lineRule="auto"/>
        <w:jc w:val="both"/>
      </w:pPr>
      <w:r>
        <w:rPr>
          <w:rFonts w:ascii="Times New Roman" w:hAnsi="Times New Roman"/>
          <w:b w:val="0"/>
          <w:i w:val="0"/>
          <w:color w:val="000000"/>
          <w:sz w:val="24"/>
        </w:rPr>
        <w:t>NeuroShield introduces an advanced, passive, non-intrusive Dual-Core Explainable AI Intrusion Detection System (IDS) engineered specifically for Smart Manufacturing environments. The architecture captures operational telemetry via network switch Port Mirroring (SPAN), eliminating operational latency and avoiding the installation of local software agents on fragile controllers. The system operates on a Dual-Core AI Architecture: Engine A employs a Convolutional Neural Network combined with Long Short-Term Memory (CNN-LSTM) to capture temporal sequence flows and detect distributed network attacks; concurrently, Engine B implements Graph Neural Networks (GNN) to model factory communication topologies, establishing an unsupervised normal baseline to detect zero-day anomalies, abnormal API command sequences, and IT-to-OT lateral movement.</w:t>
      </w:r>
    </w:p>
    <w:p>
      <w:pPr>
        <w:spacing w:before="120" w:after="160" w:line="300" w:lineRule="auto"/>
        <w:jc w:val="both"/>
      </w:pPr>
      <w:r>
        <w:rPr>
          <w:rFonts w:ascii="Times New Roman" w:hAnsi="Times New Roman"/>
          <w:b w:val="0"/>
          <w:i w:val="0"/>
          <w:color w:val="000000"/>
          <w:sz w:val="24"/>
        </w:rPr>
        <w:t>To overcome the 'black-box' opacity of deep learning in mission-critical facilities, NeuroShield incorporates an Explainable AI (XAI) layer utilizing SHAP, LIME, and GNNExplainer to translate complex machine learning representations into human-readable, actionable explanations. A Perturbation-based Trust Validator generates a verifiable Trust Score (75%–99%) confirming explanation robustness. Cross-domain alerts are correlated into the MITRE ATT&amp;CK for ICS framework with Markov-based predictive next-stage transitions, transforming industrial cybersecurity from reactive log inspection into a proactive, trustworthy early-warning defense system.</w:t>
      </w:r>
    </w:p>
    <w:p>
      <w:pPr>
        <w:spacing w:before="120" w:after="80" w:line="300" w:lineRule="auto"/>
        <w:jc w:val="both"/>
      </w:pPr>
      <w:r>
        <w:rPr>
          <w:rFonts w:ascii="Times New Roman" w:hAnsi="Times New Roman"/>
          <w:b/>
          <w:i w:val="0"/>
          <w:color w:val="000000"/>
          <w:sz w:val="22"/>
        </w:rPr>
        <w:t>Keywords: Smart Manufacturing, Industrial IoT (IIoT), IT-OT Security, Explainable AI, CNN-LSTM, Graph Neural Network, SHAP, LIME, GNNExplainer, Trust Score, Attack-Chain Prediction.</w:t>
      </w:r>
    </w:p>
    <w:p>
      <w:r>
        <w:br w:type="page"/>
      </w:r>
    </w:p>
    <w:p>
      <w:pPr>
        <w:spacing w:before="280" w:after="160" w:line="300" w:lineRule="auto"/>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Pr>
      <w:tblGrid>
        <w:gridCol w:w="3206"/>
        <w:gridCol w:w="3206"/>
        <w:gridCol w:w="3206"/>
      </w:tblGrid>
      <w:tr>
        <w:tc>
          <w:tcPr>
            <w:tcW w:type="dxa" w:w="115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Sr. No.</w:t>
            </w:r>
          </w:p>
        </w:tc>
        <w:tc>
          <w:tcPr>
            <w:tcW w:type="dxa" w:w="6624"/>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Chapter / Section Title</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Page No.</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Certificate</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ii</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Acknowledgement</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iii</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Abstract</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iv</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List of Abbreviations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vii</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List of Figures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viii</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List of Tables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ix</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01</w:t>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Introduction</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10</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1.1 Overview</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10</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1.2 Motivation</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10</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1.3 Problem Statement &amp; Objectives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11</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1.4 Project Scope &amp; Limitations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11</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1.5 Methodologies of Problem Solving</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11</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02</w:t>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Literature Survey</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12</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2.1 Survey of Existing Methods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12</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2.2 Comprehensive Literature Survey Table</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13</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2.3 Research Gaps Identified</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14</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03</w:t>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Software Requirements Specification (SRS)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15</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3.1 Project Scope &amp; Overview</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15</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3.2 User Classes &amp; Characteristics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15</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3.3 Assumptions &amp; Dependencies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16</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3.4 Mathematical Modeling &amp; Set Theory</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16</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3.5 Functional Requirements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18</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3.6 External Interface Requirements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19</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3.7 Non-Functional Requirements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20</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3.8 System Requirements (Hardware &amp; Software)</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21</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3.9 Analysis Models: SDLC Model to be Applied</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21</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3.10 System Implementation Plan</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22</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04</w:t>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System Design</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23</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4.1 System Architecture</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23</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4.2 Data Flow Diagrams (DFD Level 0, 1, 2)</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24</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4.3 Entity Relationship Diagrams (ERD)</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26</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4.4 UML Diagrams (Use Case, Sequence, Activity)</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27</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05</w:t>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Other Specification</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29</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5.1 Advantages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29</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5.2 Limitations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29</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5.3 Applications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29</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06</w:t>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Conclusion &amp; Future Work</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30</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6.1 Conclusion</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30</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6.2 Future Scope</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30</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Appendix A: Mathematical Feasibility &amp; NP Complexity</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31</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Appendix B: Intellectual Foundations &amp; Seed Research Papers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31</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07</w:t>
            </w:r>
          </w:p>
        </w:tc>
        <w:tc>
          <w:tcPr>
            <w:tcW w:type="dxa" w:w="662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References</w:t>
            </w:r>
          </w:p>
        </w:tc>
        <w:tc>
          <w:tcPr>
            <w:tcW w:type="dxa" w:w="144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32</w:t>
            </w:r>
          </w:p>
        </w:tc>
      </w:tr>
    </w:tbl>
    <w:p>
      <w:r>
        <w:br w:type="page"/>
      </w:r>
    </w:p>
    <w:p>
      <w:pPr>
        <w:spacing w:before="280" w:after="160" w:line="300" w:lineRule="auto"/>
        <w:jc w:val="center"/>
      </w:pPr>
      <w:r>
        <w:rPr>
          <w:rFonts w:ascii="Times New Roman" w:hAnsi="Times New Roman"/>
          <w:b/>
          <w:i w:val="0"/>
          <w:color w:val="000000"/>
          <w:sz w:val="28"/>
        </w:rPr>
        <w:t>LIST OF ABBREVIATIONS</w:t>
      </w:r>
    </w:p>
    <w:tbl>
      <w:tblPr>
        <w:tblW w:type="auto" w:w="0"/>
        <w:jc w:val="center"/>
        <w:tblLook w:firstColumn="1" w:firstRow="1" w:lastColumn="0" w:lastRow="0" w:noHBand="0" w:noVBand="1" w:val="04A0"/>
      </w:tblPr>
      <w:tblGrid>
        <w:gridCol w:w="4809"/>
        <w:gridCol w:w="4809"/>
      </w:tblGrid>
      <w:tr>
        <w:tc>
          <w:tcPr>
            <w:tcW w:type="dxa" w:w="2304"/>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Abbreviation</w:t>
            </w:r>
          </w:p>
        </w:tc>
        <w:tc>
          <w:tcPr>
            <w:tcW w:type="dxa" w:w="691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Illustration / Expansion</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SPAN</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Switched Port Analyzer (Port Mirroring)</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IIoT</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Industrial Internet of Things</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CPS</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Cyber-Physical Systems</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PLC</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Programmable Logic Controller</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SCADA</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Supervisory Control and Data Acquisition</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HMI</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Human-Machine Interface</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IDS</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Intrusion Detection System</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CNN</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Convolutional Neural Network</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LSTM</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Long Short-Term Memory</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GNN</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Graph Neural Network</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XAI</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Explainable Artificial Intelligence</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SHAP</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SHapley Additive exPlanations</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LIME</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Local Interpretable Model-agnostic Explanations</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MITRE ATT&amp;CK</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Adversarial Tactics, Techniques, and Common Knowledge</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SOC</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Security Operations Center</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MSSP</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Managed Security Service Provider</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API</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Application Programming Interface</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DFD</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Data Flow Diagram</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ERD</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Entity Relationship Diagram</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UML</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Unified Modeling Language</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SRS</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Software Requirements Specification</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SDLC</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Software Development Life Cycle</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NIST</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National Institute of Standards and Technology</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OT</w:t>
            </w:r>
          </w:p>
        </w:tc>
        <w:tc>
          <w:tcPr>
            <w:tcW w:type="dxa" w:w="691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Operational Technology</w:t>
            </w:r>
          </w:p>
        </w:tc>
      </w:tr>
    </w:tbl>
    <w:p>
      <w:r>
        <w:br w:type="page"/>
      </w:r>
    </w:p>
    <w:p>
      <w:pPr>
        <w:spacing w:before="280" w:after="160" w:line="300" w:lineRule="auto"/>
        <w:jc w:val="center"/>
      </w:pPr>
      <w:r>
        <w:rPr>
          <w:rFonts w:ascii="Times New Roman" w:hAnsi="Times New Roman"/>
          <w:b/>
          <w:i w:val="0"/>
          <w:color w:val="000000"/>
          <w:sz w:val="28"/>
        </w:rPr>
        <w:t>LIST OF FIGURES</w:t>
      </w:r>
    </w:p>
    <w:tbl>
      <w:tblPr>
        <w:tblW w:type="auto" w:w="0"/>
        <w:jc w:val="center"/>
        <w:tblLook w:firstColumn="1" w:firstRow="1" w:lastColumn="0" w:lastRow="0" w:noHBand="0" w:noVBand="1" w:val="04A0"/>
      </w:tblPr>
      <w:tblGrid>
        <w:gridCol w:w="3206"/>
        <w:gridCol w:w="3206"/>
        <w:gridCol w:w="3206"/>
      </w:tblGrid>
      <w:tr>
        <w:tc>
          <w:tcPr>
            <w:tcW w:type="dxa" w:w="172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Figure No.</w:t>
            </w:r>
          </w:p>
        </w:tc>
        <w:tc>
          <w:tcPr>
            <w:tcW w:type="dxa" w:w="6336"/>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Illustration / Caption</w:t>
            </w:r>
          </w:p>
        </w:tc>
        <w:tc>
          <w:tcPr>
            <w:tcW w:type="dxa" w:w="115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Page No.</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3.1</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Set Theory Mathematical Model for NeuroShield</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17</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3.2</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Agile AI-Security Development Lifecycle (SDLC) Model</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21</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3.3</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System Implementation Timeline (Gantt Chart)</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22</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4.1</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NeuroShield Dual-Core System Architecture</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23</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4.2</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Data Flow Diagram (DFD) Level 0 - Context Level</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24</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4.3</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Data Flow Diagram (DFD) Level 1 - System Decomposition</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25</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4.4</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Data Flow Diagram (DFD) Level 2 - Dual-Core Inference Flow</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25</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4.5</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Entity Relationship Diagram (ERD) Schema</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26</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4.6</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UML Use Case Diagram</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27</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4.7</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UML Sequence Diagram for Real-Time Threat Ingestion</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28</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Figure 4.8</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UML Activity Diagram for Threat Detection &amp; Mitigation</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28</w:t>
            </w:r>
          </w:p>
        </w:tc>
      </w:tr>
    </w:tbl>
    <w:p>
      <w:r>
        <w:br w:type="page"/>
      </w:r>
    </w:p>
    <w:p>
      <w:pPr>
        <w:spacing w:before="280" w:after="160" w:line="300" w:lineRule="auto"/>
        <w:jc w:val="center"/>
      </w:pPr>
      <w:r>
        <w:rPr>
          <w:rFonts w:ascii="Times New Roman" w:hAnsi="Times New Roman"/>
          <w:b/>
          <w:i w:val="0"/>
          <w:color w:val="000000"/>
          <w:sz w:val="28"/>
        </w:rPr>
        <w:t>LIST OF TABLES</w:t>
      </w:r>
    </w:p>
    <w:tbl>
      <w:tblPr>
        <w:tblW w:type="auto" w:w="0"/>
        <w:jc w:val="center"/>
        <w:tblLook w:firstColumn="1" w:firstRow="1" w:lastColumn="0" w:lastRow="0" w:noHBand="0" w:noVBand="1" w:val="04A0"/>
      </w:tblPr>
      <w:tblGrid>
        <w:gridCol w:w="3206"/>
        <w:gridCol w:w="3206"/>
        <w:gridCol w:w="3206"/>
      </w:tblGrid>
      <w:tr>
        <w:tc>
          <w:tcPr>
            <w:tcW w:type="dxa" w:w="172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Table No.</w:t>
            </w:r>
          </w:p>
        </w:tc>
        <w:tc>
          <w:tcPr>
            <w:tcW w:type="dxa" w:w="6336"/>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Illustration / Caption</w:t>
            </w:r>
          </w:p>
        </w:tc>
        <w:tc>
          <w:tcPr>
            <w:tcW w:type="dxa" w:w="115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9"/>
              </w:rPr>
              <w:t>Page No.</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Table 2.1</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Comprehensive Literature Survey Summary</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13</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Table 3.1</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Functional Requirements Specification</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18</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Table 3.2</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External Hardware &amp; Software Interfaces</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19</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Table 3.3</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Hardware and Software System Configuration</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21</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Table 3.4</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Project Stage-I Implementation Schedule</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22</w:t>
            </w:r>
          </w:p>
        </w:tc>
      </w:tr>
      <w:tr>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9"/>
              </w:rPr>
              <w:t>Table 4.1</w:t>
            </w:r>
          </w:p>
        </w:tc>
        <w:tc>
          <w:tcPr>
            <w:tcW w:type="dxa" w:w="633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Database Schema &amp; Entity Relational Definitions</w:t>
            </w:r>
          </w:p>
        </w:tc>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9"/>
              </w:rPr>
              <w:t>26</w:t>
            </w:r>
          </w:p>
        </w:tc>
      </w:tr>
    </w:tbl>
    <w:p>
      <w:r>
        <w:br w:type="page"/>
      </w:r>
    </w:p>
    <w:p>
      <w:pPr>
        <w:spacing w:before="280" w:after="160" w:line="300" w:lineRule="auto"/>
        <w:jc w:val="center"/>
      </w:pPr>
      <w:r>
        <w:rPr>
          <w:rFonts w:ascii="Times New Roman" w:hAnsi="Times New Roman"/>
          <w:b/>
          <w:i w:val="0"/>
          <w:color w:val="000000"/>
          <w:sz w:val="28"/>
        </w:rPr>
        <w:t>CHAPTER 1</w:t>
        <w:br/>
        <w:t>INTRODUCTION</w:t>
      </w:r>
    </w:p>
    <w:p>
      <w:pPr>
        <w:spacing w:before="200" w:after="80" w:line="300" w:lineRule="auto"/>
        <w:jc w:val="left"/>
      </w:pPr>
      <w:r>
        <w:rPr>
          <w:rFonts w:ascii="Times New Roman" w:hAnsi="Times New Roman"/>
          <w:b/>
          <w:i w:val="0"/>
          <w:color w:val="000000"/>
          <w:sz w:val="24"/>
        </w:rPr>
        <w:t>1.1 OVERVIEW</w:t>
      </w:r>
    </w:p>
    <w:p>
      <w:pPr>
        <w:spacing w:before="0" w:after="80" w:line="300" w:lineRule="auto"/>
        <w:jc w:val="both"/>
      </w:pPr>
      <w:r>
        <w:rPr>
          <w:rFonts w:ascii="Times New Roman" w:hAnsi="Times New Roman"/>
          <w:b w:val="0"/>
          <w:i w:val="0"/>
          <w:color w:val="000000"/>
          <w:sz w:val="24"/>
        </w:rPr>
        <w:t>Smart manufacturing environments represent the forefront of the fourth industrial revolution (Industry 4.0). Modern smart factories seamlessly interconnect Enterprise Information Technology (IT) with plant-floor Operational Technology (OT) networks. This interconnected industrial fabric relies on Industrial Internet of Things (IIoT) sensors, Programmable Logic Controllers (PLCs), Supervisory Control and Data Acquisition (SCADA) master stations, Human-Machine Interfaces (HMIs), and multi-axis robotic manipulators to automate high-speed assembly and manufacturing processes.</w:t>
      </w:r>
    </w:p>
    <w:p>
      <w:pPr>
        <w:spacing w:before="0" w:after="80" w:line="300" w:lineRule="auto"/>
        <w:jc w:val="both"/>
      </w:pPr>
      <w:r>
        <w:rPr>
          <w:rFonts w:ascii="Times New Roman" w:hAnsi="Times New Roman"/>
          <w:b w:val="0"/>
          <w:i w:val="0"/>
          <w:color w:val="000000"/>
          <w:sz w:val="24"/>
        </w:rPr>
        <w:t>However, dissolving the physical 'air gap' between corporate IT networks and industrial OT networks introduces severe cyber vulnerabilities. Attackers compromising corporate workstations can pivot across subnets and execute IT-to-OT lateral movement, issuing unauthorized setpoint commands to heavy machinery. Traditional industrial protocols (e.g., Modbus/TCP, Profinet, EtherNet/IP) contain no cryptographic authentication, allowing attackers to inject malicious control commands that can cause catastrophic physical machinery destruction, worker casualties, and severe financial losses.</w:t>
      </w:r>
    </w:p>
    <w:p>
      <w:pPr>
        <w:spacing w:before="200" w:after="80" w:line="300" w:lineRule="auto"/>
        <w:jc w:val="left"/>
      </w:pPr>
      <w:r>
        <w:rPr>
          <w:rFonts w:ascii="Times New Roman" w:hAnsi="Times New Roman"/>
          <w:b/>
          <w:i w:val="0"/>
          <w:color w:val="000000"/>
          <w:sz w:val="24"/>
        </w:rPr>
        <w:t>1.2 MOTIVATION</w:t>
      </w:r>
    </w:p>
    <w:p>
      <w:pPr>
        <w:spacing w:before="0" w:after="80" w:line="300" w:lineRule="auto"/>
        <w:jc w:val="both"/>
      </w:pPr>
      <w:r>
        <w:rPr>
          <w:rFonts w:ascii="Times New Roman" w:hAnsi="Times New Roman"/>
          <w:b w:val="0"/>
          <w:i w:val="0"/>
          <w:color w:val="000000"/>
          <w:sz w:val="24"/>
        </w:rPr>
        <w:t>Securing smart manufacturing environments presents unique operational constraints not encountered in conventional corporate IT. First, critical OT assets like PLCs and high-speed robotic arms run strict real-time deterministic control cycles. Installing intrusive endpoint agents on these controllers introduces computational latency that can disrupt production or void safety certifications. Second, fragile legacy machinery often runs obsolete operating systems that cannot be patched, necessitating passive network switch monitoring via Port Mirroring (SPAN).</w:t>
      </w:r>
    </w:p>
    <w:p>
      <w:pPr>
        <w:spacing w:before="0" w:after="80" w:line="300" w:lineRule="auto"/>
        <w:jc w:val="both"/>
      </w:pPr>
      <w:r>
        <w:rPr>
          <w:rFonts w:ascii="Times New Roman" w:hAnsi="Times New Roman"/>
          <w:b w:val="0"/>
          <w:i w:val="0"/>
          <w:color w:val="000000"/>
          <w:sz w:val="24"/>
        </w:rPr>
        <w:t>Third, existing AI-based Intrusion Detection Systems operate as opaque 'black boxes'. Plant operators cannot halt multi-million-dollar assembly lines based on unverified, unexplainable alerts. Conventional machine learning also lacks explanation reliability, making it impossible for security teams to verify whether an alarm is genuine or triggered by sensor noise. There is a pressing need for a dual-core architecture combining temporal network flow modeling with graph-based device interaction baselines, backed by transparent Explainable AI (XAI) and empirical trust validation.</w:t>
      </w:r>
    </w:p>
    <w:p>
      <w:pPr>
        <w:spacing w:before="200" w:after="80" w:line="300" w:lineRule="auto"/>
        <w:jc w:val="left"/>
      </w:pPr>
      <w:r>
        <w:rPr>
          <w:rFonts w:ascii="Times New Roman" w:hAnsi="Times New Roman"/>
          <w:b/>
          <w:i w:val="0"/>
          <w:color w:val="000000"/>
          <w:sz w:val="24"/>
        </w:rPr>
        <w:t>1.3 PROBLEM STATEMENT AND OBJECTIVES</w:t>
      </w:r>
    </w:p>
    <w:p>
      <w:pPr>
        <w:spacing w:before="120" w:after="40" w:line="300" w:lineRule="auto"/>
        <w:jc w:val="left"/>
      </w:pPr>
      <w:r>
        <w:rPr>
          <w:rFonts w:ascii="Times New Roman" w:hAnsi="Times New Roman"/>
          <w:b/>
          <w:i w:val="0"/>
          <w:color w:val="000000"/>
          <w:sz w:val="24"/>
        </w:rPr>
        <w:t>Problem Statement:</w:t>
      </w:r>
    </w:p>
    <w:p>
      <w:pPr>
        <w:spacing w:before="0" w:after="80" w:line="300" w:lineRule="auto"/>
        <w:jc w:val="both"/>
      </w:pPr>
      <w:r>
        <w:rPr>
          <w:rFonts w:ascii="Times New Roman" w:hAnsi="Times New Roman"/>
          <w:b/>
          <w:i w:val="0"/>
          <w:color w:val="000000"/>
          <w:sz w:val="24"/>
        </w:rPr>
        <w:t>To design and develop NeuroShield: a passive, real-time Dual-Core Explainable AI Intrusion Detection System (IDS) for smart manufacturing environments that captures industrial telemetry via network switch port mirroring (SPAN), detects distributed network flow attacks via CNN-LSTM networks and abnormal device/process lateral movement via Graph Neural Networks, provides human-readable explanations via SHAP, LIME, and GNNExplainer with verifiable trust scores, and predicts next-stage attack progression within the MITRE ATT&amp;CK for ICS framework.</w:t>
      </w:r>
    </w:p>
    <w:p>
      <w:pPr>
        <w:spacing w:before="120" w:after="40" w:line="300" w:lineRule="auto"/>
        <w:jc w:val="left"/>
      </w:pPr>
      <w:r>
        <w:rPr>
          <w:rFonts w:ascii="Times New Roman" w:hAnsi="Times New Roman"/>
          <w:b/>
          <w:i w:val="0"/>
          <w:color w:val="000000"/>
          <w:sz w:val="24"/>
        </w:rPr>
        <w:t>Objectives:</w:t>
      </w:r>
    </w:p>
    <w:p>
      <w:pPr>
        <w:pStyle w:val="ListParagraph"/>
        <w:spacing w:before="20" w:after="60" w:line="276" w:lineRule="auto"/>
      </w:pPr>
      <w:r>
        <w:rPr>
          <w:rFonts w:ascii="Times New Roman" w:hAnsi="Times New Roman"/>
          <w:sz w:val="24"/>
        </w:rPr>
        <w:t>1. Passive Real-Time SPAN Monitoring: Design a passive network monitoring mechanism using Port Mirroring (SPAN) that captures and analyzes network packets without operational disruption or latency to critical OT assets like PLCs and robotic arms.</w:t>
      </w:r>
    </w:p>
    <w:p>
      <w:pPr>
        <w:pStyle w:val="ListParagraph"/>
        <w:spacing w:before="20" w:after="60" w:line="276" w:lineRule="auto"/>
      </w:pPr>
      <w:r>
        <w:rPr>
          <w:rFonts w:ascii="Times New Roman" w:hAnsi="Times New Roman"/>
          <w:sz w:val="24"/>
        </w:rPr>
        <w:t>2. Unsupervised Graph Normal Baselines: Utilize Graph Neural Networks (GNN) to establish an unsupervised baseline of normal factory communication topologies, enabling the instant detection of zero-day anomalies and IT-to-OT lateral movement.</w:t>
      </w:r>
    </w:p>
    <w:p>
      <w:pPr>
        <w:pStyle w:val="ListParagraph"/>
        <w:spacing w:before="20" w:after="60" w:line="276" w:lineRule="auto"/>
      </w:pPr>
      <w:r>
        <w:rPr>
          <w:rFonts w:ascii="Times New Roman" w:hAnsi="Times New Roman"/>
          <w:sz w:val="24"/>
        </w:rPr>
        <w:t>3. Explainable AI (XAI) Layer: Integrate SHAP, LIME, and GNNExplainer to translate complex high-dimensional deep learning representations into plain-English, actionable explanations on a web dashboard.</w:t>
      </w:r>
    </w:p>
    <w:p>
      <w:pPr>
        <w:pStyle w:val="ListParagraph"/>
        <w:spacing w:before="20" w:after="60" w:line="276" w:lineRule="auto"/>
      </w:pPr>
      <w:r>
        <w:rPr>
          <w:rFonts w:ascii="Times New Roman" w:hAnsi="Times New Roman"/>
          <w:sz w:val="24"/>
        </w:rPr>
        <w:t>4. Cyber-Physical Disaster Prevention: Continuously inspect exact network instructions sent to heavy machinery, flagging malicious setpoint tampering before it can trigger physical equipment damage.</w:t>
      </w:r>
    </w:p>
    <w:p>
      <w:pPr>
        <w:pStyle w:val="ListParagraph"/>
        <w:spacing w:before="20" w:after="60" w:line="276" w:lineRule="auto"/>
      </w:pPr>
      <w:r>
        <w:rPr>
          <w:rFonts w:ascii="Times New Roman" w:hAnsi="Times New Roman"/>
          <w:sz w:val="24"/>
        </w:rPr>
        <w:t>5. External Protective Net for Legacy Assets: Establish an external protective security umbrella at the network switch level for fragile, unpatchable legacy controllers without requiring local agent installation.</w:t>
      </w:r>
    </w:p>
    <w:p>
      <w:pPr>
        <w:spacing w:before="200" w:after="80" w:line="300" w:lineRule="auto"/>
        <w:jc w:val="left"/>
      </w:pPr>
      <w:r>
        <w:rPr>
          <w:rFonts w:ascii="Times New Roman" w:hAnsi="Times New Roman"/>
          <w:b/>
          <w:i w:val="0"/>
          <w:color w:val="000000"/>
          <w:sz w:val="24"/>
        </w:rPr>
        <w:t>1.4 PROJECT SCOPE AND LIMITATIONS</w:t>
      </w:r>
    </w:p>
    <w:p>
      <w:pPr>
        <w:spacing w:before="120" w:after="40" w:line="300" w:lineRule="auto"/>
        <w:jc w:val="left"/>
      </w:pPr>
      <w:r>
        <w:rPr>
          <w:rFonts w:ascii="Times New Roman" w:hAnsi="Times New Roman"/>
          <w:b/>
          <w:i w:val="0"/>
          <w:color w:val="000000"/>
          <w:sz w:val="24"/>
        </w:rPr>
        <w:t>Project Scope:</w:t>
      </w:r>
    </w:p>
    <w:p>
      <w:pPr>
        <w:pStyle w:val="ListParagraph"/>
        <w:spacing w:before="20" w:after="60" w:line="276" w:lineRule="auto"/>
      </w:pPr>
      <w:r>
        <w:rPr>
          <w:rFonts w:ascii="Times New Roman" w:hAnsi="Times New Roman"/>
          <w:sz w:val="24"/>
        </w:rPr>
        <w:t>• Passive packet capture and telemetry ingestion across industrial protocols (Modbus/TCP, Ethernet/IP, HTTP).</w:t>
      </w:r>
    </w:p>
    <w:p>
      <w:pPr>
        <w:pStyle w:val="ListParagraph"/>
        <w:spacing w:before="20" w:after="60" w:line="276" w:lineRule="auto"/>
      </w:pPr>
      <w:r>
        <w:rPr>
          <w:rFonts w:ascii="Times New Roman" w:hAnsi="Times New Roman"/>
          <w:sz w:val="24"/>
        </w:rPr>
        <w:t>• Dual-Core Deep Learning: CNN-LSTM network attack engine and GNN device behavior engine.</w:t>
      </w:r>
    </w:p>
    <w:p>
      <w:pPr>
        <w:pStyle w:val="ListParagraph"/>
        <w:spacing w:before="20" w:after="60" w:line="276" w:lineRule="auto"/>
      </w:pPr>
      <w:r>
        <w:rPr>
          <w:rFonts w:ascii="Times New Roman" w:hAnsi="Times New Roman"/>
          <w:sz w:val="24"/>
        </w:rPr>
        <w:t>• Multi-stage attack chain correlation and Markov-based next-stage prediction aligned with MITRE ATT&amp;CK for ICS.</w:t>
      </w:r>
    </w:p>
    <w:p>
      <w:pPr>
        <w:pStyle w:val="ListParagraph"/>
        <w:spacing w:before="20" w:after="60" w:line="276" w:lineRule="auto"/>
      </w:pPr>
      <w:r>
        <w:rPr>
          <w:rFonts w:ascii="Times New Roman" w:hAnsi="Times New Roman"/>
          <w:sz w:val="24"/>
        </w:rPr>
        <w:t>• Full-stack interactive SOC dashboard featuring Recharts telemetry curves, device status grids, and explainability modals.</w:t>
      </w:r>
    </w:p>
    <w:p>
      <w:pPr>
        <w:spacing w:before="120" w:after="40" w:line="300" w:lineRule="auto"/>
        <w:jc w:val="left"/>
      </w:pPr>
      <w:r>
        <w:rPr>
          <w:rFonts w:ascii="Times New Roman" w:hAnsi="Times New Roman"/>
          <w:b/>
          <w:i w:val="0"/>
          <w:color w:val="000000"/>
          <w:sz w:val="24"/>
        </w:rPr>
        <w:t>Project Limitations:</w:t>
      </w:r>
    </w:p>
    <w:p>
      <w:pPr>
        <w:pStyle w:val="ListParagraph"/>
        <w:spacing w:before="20" w:after="60" w:line="276" w:lineRule="auto"/>
      </w:pPr>
      <w:r>
        <w:rPr>
          <w:rFonts w:ascii="Times New Roman" w:hAnsi="Times New Roman"/>
          <w:sz w:val="24"/>
        </w:rPr>
        <w:t>• Unsupervised graph baseline requires an initial undisturbed learning phase of benign plant traffic.</w:t>
      </w:r>
    </w:p>
    <w:p>
      <w:pPr>
        <w:pStyle w:val="ListParagraph"/>
        <w:spacing w:before="20" w:after="60" w:line="276" w:lineRule="auto"/>
      </w:pPr>
      <w:r>
        <w:rPr>
          <w:rFonts w:ascii="Times New Roman" w:hAnsi="Times New Roman"/>
          <w:sz w:val="24"/>
        </w:rPr>
        <w:t>• Encrypted industrial traffic payloads require header and metadata inspection unless TLS termination proxies are deployed.</w:t>
      </w:r>
    </w:p>
    <w:p>
      <w:pPr>
        <w:pStyle w:val="ListParagraph"/>
        <w:spacing w:before="20" w:after="60" w:line="276" w:lineRule="auto"/>
      </w:pPr>
      <w:r>
        <w:rPr>
          <w:rFonts w:ascii="Times New Roman" w:hAnsi="Times New Roman"/>
          <w:sz w:val="24"/>
        </w:rPr>
        <w:t>• Dynamic automated port isolation requires integration with network switches supporting programmable OpenFlow or SNMP APIs.</w:t>
      </w:r>
    </w:p>
    <w:p>
      <w:pPr>
        <w:spacing w:before="200" w:after="80" w:line="300" w:lineRule="auto"/>
        <w:jc w:val="left"/>
      </w:pPr>
      <w:r>
        <w:rPr>
          <w:rFonts w:ascii="Times New Roman" w:hAnsi="Times New Roman"/>
          <w:b/>
          <w:i w:val="0"/>
          <w:color w:val="000000"/>
          <w:sz w:val="24"/>
        </w:rPr>
        <w:t>1.5 METHODOLOGIES OF PROBLEM SOLVING</w:t>
      </w:r>
    </w:p>
    <w:p>
      <w:pPr>
        <w:spacing w:before="0" w:after="80" w:line="300" w:lineRule="auto"/>
        <w:jc w:val="both"/>
      </w:pPr>
      <w:r>
        <w:rPr>
          <w:rFonts w:ascii="Times New Roman" w:hAnsi="Times New Roman"/>
          <w:b w:val="0"/>
          <w:i w:val="0"/>
          <w:color w:val="000000"/>
          <w:sz w:val="24"/>
        </w:rPr>
        <w:t>The system follows an empirical five-stage methodology: (1) Ingestion via SPAN port mirroring; (2) Preprocessing into sliding temporal windows and dynamic node-edge interaction graphs; (3) Dual-core inference executing CNN-LSTM spatial-temporal detection and GNN topology classification in parallel; (4) Trust validation applying feature perturbations to generate an empirical Trust Score; and (5) Alert dispatch streaming cross-domain incidents and plain-English XAI attributions to the Next.js SOC interface over WebSockets.</w:t>
      </w:r>
    </w:p>
    <w:p>
      <w:r>
        <w:br w:type="page"/>
      </w:r>
    </w:p>
    <w:p>
      <w:pPr>
        <w:spacing w:before="280" w:after="160" w:line="300" w:lineRule="auto"/>
        <w:jc w:val="center"/>
      </w:pPr>
      <w:r>
        <w:rPr>
          <w:rFonts w:ascii="Times New Roman" w:hAnsi="Times New Roman"/>
          <w:b/>
          <w:i w:val="0"/>
          <w:color w:val="000000"/>
          <w:sz w:val="28"/>
        </w:rPr>
        <w:t>CHAPTER 2</w:t>
        <w:br/>
        <w:t>LITERATURE SURVEY</w:t>
      </w:r>
    </w:p>
    <w:p>
      <w:pPr>
        <w:spacing w:before="200" w:after="80" w:line="300" w:lineRule="auto"/>
        <w:jc w:val="left"/>
      </w:pPr>
      <w:r>
        <w:rPr>
          <w:rFonts w:ascii="Times New Roman" w:hAnsi="Times New Roman"/>
          <w:b/>
          <w:i w:val="0"/>
          <w:color w:val="000000"/>
          <w:sz w:val="24"/>
        </w:rPr>
        <w:t>2.1 SURVEY OF EXISTING METHODS</w:t>
      </w:r>
    </w:p>
    <w:p>
      <w:pPr>
        <w:spacing w:before="0" w:after="80" w:line="300" w:lineRule="auto"/>
        <w:jc w:val="both"/>
      </w:pPr>
      <w:r>
        <w:rPr>
          <w:rFonts w:ascii="Times New Roman" w:hAnsi="Times New Roman"/>
          <w:b w:val="0"/>
          <w:i w:val="0"/>
          <w:color w:val="000000"/>
          <w:sz w:val="24"/>
        </w:rPr>
        <w:t>Industrial network security has historically relied on static rule-based Deep Packet Inspection (DPI) and firewall rules. While effective at enforcing basic communication whitelists, static systems fail against polymorphic exploits, zero-day vulnerabilities, and semantic manipulation where packet structures conform to protocol specifications but contain malicious physical setpoint parameters.</w:t>
      </w:r>
    </w:p>
    <w:p>
      <w:pPr>
        <w:spacing w:before="0" w:after="80" w:line="300" w:lineRule="auto"/>
        <w:jc w:val="both"/>
      </w:pPr>
      <w:r>
        <w:rPr>
          <w:rFonts w:ascii="Times New Roman" w:hAnsi="Times New Roman"/>
          <w:b w:val="0"/>
          <w:i w:val="0"/>
          <w:color w:val="000000"/>
          <w:sz w:val="24"/>
        </w:rPr>
        <w:t>Supervised machine learning approaches (e.g., SVM, Decision Trees, Random Forests) have been explored on ICS benchmarks. However, these models analyze isolated static feature vectors, failing to capture temporal sequence dynamics in network flow bursts and remaining completely blind to graph-structured communication relationships between factory workstations, PLCs, and field sensors.</w:t>
      </w:r>
    </w:p>
    <w:p>
      <w:pPr>
        <w:spacing w:before="0" w:after="80" w:line="300" w:lineRule="auto"/>
        <w:jc w:val="both"/>
      </w:pPr>
      <w:r>
        <w:rPr>
          <w:rFonts w:ascii="Times New Roman" w:hAnsi="Times New Roman"/>
          <w:b w:val="0"/>
          <w:i w:val="0"/>
          <w:color w:val="000000"/>
          <w:sz w:val="24"/>
        </w:rPr>
        <w:t>Recent advances in deep learning introduce recurrent architectures (LSTM, GRU) for time-series modeling and Graph Neural Networks (GNN) for topological provenance. However, literature predominantly treats these models in isolation. Furthermore, existing deep IDS lack explainability and verification of explanation robustness, severely limiting operator trust during active cyber-physical incidents.</w:t>
      </w:r>
    </w:p>
    <w:p>
      <w:pPr>
        <w:spacing w:before="200" w:after="80" w:line="300" w:lineRule="auto"/>
        <w:jc w:val="left"/>
      </w:pPr>
      <w:r>
        <w:rPr>
          <w:rFonts w:ascii="Times New Roman" w:hAnsi="Times New Roman"/>
          <w:b/>
          <w:i w:val="0"/>
          <w:color w:val="000000"/>
          <w:sz w:val="24"/>
        </w:rPr>
        <w:t>2.2 COMPREHENSIVE LITERATURE SURVEY TABLE</w:t>
      </w:r>
    </w:p>
    <w:p>
      <w:pPr>
        <w:spacing w:before="0" w:after="80" w:line="300" w:lineRule="auto"/>
        <w:jc w:val="left"/>
      </w:pPr>
      <w:r>
        <w:rPr>
          <w:rFonts w:ascii="Times New Roman" w:hAnsi="Times New Roman"/>
          <w:b w:val="0"/>
          <w:i/>
          <w:color w:val="000000"/>
          <w:sz w:val="24"/>
        </w:rPr>
        <w:t>Table 2.1 summarizes prominent research works in deep learning, GNNs, and Explainable AI for industrial control systems.</w:t>
      </w:r>
    </w:p>
    <w:tbl>
      <w:tblPr>
        <w:tblW w:type="auto" w:w="0"/>
        <w:jc w:val="center"/>
        <w:tblLook w:firstColumn="1" w:firstRow="1" w:lastColumn="0" w:lastRow="0" w:noHBand="0" w:noVBand="1" w:val="04A0"/>
      </w:tblPr>
      <w:tblGrid>
        <w:gridCol w:w="1924"/>
        <w:gridCol w:w="1924"/>
        <w:gridCol w:w="1924"/>
        <w:gridCol w:w="1924"/>
        <w:gridCol w:w="1924"/>
      </w:tblGrid>
      <w:tr>
        <w:tc>
          <w:tcPr>
            <w:tcW w:type="dxa" w:w="72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Sr. No</w:t>
            </w:r>
          </w:p>
        </w:tc>
        <w:tc>
          <w:tcPr>
            <w:tcW w:type="dxa" w:w="259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Paper Title</w:t>
            </w:r>
          </w:p>
        </w:tc>
        <w:tc>
          <w:tcPr>
            <w:tcW w:type="dxa" w:w="187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Authors &amp; Year</w:t>
            </w:r>
          </w:p>
        </w:tc>
        <w:tc>
          <w:tcPr>
            <w:tcW w:type="dxa" w:w="2304"/>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Methodology</w:t>
            </w:r>
          </w:p>
        </w:tc>
        <w:tc>
          <w:tcPr>
            <w:tcW w:type="dxa" w:w="2304"/>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Key Findings &amp; Limitations</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1</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Deep Learning for Intrusion Detection in Industrial Control Systems</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Al-Abassi et al., IEEE TII, 2020</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Stacked autoencoders and deep neural networks applied to SCADA Modbus traffic.</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High classification accuracy on Modbus flows; computationally heavy, lacks transparent XAI for plant operators.</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2</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Spatio-Temporal Deep Anomaly Detection for IIoT via CNN-LSTM Networks</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Li et al., IEEE IoT Journal, 2021</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1D-CNN spatial feature extraction paired with LSTM for temporal packet sequence modeling.</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Outperformed standalone LSTMs by 8.4% on SWaT; incapable of detecting multi-hop lateral movement across OT subnets.</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3</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Graph Neural Networks for Network Intrusion Detection in IoT</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Zhou et al., IEEE TDSC, 2022</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Constructed dynamic device communication graphs and utilized GraphSAGE node classification.</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Effective lateral movement detection; high graph construction latency during sudden factory traffic surges.</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4</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Explainable AI for Cybersecurity: A Survey of Methods and Benchmarks</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Tjoa et al., ACM Comput. Surveys, 2021</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Comparative benchmarking of SHAP, LIME, and Integrated Gradients across cyber models.</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Proved SHAP's mathematical consistency; identified excessive runtime overhead for high-frequency streaming packets.</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5</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Adversarial Attacks and Defenses on Deep Learning IDS in Smart Grids</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Chen et al., IEEE S&amp;P, 2021</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Formulated gradient-based adversarial perturbations against deep learning telemetry detectors.</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Demonstrated that minor noise drops classifier F1-score from 96% to 41%; highlighted need for perturbation trust scoring.</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6</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MITRE ATT&amp;CK-based Automated Attack Sequencing for ICS Security</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Urcuqui et al., Computers &amp; Security, 2022</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Mapped industrial telemetry alerts to MITRE ATT&amp;CK for ICS techniques using hidden Markov models.</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Effective predictive tracking of multi-stage kill chains; tested only in offline batch mode without streaming integration.</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7</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Lightweight 1D-CNN Anomaly Detection for Industrial Control Systems</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Kravchik et al., IEEE TDSC, 2021</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1D-CNN applied to 1-second sliding windows of sensor readings.</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Sub-100ms inference achieved on edge devices; evaluated only single-device anomalies without network context.</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8</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Anomaly Detection in Water Distribution Networks Using GNNs</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Ahmed et al., ACM CCS, 2022</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Spatial GNN over sensor topology of WADI physical water pipeline network.</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Accurately pinpoints physically compromised actuator valves; high graph re-indexing cost during dynamic device additions.</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9</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Trustworthy AI in Industrial IoT: Verification and Defense</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Zhang et al., IEEE IoT Journal, 2023</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Perturbation testing and Monte Carlo dropout for estimating neural network epistemic uncertainty.</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Quantified prediction reliability in noisy IIoT channels; lacked full-stack integration with live security dashboards.</w:t>
            </w:r>
          </w:p>
        </w:tc>
      </w:tr>
      <w:tr>
        <w:tc>
          <w:tcPr>
            <w:tcW w:type="dxa" w:w="720"/>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10</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GNNExplainer: Generating Explanations for Graph Neural Networks</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Ying et al., NeurIPS, 2019</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Optimization framework identifying compact subgraph and node feature subsets maximizing mutual information.</w:t>
            </w:r>
          </w:p>
        </w:tc>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State-of-the-art graph explainability; requires adaptation for real-time edge cybersecurity streams.</w:t>
            </w:r>
          </w:p>
        </w:tc>
      </w:tr>
    </w:tbl>
    <w:p>
      <w:pPr>
        <w:spacing w:before="200" w:after="80" w:line="300" w:lineRule="auto"/>
        <w:jc w:val="left"/>
      </w:pPr>
      <w:r>
        <w:rPr>
          <w:rFonts w:ascii="Times New Roman" w:hAnsi="Times New Roman"/>
          <w:b/>
          <w:i w:val="0"/>
          <w:color w:val="000000"/>
          <w:sz w:val="24"/>
        </w:rPr>
        <w:t>2.3 RESEARCH GAPS IDENTIFIED</w:t>
      </w:r>
    </w:p>
    <w:p>
      <w:pPr>
        <w:pStyle w:val="ListParagraph"/>
        <w:spacing w:before="20" w:after="60" w:line="276" w:lineRule="auto"/>
      </w:pPr>
      <w:r>
        <w:rPr>
          <w:rFonts w:ascii="Times New Roman" w:hAnsi="Times New Roman"/>
          <w:sz w:val="24"/>
        </w:rPr>
        <w:t>1. Lack of Dual-Core Synergy: Network flow temporal analysis and device interaction graph analysis remain strictly separated in existing tools.</w:t>
      </w:r>
    </w:p>
    <w:p>
      <w:pPr>
        <w:pStyle w:val="ListParagraph"/>
        <w:spacing w:before="20" w:after="60" w:line="276" w:lineRule="auto"/>
      </w:pPr>
      <w:r>
        <w:rPr>
          <w:rFonts w:ascii="Times New Roman" w:hAnsi="Times New Roman"/>
          <w:sz w:val="24"/>
        </w:rPr>
        <w:t>2. Opaque Decisions in Mission-Critical Facilities: Deep learning models do not provide plain-English feature attributions, paralyzing operator decision-making.</w:t>
      </w:r>
    </w:p>
    <w:p>
      <w:pPr>
        <w:pStyle w:val="ListParagraph"/>
        <w:spacing w:before="20" w:after="60" w:line="276" w:lineRule="auto"/>
      </w:pPr>
      <w:r>
        <w:rPr>
          <w:rFonts w:ascii="Times New Roman" w:hAnsi="Times New Roman"/>
          <w:sz w:val="24"/>
        </w:rPr>
        <w:t>3. Vulnerability to Sensor Noise: Existing systems do not validate prediction stability, risking false alarms from noisy sensor telemetry.</w:t>
      </w:r>
    </w:p>
    <w:p>
      <w:pPr>
        <w:pStyle w:val="ListParagraph"/>
        <w:spacing w:before="20" w:after="60" w:line="276" w:lineRule="auto"/>
      </w:pPr>
      <w:r>
        <w:rPr>
          <w:rFonts w:ascii="Times New Roman" w:hAnsi="Times New Roman"/>
          <w:sz w:val="24"/>
        </w:rPr>
        <w:t>4. Absence of Passive Non-Intrusive SPAN Monitoring: Academic solutions often assume active software agents that violate real-time OT safety constraints.</w:t>
      </w:r>
    </w:p>
    <w:p>
      <w:r>
        <w:br w:type="page"/>
      </w:r>
    </w:p>
    <w:p>
      <w:pPr>
        <w:spacing w:before="280" w:after="160" w:line="300" w:lineRule="auto"/>
        <w:jc w:val="center"/>
      </w:pPr>
      <w:r>
        <w:rPr>
          <w:rFonts w:ascii="Times New Roman" w:hAnsi="Times New Roman"/>
          <w:b/>
          <w:i w:val="0"/>
          <w:color w:val="000000"/>
          <w:sz w:val="28"/>
        </w:rPr>
        <w:t>CHAPTER 3</w:t>
        <w:br/>
        <w:t>SOFTWARE REQUIREMENT SPECIFICATION</w:t>
      </w:r>
    </w:p>
    <w:p>
      <w:pPr>
        <w:spacing w:before="200" w:after="80" w:line="300" w:lineRule="auto"/>
        <w:jc w:val="left"/>
      </w:pPr>
      <w:r>
        <w:rPr>
          <w:rFonts w:ascii="Times New Roman" w:hAnsi="Times New Roman"/>
          <w:b/>
          <w:i w:val="0"/>
          <w:color w:val="000000"/>
          <w:sz w:val="24"/>
        </w:rPr>
        <w:t>3.1 PROJECT SCOPE &amp; OVERVIEW</w:t>
      </w:r>
    </w:p>
    <w:p>
      <w:pPr>
        <w:spacing w:before="0" w:after="80" w:line="300" w:lineRule="auto"/>
        <w:jc w:val="both"/>
      </w:pPr>
      <w:r>
        <w:rPr>
          <w:rFonts w:ascii="Times New Roman" w:hAnsi="Times New Roman"/>
          <w:b w:val="0"/>
          <w:i w:val="0"/>
          <w:color w:val="000000"/>
          <w:sz w:val="24"/>
        </w:rPr>
        <w:t>The Software Requirements Specification (SRS) establishes the functional and technical architecture of NeuroShield. Operating non-intrusively at the industrial network switch level via Port Mirroring (SPAN), the system monitors all inter-device communications, performs dual-core inference, evaluates prediction trust, and streams structured alerts to security personnel via an interactive web dashboard.</w:t>
      </w:r>
    </w:p>
    <w:p>
      <w:pPr>
        <w:spacing w:before="200" w:after="80" w:line="300" w:lineRule="auto"/>
        <w:jc w:val="left"/>
      </w:pPr>
      <w:r>
        <w:rPr>
          <w:rFonts w:ascii="Times New Roman" w:hAnsi="Times New Roman"/>
          <w:b/>
          <w:i w:val="0"/>
          <w:color w:val="000000"/>
          <w:sz w:val="24"/>
        </w:rPr>
        <w:t>3.2 USER CLASSES AND CHARACTERISTICS</w:t>
      </w:r>
    </w:p>
    <w:p>
      <w:pPr>
        <w:pStyle w:val="ListParagraph"/>
        <w:spacing w:before="20" w:after="60" w:line="276" w:lineRule="auto"/>
      </w:pPr>
      <w:r>
        <w:rPr>
          <w:rFonts w:ascii="Times New Roman" w:hAnsi="Times New Roman"/>
          <w:sz w:val="24"/>
        </w:rPr>
        <w:t>1. OT Security Operations Analyst: Monitors the live threat feed, reviews plain-English XAI explanations, inspects MITRE ATT&amp;CK progression chains, and authorizes mitigation policies.</w:t>
      </w:r>
    </w:p>
    <w:p>
      <w:pPr>
        <w:pStyle w:val="ListParagraph"/>
        <w:spacing w:before="20" w:after="60" w:line="276" w:lineRule="auto"/>
      </w:pPr>
      <w:r>
        <w:rPr>
          <w:rFonts w:ascii="Times New Roman" w:hAnsi="Times New Roman"/>
          <w:sz w:val="24"/>
        </w:rPr>
        <w:t>2. Plant Systems Administrator: Manages asset registries, assigns asset criticality rankings (SCADA = Critical, PLC = High, Robotic Arm = High, HMI = Medium, Gateway = Low), and configures SPAN tap interfaces.</w:t>
      </w:r>
    </w:p>
    <w:p>
      <w:pPr>
        <w:pStyle w:val="ListParagraph"/>
        <w:spacing w:before="20" w:after="60" w:line="276" w:lineRule="auto"/>
      </w:pPr>
      <w:r>
        <w:rPr>
          <w:rFonts w:ascii="Times New Roman" w:hAnsi="Times New Roman"/>
          <w:sz w:val="24"/>
        </w:rPr>
        <w:t>3. SPAN Switch Tap Daemon: Automated network tap process capturing mirrored packets from industrial switches and forwarding normalized JSON metadata to the ingestion API.</w:t>
      </w:r>
    </w:p>
    <w:p>
      <w:pPr>
        <w:spacing w:before="200" w:after="80" w:line="300" w:lineRule="auto"/>
        <w:jc w:val="left"/>
      </w:pPr>
      <w:r>
        <w:rPr>
          <w:rFonts w:ascii="Times New Roman" w:hAnsi="Times New Roman"/>
          <w:b/>
          <w:i w:val="0"/>
          <w:color w:val="000000"/>
          <w:sz w:val="24"/>
        </w:rPr>
        <w:t>3.3 ASSUMPTIONS AND DEPENDENCIES</w:t>
      </w:r>
    </w:p>
    <w:p>
      <w:pPr>
        <w:pStyle w:val="ListParagraph"/>
        <w:spacing w:before="20" w:after="60" w:line="276" w:lineRule="auto"/>
      </w:pPr>
      <w:r>
        <w:rPr>
          <w:rFonts w:ascii="Times New Roman" w:hAnsi="Times New Roman"/>
          <w:sz w:val="24"/>
        </w:rPr>
        <w:t>1. Industrial managed switches support Port Mirroring (SPAN) to forward duplicate packet flows to the NeuroShield sensor interface.</w:t>
      </w:r>
    </w:p>
    <w:p>
      <w:pPr>
        <w:pStyle w:val="ListParagraph"/>
        <w:spacing w:before="20" w:after="60" w:line="276" w:lineRule="auto"/>
      </w:pPr>
      <w:r>
        <w:rPr>
          <w:rFonts w:ascii="Times New Roman" w:hAnsi="Times New Roman"/>
          <w:sz w:val="24"/>
        </w:rPr>
        <w:t>2. Factory devices are assigned unique persistent identifiers within the asset inventory.</w:t>
      </w:r>
    </w:p>
    <w:p>
      <w:pPr>
        <w:pStyle w:val="ListParagraph"/>
        <w:spacing w:before="20" w:after="60" w:line="276" w:lineRule="auto"/>
      </w:pPr>
      <w:r>
        <w:rPr>
          <w:rFonts w:ascii="Times New Roman" w:hAnsi="Times New Roman"/>
          <w:sz w:val="24"/>
        </w:rPr>
        <w:t>3. The host workstation runs 64-bit Python 3.10+ and Node.js v18+ runtime environments.</w:t>
      </w:r>
    </w:p>
    <w:p>
      <w:pPr>
        <w:pStyle w:val="ListParagraph"/>
        <w:spacing w:before="20" w:after="60" w:line="276" w:lineRule="auto"/>
      </w:pPr>
      <w:r>
        <w:rPr>
          <w:rFonts w:ascii="Times New Roman" w:hAnsi="Times New Roman"/>
          <w:sz w:val="24"/>
        </w:rPr>
        <w:t>4. Security personnel access the web command center using modern HTML5/WebSocket-compliant browsers.</w:t>
      </w:r>
    </w:p>
    <w:p>
      <w:pPr>
        <w:spacing w:before="200" w:after="80" w:line="300" w:lineRule="auto"/>
        <w:jc w:val="left"/>
      </w:pPr>
      <w:r>
        <w:rPr>
          <w:rFonts w:ascii="Times New Roman" w:hAnsi="Times New Roman"/>
          <w:b/>
          <w:i w:val="0"/>
          <w:color w:val="000000"/>
          <w:sz w:val="24"/>
        </w:rPr>
        <w:t>3.4 MATHEMATICAL MODELING</w:t>
      </w:r>
    </w:p>
    <w:p>
      <w:pPr>
        <w:spacing w:before="0" w:after="80" w:line="300" w:lineRule="auto"/>
        <w:jc w:val="both"/>
      </w:pPr>
      <w:r>
        <w:rPr>
          <w:rFonts w:ascii="Times New Roman" w:hAnsi="Times New Roman"/>
          <w:b w:val="0"/>
          <w:i w:val="0"/>
          <w:color w:val="000000"/>
          <w:sz w:val="24"/>
        </w:rPr>
        <w:t>NeuroShield is formally modeled using Set Theory, deterministic state mapping, and computational complexity bounds.</w:t>
      </w:r>
    </w:p>
    <w:p>
      <w:pPr>
        <w:spacing w:before="120" w:after="40" w:line="300" w:lineRule="auto"/>
        <w:jc w:val="left"/>
      </w:pPr>
      <w:r>
        <w:rPr>
          <w:rFonts w:ascii="Times New Roman" w:hAnsi="Times New Roman"/>
          <w:b/>
          <w:i w:val="0"/>
          <w:color w:val="000000"/>
          <w:sz w:val="24"/>
        </w:rPr>
        <w:t>Set Theory Formulation:</w:t>
      </w:r>
    </w:p>
    <w:p>
      <w:pPr>
        <w:spacing w:before="0" w:after="80" w:line="300" w:lineRule="auto"/>
        <w:jc w:val="left"/>
      </w:pPr>
      <w:r>
        <w:rPr>
          <w:rFonts w:ascii="Times New Roman" w:hAnsi="Times New Roman"/>
          <w:b/>
          <w:i w:val="0"/>
          <w:color w:val="000000"/>
          <w:sz w:val="24"/>
        </w:rPr>
        <w:t>Let the NeuroShield system S be formally defined as a 5-tuple:</w:t>
      </w:r>
    </w:p>
    <w:p>
      <w:pPr>
        <w:spacing w:before="0" w:after="80" w:line="300" w:lineRule="auto"/>
        <w:jc w:val="center"/>
      </w:pPr>
      <w:r>
        <w:rPr>
          <w:rFonts w:ascii="Times New Roman" w:hAnsi="Times New Roman"/>
          <w:b/>
          <w:i w:val="0"/>
          <w:color w:val="000000"/>
          <w:sz w:val="26"/>
        </w:rPr>
        <w:t>S = { In, P, Op, F, s }</w:t>
      </w:r>
    </w:p>
    <w:p>
      <w:pPr>
        <w:spacing w:before="0" w:after="80" w:line="300" w:lineRule="auto"/>
        <w:jc w:val="left"/>
      </w:pPr>
      <w:r>
        <w:rPr>
          <w:rFonts w:ascii="Times New Roman" w:hAnsi="Times New Roman"/>
          <w:b/>
          <w:i w:val="0"/>
          <w:color w:val="000000"/>
          <w:sz w:val="24"/>
        </w:rPr>
        <w:t>Where:</w:t>
      </w:r>
    </w:p>
    <w:p>
      <w:pPr>
        <w:pStyle w:val="ListParagraph"/>
        <w:spacing w:before="20" w:after="60" w:line="276" w:lineRule="auto"/>
      </w:pPr>
      <w:r>
        <w:rPr>
          <w:rFonts w:ascii="Times New Roman" w:hAnsi="Times New Roman"/>
          <w:sz w:val="24"/>
        </w:rPr>
        <w:t>1. Input Set (In): In = { T, N, D }</w:t>
      </w:r>
    </w:p>
    <w:p>
      <w:pPr>
        <w:spacing w:before="0" w:after="80" w:line="300" w:lineRule="auto"/>
        <w:jc w:val="left"/>
      </w:pPr>
      <w:r>
        <w:rPr>
          <w:rFonts w:ascii="Times New Roman" w:hAnsi="Times New Roman"/>
          <w:b w:val="0"/>
          <w:i w:val="0"/>
          <w:color w:val="000000"/>
          <w:sz w:val="24"/>
        </w:rPr>
        <w:t xml:space="preserve">   • T = { t_1, t_2, ..., t_k } : Passive SPAN flow packets (packet length, connection frequency, flow duration).</w:t>
      </w:r>
    </w:p>
    <w:p>
      <w:pPr>
        <w:spacing w:before="0" w:after="80" w:line="300" w:lineRule="auto"/>
        <w:jc w:val="left"/>
      </w:pPr>
      <w:r>
        <w:rPr>
          <w:rFonts w:ascii="Times New Roman" w:hAnsi="Times New Roman"/>
          <w:b w:val="0"/>
          <w:i w:val="0"/>
          <w:color w:val="000000"/>
          <w:sz w:val="24"/>
        </w:rPr>
        <w:t xml:space="preserve">   • N = { n_1, n_2, ..., n_m } : OT asset metadata (Device ID, asset type, user context, timestamp).</w:t>
      </w:r>
    </w:p>
    <w:p>
      <w:pPr>
        <w:spacing w:before="0" w:after="80" w:line="300" w:lineRule="auto"/>
        <w:jc w:val="left"/>
      </w:pPr>
      <w:r>
        <w:rPr>
          <w:rFonts w:ascii="Times New Roman" w:hAnsi="Times New Roman"/>
          <w:b w:val="0"/>
          <w:i w:val="0"/>
          <w:color w:val="000000"/>
          <w:sz w:val="24"/>
        </w:rPr>
        <w:t xml:space="preserve">   • D = (V, E) : Factory device interaction graph where V represents industrial nodes and E represents active communication edges.</w:t>
      </w:r>
    </w:p>
    <w:p>
      <w:pPr>
        <w:pStyle w:val="ListParagraph"/>
        <w:spacing w:before="20" w:after="60" w:line="276" w:lineRule="auto"/>
      </w:pPr>
      <w:r>
        <w:rPr>
          <w:rFonts w:ascii="Times New Roman" w:hAnsi="Times New Roman"/>
          <w:sz w:val="24"/>
        </w:rPr>
        <w:t>2. Process Function Set (P): P = { P_1, P_2, P_3, P_4, P_5 }</w:t>
      </w:r>
    </w:p>
    <w:p>
      <w:pPr>
        <w:spacing w:before="0" w:after="80" w:line="300" w:lineRule="auto"/>
        <w:jc w:val="left"/>
      </w:pPr>
      <w:r>
        <w:rPr>
          <w:rFonts w:ascii="Times New Roman" w:hAnsi="Times New Roman"/>
          <w:b w:val="0"/>
          <w:i w:val="0"/>
          <w:color w:val="000000"/>
          <w:sz w:val="24"/>
        </w:rPr>
        <w:t xml:space="preserve">   • P_1 (SPAN Ingestion &amp; Normalization): Maps raw mirrored flows into scaled continuous feature vectors.</w:t>
      </w:r>
    </w:p>
    <w:p>
      <w:pPr>
        <w:spacing w:before="0" w:after="80" w:line="300" w:lineRule="auto"/>
        <w:jc w:val="left"/>
      </w:pPr>
      <w:r>
        <w:rPr>
          <w:rFonts w:ascii="Times New Roman" w:hAnsi="Times New Roman"/>
          <w:b w:val="0"/>
          <w:i w:val="0"/>
          <w:color w:val="000000"/>
          <w:sz w:val="24"/>
        </w:rPr>
        <w:t xml:space="preserve">   • P_2 (Engine A: CNN-LSTM Temporal Detection): Classifies high-frequency packet flow anomalies (DDoS, probing, botnets).</w:t>
      </w:r>
    </w:p>
    <w:p>
      <w:pPr>
        <w:spacing w:before="0" w:after="80" w:line="300" w:lineRule="auto"/>
        <w:jc w:val="left"/>
      </w:pPr>
      <w:r>
        <w:rPr>
          <w:rFonts w:ascii="Times New Roman" w:hAnsi="Times New Roman"/>
          <w:b w:val="0"/>
          <w:i w:val="0"/>
          <w:color w:val="000000"/>
          <w:sz w:val="24"/>
        </w:rPr>
        <w:t xml:space="preserve">   • P_3 (Engine B: GNN Device Behavior Engine): Computes graph embeddings to detect zero-day deviations and lateral movement.</w:t>
      </w:r>
    </w:p>
    <w:p>
      <w:pPr>
        <w:spacing w:before="0" w:after="80" w:line="300" w:lineRule="auto"/>
        <w:jc w:val="left"/>
      </w:pPr>
      <w:r>
        <w:rPr>
          <w:rFonts w:ascii="Times New Roman" w:hAnsi="Times New Roman"/>
          <w:b w:val="0"/>
          <w:i w:val="0"/>
          <w:color w:val="000000"/>
          <w:sz w:val="24"/>
        </w:rPr>
        <w:t xml:space="preserve">   • P_4 (Risk &amp; MITRE ATT&amp;CK Correlation Engine): Correlates anomalies against asset criticality and computes Markov next-stage transition probabilities.</w:t>
      </w:r>
    </w:p>
    <w:p>
      <w:pPr>
        <w:spacing w:before="0" w:after="80" w:line="300" w:lineRule="auto"/>
        <w:jc w:val="left"/>
      </w:pPr>
      <w:r>
        <w:rPr>
          <w:rFonts w:ascii="Times New Roman" w:hAnsi="Times New Roman"/>
          <w:b w:val="0"/>
          <w:i w:val="0"/>
          <w:color w:val="000000"/>
          <w:sz w:val="24"/>
        </w:rPr>
        <w:t xml:space="preserve">   • P_5 (Trust Validator &amp; XAI Layer): Applies feature perturbations to generate an empirical Trust Score (75%–99%) and derives SHAP/LIME/GNNExplainer feature attributions.</w:t>
      </w:r>
    </w:p>
    <w:p>
      <w:pPr>
        <w:pStyle w:val="ListParagraph"/>
        <w:spacing w:before="20" w:after="60" w:line="276" w:lineRule="auto"/>
      </w:pPr>
      <w:r>
        <w:rPr>
          <w:rFonts w:ascii="Times New Roman" w:hAnsi="Times New Roman"/>
          <w:sz w:val="24"/>
        </w:rPr>
        <w:t>3. Output Set (Op): Op = { A, T_s, M, E }</w:t>
      </w:r>
    </w:p>
    <w:p>
      <w:pPr>
        <w:spacing w:before="0" w:after="80" w:line="300" w:lineRule="auto"/>
        <w:jc w:val="left"/>
      </w:pPr>
      <w:r>
        <w:rPr>
          <w:rFonts w:ascii="Times New Roman" w:hAnsi="Times New Roman"/>
          <w:b w:val="0"/>
          <w:i w:val="0"/>
          <w:color w:val="000000"/>
          <w:sz w:val="24"/>
        </w:rPr>
        <w:t xml:space="preserve">   • A in {True, False} : Binary anomaly indicator flag.</w:t>
      </w:r>
    </w:p>
    <w:p>
      <w:pPr>
        <w:spacing w:before="0" w:after="80" w:line="300" w:lineRule="auto"/>
        <w:jc w:val="left"/>
      </w:pPr>
      <w:r>
        <w:rPr>
          <w:rFonts w:ascii="Times New Roman" w:hAnsi="Times New Roman"/>
          <w:b w:val="0"/>
          <w:i w:val="0"/>
          <w:color w:val="000000"/>
          <w:sz w:val="24"/>
        </w:rPr>
        <w:t xml:space="preserve">   • T_s in [0, 100] : Empirical perturbation-verified trust score.</w:t>
      </w:r>
    </w:p>
    <w:p>
      <w:pPr>
        <w:spacing w:before="0" w:after="80" w:line="300" w:lineRule="auto"/>
        <w:jc w:val="left"/>
      </w:pPr>
      <w:r>
        <w:rPr>
          <w:rFonts w:ascii="Times New Roman" w:hAnsi="Times New Roman"/>
          <w:b w:val="0"/>
          <w:i w:val="0"/>
          <w:color w:val="000000"/>
          <w:sz w:val="24"/>
        </w:rPr>
        <w:t xml:space="preserve">   • M in { MITRE_Stage, Next_Stage_Prediction, Probability } : Multi-stage attack chain categorization.</w:t>
      </w:r>
    </w:p>
    <w:p>
      <w:pPr>
        <w:spacing w:before="0" w:after="80" w:line="300" w:lineRule="auto"/>
        <w:jc w:val="left"/>
      </w:pPr>
      <w:r>
        <w:rPr>
          <w:rFonts w:ascii="Times New Roman" w:hAnsi="Times New Roman"/>
          <w:b w:val="0"/>
          <w:i w:val="0"/>
          <w:color w:val="000000"/>
          <w:sz w:val="24"/>
        </w:rPr>
        <w:t xml:space="preserve">   • E = { (f_1, w_1), (f_2, w_2), ..., (f_p, w_p) } : Plain-English ranked feature attribution weights.</w:t>
      </w:r>
    </w:p>
    <w:p>
      <w:pPr>
        <w:pStyle w:val="ListParagraph"/>
        <w:spacing w:before="20" w:after="60" w:line="276" w:lineRule="auto"/>
      </w:pPr>
      <w:r>
        <w:rPr>
          <w:rFonts w:ascii="Times New Roman" w:hAnsi="Times New Roman"/>
          <w:sz w:val="24"/>
        </w:rPr>
        <w:t>4. Success Criteria Set (s):</w:t>
      </w:r>
    </w:p>
    <w:p>
      <w:pPr>
        <w:spacing w:before="0" w:after="80" w:line="300" w:lineRule="auto"/>
        <w:jc w:val="left"/>
      </w:pPr>
      <w:r>
        <w:rPr>
          <w:rFonts w:ascii="Times New Roman" w:hAnsi="Times New Roman"/>
          <w:b w:val="0"/>
          <w:i w:val="0"/>
          <w:color w:val="000000"/>
          <w:sz w:val="24"/>
        </w:rPr>
        <w:t xml:space="preserve">   • s_1 : Real-time detection and alert delivery latency &lt; 50ms with zero disruption to physical plant actuators.</w:t>
      </w:r>
    </w:p>
    <w:p>
      <w:pPr>
        <w:spacing w:before="0" w:after="80" w:line="300" w:lineRule="auto"/>
        <w:jc w:val="left"/>
      </w:pPr>
      <w:r>
        <w:rPr>
          <w:rFonts w:ascii="Times New Roman" w:hAnsi="Times New Roman"/>
          <w:b w:val="0"/>
          <w:i w:val="0"/>
          <w:color w:val="000000"/>
          <w:sz w:val="24"/>
        </w:rPr>
        <w:t xml:space="preserve">   • s_2 : Attack detection accuracy &gt; 98% with false positive alarm rate &lt; 2.5%.</w:t>
      </w:r>
    </w:p>
    <w:p>
      <w:pPr>
        <w:spacing w:before="0" w:after="80" w:line="300" w:lineRule="auto"/>
        <w:jc w:val="left"/>
      </w:pPr>
      <w:r>
        <w:rPr>
          <w:rFonts w:ascii="Times New Roman" w:hAnsi="Times New Roman"/>
          <w:b w:val="0"/>
          <w:i w:val="0"/>
          <w:color w:val="000000"/>
          <w:sz w:val="24"/>
        </w:rPr>
        <w:t xml:space="preserve">   • s_3 : Verifiable trust score and human-readable XAI explanations generated for all confirmed threats.</w:t>
      </w:r>
    </w:p>
    <w:p>
      <w:pPr>
        <w:pStyle w:val="ListParagraph"/>
        <w:spacing w:before="20" w:after="60" w:line="276" w:lineRule="auto"/>
      </w:pPr>
      <w:r>
        <w:rPr>
          <w:rFonts w:ascii="Times New Roman" w:hAnsi="Times New Roman"/>
          <w:sz w:val="24"/>
        </w:rPr>
        <w:t>5. Failure State Set (F):</w:t>
      </w:r>
    </w:p>
    <w:p>
      <w:pPr>
        <w:spacing w:before="0" w:after="80" w:line="300" w:lineRule="auto"/>
        <w:jc w:val="left"/>
      </w:pPr>
      <w:r>
        <w:rPr>
          <w:rFonts w:ascii="Times New Roman" w:hAnsi="Times New Roman"/>
          <w:b w:val="0"/>
          <w:i w:val="0"/>
          <w:color w:val="000000"/>
          <w:sz w:val="24"/>
        </w:rPr>
        <w:t xml:space="preserve">   • F_1 : SPAN port tap failure causing telemetry starvation.</w:t>
      </w:r>
    </w:p>
    <w:p>
      <w:pPr>
        <w:spacing w:before="0" w:after="80" w:line="300" w:lineRule="auto"/>
        <w:jc w:val="left"/>
      </w:pPr>
      <w:r>
        <w:rPr>
          <w:rFonts w:ascii="Times New Roman" w:hAnsi="Times New Roman"/>
          <w:b w:val="0"/>
          <w:i w:val="0"/>
          <w:color w:val="000000"/>
          <w:sz w:val="24"/>
        </w:rPr>
        <w:t xml:space="preserve">   • F_2 : Corrupted or unparseable industrial packet payload formatting.</w:t>
      </w:r>
    </w:p>
    <w:p>
      <w:pPr>
        <w:spacing w:before="0" w:after="80" w:line="300" w:lineRule="auto"/>
        <w:jc w:val="left"/>
      </w:pPr>
      <w:r>
        <w:rPr>
          <w:rFonts w:ascii="Times New Roman" w:hAnsi="Times New Roman"/>
          <w:b w:val="0"/>
          <w:i w:val="0"/>
          <w:color w:val="000000"/>
          <w:sz w:val="24"/>
        </w:rPr>
        <w:t xml:space="preserve">   • F_3 : Adversarial sensor noise reducing prediction trust below operational threshold (T_s &lt; 70%).</w:t>
      </w:r>
    </w:p>
    <w:p>
      <w:pPr>
        <w:spacing w:before="120" w:after="80"/>
        <w:jc w:val="center"/>
      </w:pPr>
      <w:r>
        <w:drawing>
          <wp:inline xmlns:a="http://schemas.openxmlformats.org/drawingml/2006/main" xmlns:pic="http://schemas.openxmlformats.org/drawingml/2006/picture">
            <wp:extent cx="4754880" cy="2788920"/>
            <wp:docPr id="3" name="Picture 3"/>
            <wp:cNvGraphicFramePr>
              <a:graphicFrameLocks noChangeAspect="1"/>
            </wp:cNvGraphicFramePr>
            <a:graphic>
              <a:graphicData uri="http://schemas.openxmlformats.org/drawingml/2006/picture">
                <pic:pic>
                  <pic:nvPicPr>
                    <pic:cNvPr id="0" name="math_model.png"/>
                    <pic:cNvPicPr/>
                  </pic:nvPicPr>
                  <pic:blipFill>
                    <a:blip r:embed="rId10"/>
                    <a:stretch>
                      <a:fillRect/>
                    </a:stretch>
                  </pic:blipFill>
                  <pic:spPr>
                    <a:xfrm>
                      <a:off x="0" y="0"/>
                      <a:ext cx="4754880" cy="2788920"/>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3.1 : Set Theory Mathematical Model for NeuroShield</w:t>
      </w:r>
    </w:p>
    <w:p>
      <w:pPr>
        <w:spacing w:before="120" w:after="40" w:line="300" w:lineRule="auto"/>
        <w:jc w:val="left"/>
      </w:pPr>
      <w:r>
        <w:rPr>
          <w:rFonts w:ascii="Times New Roman" w:hAnsi="Times New Roman"/>
          <w:b/>
          <w:i w:val="0"/>
          <w:color w:val="000000"/>
          <w:sz w:val="24"/>
        </w:rPr>
        <w:t>Space and Time Complexity Analysis:</w:t>
      </w:r>
    </w:p>
    <w:p>
      <w:pPr>
        <w:pStyle w:val="ListParagraph"/>
        <w:spacing w:before="20" w:after="60" w:line="276" w:lineRule="auto"/>
      </w:pPr>
      <w:r>
        <w:rPr>
          <w:rFonts w:ascii="Times New Roman" w:hAnsi="Times New Roman"/>
          <w:sz w:val="24"/>
        </w:rPr>
        <w:t>Space Complexity: The memory footprint comprises the sliding window buffer W, the factory communication graph G = (V, E), and neural network parameters Theta. Total space complexity is bounded by O(|V| + |E| + W · D_feat + Theta_model), scaling linearly with monitored factory assets.</w:t>
      </w:r>
    </w:p>
    <w:p>
      <w:pPr>
        <w:pStyle w:val="ListParagraph"/>
        <w:spacing w:before="20" w:after="60" w:line="276" w:lineRule="auto"/>
      </w:pPr>
      <w:r>
        <w:rPr>
          <w:rFonts w:ascii="Times New Roman" w:hAnsi="Times New Roman"/>
          <w:sz w:val="24"/>
        </w:rPr>
        <w:t>Time Complexity: For an input telemetry packet burst of sequence length L, CNN feature extraction requires O(L · K), LSTM temporal unrolling requires O(L · d^2), and GNN message-passing over k-hop neighborhoods requires O(k · |E| · d_emb). Hence, the per-packet processing time complexity is O(L · d^2 + k · |E| · d_emb), guaranteeing deterministic execution in under 50ms on commodity hardware.</w:t>
      </w:r>
    </w:p>
    <w:p>
      <w:pPr>
        <w:spacing w:before="200" w:after="80" w:line="300" w:lineRule="auto"/>
        <w:jc w:val="left"/>
      </w:pPr>
      <w:r>
        <w:rPr>
          <w:rFonts w:ascii="Times New Roman" w:hAnsi="Times New Roman"/>
          <w:b/>
          <w:i w:val="0"/>
          <w:color w:val="000000"/>
          <w:sz w:val="24"/>
        </w:rPr>
        <w:t>3.5 FUNCTIONAL REQUIREMENTS</w:t>
      </w:r>
    </w:p>
    <w:p>
      <w:pPr>
        <w:spacing w:before="0" w:after="80" w:line="300" w:lineRule="auto"/>
        <w:jc w:val="left"/>
      </w:pPr>
      <w:r>
        <w:rPr>
          <w:rFonts w:ascii="Times New Roman" w:hAnsi="Times New Roman"/>
          <w:b w:val="0"/>
          <w:i/>
          <w:color w:val="000000"/>
          <w:sz w:val="24"/>
        </w:rPr>
        <w:t>Table 3.1 details the functional requirements of the NeuroShield system.</w:t>
      </w:r>
    </w:p>
    <w:tbl>
      <w:tblPr>
        <w:tblW w:type="auto" w:w="0"/>
        <w:jc w:val="center"/>
        <w:tblLook w:firstColumn="1" w:firstRow="1" w:lastColumn="0" w:lastRow="0" w:noHBand="0" w:noVBand="1" w:val="04A0"/>
      </w:tblPr>
      <w:tblGrid>
        <w:gridCol w:w="3206"/>
        <w:gridCol w:w="3206"/>
        <w:gridCol w:w="3206"/>
      </w:tblGrid>
      <w:tr>
        <w:tc>
          <w:tcPr>
            <w:tcW w:type="dxa" w:w="187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8"/>
              </w:rPr>
              <w:t>Requirement ID</w:t>
            </w:r>
          </w:p>
        </w:tc>
        <w:tc>
          <w:tcPr>
            <w:tcW w:type="dxa" w:w="259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8"/>
              </w:rPr>
              <w:t>Module</w:t>
            </w:r>
          </w:p>
        </w:tc>
        <w:tc>
          <w:tcPr>
            <w:tcW w:type="dxa" w:w="532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8"/>
              </w:rPr>
              <w:t>Functional Description</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FR-1.1</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SPAN Ingestion</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passively ingest network packet streams mirrored via switch SPAN ports without injecting packets into active control loops.</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FR-1.2</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Preprocessing</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extract flow metrics (burst duration, packet length, connection frequency) and construct dynamic device interaction graphs.</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FR-2.1</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Engine A (CNN-LSTM)</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extract spatial packet payload features and temporal sequences to detect DDoS, botnets, and probing attacks.</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FR-2.2</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Engine B (GNN)</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establish an unsupervised normal factory communication baseline and detect zero-day deviations and IT-to-OT lateral movement.</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FR-3.1</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Trust Validator</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apply random feature perturbations to calculate prediction stability, outputting an empirical Trust Score (75%–99%).</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FR-3.2</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Risk Engine</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weigh threat severity against asset criticality tiers (Critical, High, Medium, Low).</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FR-4.1</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MITRE Correlation</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map verified anomalies to MITRE ATT&amp;CK for ICS techniques (T1190, T1078, T1498, T1210).</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FR-4.2</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Markov Prediction</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calculate next-stage attack progression probabilities using probabilistic state transition matrices.</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FR-5.1</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XAI Layer</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derive plain-English feature attribution explanations using SHAP, LIME, and GNNExplainer.</w:t>
            </w:r>
          </w:p>
        </w:tc>
      </w:tr>
      <w:tr>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FR-5.2</w:t>
            </w:r>
          </w:p>
        </w:tc>
        <w:tc>
          <w:tcPr>
            <w:tcW w:type="dxa" w:w="259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WebSocket Streaming</w:t>
            </w:r>
          </w:p>
        </w:tc>
        <w:tc>
          <w:tcPr>
            <w:tcW w:type="dxa" w:w="53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The system shall broadcast validated JSON alert payloads over WebSockets to connected client SOC dashboards within 50ms.</w:t>
            </w:r>
          </w:p>
        </w:tc>
      </w:tr>
    </w:tbl>
    <w:p>
      <w:pPr>
        <w:spacing w:before="200" w:after="80" w:line="300" w:lineRule="auto"/>
        <w:jc w:val="left"/>
      </w:pPr>
      <w:r>
        <w:rPr>
          <w:rFonts w:ascii="Times New Roman" w:hAnsi="Times New Roman"/>
          <w:b/>
          <w:i w:val="0"/>
          <w:color w:val="000000"/>
          <w:sz w:val="24"/>
        </w:rPr>
        <w:t>3.6 EXTERNAL INTERFACE REQUIREMENTS</w:t>
      </w:r>
    </w:p>
    <w:p>
      <w:pPr>
        <w:pStyle w:val="ListParagraph"/>
        <w:spacing w:before="20" w:after="60" w:line="276" w:lineRule="auto"/>
      </w:pPr>
      <w:r>
        <w:rPr>
          <w:rFonts w:ascii="Times New Roman" w:hAnsi="Times New Roman"/>
          <w:sz w:val="24"/>
        </w:rPr>
        <w:t>3.6.1 User Interfaces: Responsive web-based SOC Command Center built with Next.js, React, and Tailwind CSS. Features dark-mode aesthetics, live threat ticker, MITRE ATT&amp;CK kill-chain timeline, Recharts interactive telemetry curves, and detailed alert inspection modals.</w:t>
      </w:r>
    </w:p>
    <w:p>
      <w:pPr>
        <w:pStyle w:val="ListParagraph"/>
        <w:spacing w:before="20" w:after="60" w:line="276" w:lineRule="auto"/>
      </w:pPr>
      <w:r>
        <w:rPr>
          <w:rFonts w:ascii="Times New Roman" w:hAnsi="Times New Roman"/>
          <w:sz w:val="24"/>
        </w:rPr>
        <w:t>3.6.2 Hardware Interfaces: Compatible with standard Gigabit Ethernet (IEEE 802.3) interfaces, managed industrial network switches (Cisco, Hirschmann, Moxa) supporting SPAN port mirroring, and Raspberry Pi / x86 edge sensors.</w:t>
      </w:r>
    </w:p>
    <w:p>
      <w:pPr>
        <w:pStyle w:val="ListParagraph"/>
        <w:spacing w:before="20" w:after="60" w:line="276" w:lineRule="auto"/>
      </w:pPr>
      <w:r>
        <w:rPr>
          <w:rFonts w:ascii="Times New Roman" w:hAnsi="Times New Roman"/>
          <w:sz w:val="24"/>
        </w:rPr>
        <w:t>3.6.3 Software Interfaces: Implemented using Python 3.13, FastAPI asynchronous ASGI server, Uvicorn, Next.js 15, Lucide-react iconography, and Recharts visualization libraries.</w:t>
      </w:r>
    </w:p>
    <w:p>
      <w:pPr>
        <w:pStyle w:val="ListParagraph"/>
        <w:spacing w:before="20" w:after="60" w:line="276" w:lineRule="auto"/>
      </w:pPr>
      <w:r>
        <w:rPr>
          <w:rFonts w:ascii="Times New Roman" w:hAnsi="Times New Roman"/>
          <w:sz w:val="24"/>
        </w:rPr>
        <w:t>3.6.4 Communication Interfaces: Full-duplex WebSocket protocol (ws://) for sub-second alert broadcasting; HTTP/1.1 and HTTP/2 REST APIs for telemetry ingestion; JSON payload serialization.</w:t>
      </w:r>
    </w:p>
    <w:p>
      <w:pPr>
        <w:spacing w:before="200" w:after="80" w:line="300" w:lineRule="auto"/>
        <w:jc w:val="left"/>
      </w:pPr>
      <w:r>
        <w:rPr>
          <w:rFonts w:ascii="Times New Roman" w:hAnsi="Times New Roman"/>
          <w:b/>
          <w:i w:val="0"/>
          <w:color w:val="000000"/>
          <w:sz w:val="24"/>
        </w:rPr>
        <w:t>3.7 NON-FUNCTIONAL REQUIREMENTS</w:t>
      </w:r>
    </w:p>
    <w:p>
      <w:pPr>
        <w:pStyle w:val="ListParagraph"/>
        <w:spacing w:before="20" w:after="60" w:line="276" w:lineRule="auto"/>
      </w:pPr>
      <w:r>
        <w:rPr>
          <w:rFonts w:ascii="Times New Roman" w:hAnsi="Times New Roman"/>
          <w:sz w:val="24"/>
        </w:rPr>
        <w:t>Performance Requirements: Telemetry ingestion and dual-core neural inference latency must remain strictly below 50 milliseconds per packet. The system must support a sustained throughput of 5,000+ telemetry events per second without packet drop.</w:t>
      </w:r>
    </w:p>
    <w:p>
      <w:pPr>
        <w:pStyle w:val="ListParagraph"/>
        <w:spacing w:before="20" w:after="60" w:line="276" w:lineRule="auto"/>
      </w:pPr>
      <w:r>
        <w:rPr>
          <w:rFonts w:ascii="Times New Roman" w:hAnsi="Times New Roman"/>
          <w:sz w:val="24"/>
        </w:rPr>
        <w:t>Safety Requirements: NeuroShield operates as an out-of-band monitoring and automated quarantine system; under zero circumstances shall software execution introduce latency or disruption into critical physical actuator loops.</w:t>
      </w:r>
    </w:p>
    <w:p>
      <w:pPr>
        <w:pStyle w:val="ListParagraph"/>
        <w:spacing w:before="20" w:after="60" w:line="276" w:lineRule="auto"/>
      </w:pPr>
      <w:r>
        <w:rPr>
          <w:rFonts w:ascii="Times New Roman" w:hAnsi="Times New Roman"/>
          <w:sz w:val="24"/>
        </w:rPr>
        <w:t>Security Requirements: All communication channels must support TLS/SSL encryption. WebSockets must implement origin verification and token authentication to prevent unauthorized eavesdropping or command injection.</w:t>
      </w:r>
    </w:p>
    <w:p>
      <w:pPr>
        <w:pStyle w:val="ListParagraph"/>
        <w:spacing w:before="20" w:after="60" w:line="276" w:lineRule="auto"/>
      </w:pPr>
      <w:r>
        <w:rPr>
          <w:rFonts w:ascii="Times New Roman" w:hAnsi="Times New Roman"/>
          <w:sz w:val="24"/>
        </w:rPr>
        <w:t>Software Quality Attributes: Highly modular microservice architecture enabling seamless addition of new neural models. 99.9% uptime reliability with automatic WebSocket auto-reconnect logic.</w:t>
      </w:r>
    </w:p>
    <w:p>
      <w:pPr>
        <w:spacing w:before="200" w:after="80" w:line="300" w:lineRule="auto"/>
        <w:jc w:val="left"/>
      </w:pPr>
      <w:r>
        <w:rPr>
          <w:rFonts w:ascii="Times New Roman" w:hAnsi="Times New Roman"/>
          <w:b/>
          <w:i w:val="0"/>
          <w:color w:val="000000"/>
          <w:sz w:val="24"/>
        </w:rPr>
        <w:t>3.8 SYSTEM REQUIREMENTS</w:t>
      </w:r>
    </w:p>
    <w:p>
      <w:pPr>
        <w:spacing w:before="0" w:after="80" w:line="300" w:lineRule="auto"/>
        <w:jc w:val="left"/>
      </w:pPr>
      <w:r>
        <w:rPr>
          <w:rFonts w:ascii="Times New Roman" w:hAnsi="Times New Roman"/>
          <w:b w:val="0"/>
          <w:i/>
          <w:color w:val="000000"/>
          <w:sz w:val="24"/>
        </w:rPr>
        <w:t>Table 3.3 specifies the minimum and recommended hardware and software configuration.</w:t>
      </w:r>
    </w:p>
    <w:tbl>
      <w:tblPr>
        <w:tblW w:type="auto" w:w="0"/>
        <w:jc w:val="center"/>
        <w:tblLook w:firstColumn="1" w:firstRow="1" w:lastColumn="0" w:lastRow="0" w:noHBand="0" w:noVBand="1" w:val="04A0"/>
      </w:tblPr>
      <w:tblGrid>
        <w:gridCol w:w="3206"/>
        <w:gridCol w:w="3206"/>
        <w:gridCol w:w="3206"/>
      </w:tblGrid>
      <w:tr>
        <w:tc>
          <w:tcPr>
            <w:tcW w:type="dxa" w:w="2304"/>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8"/>
              </w:rPr>
              <w:t>Component</w:t>
            </w:r>
          </w:p>
        </w:tc>
        <w:tc>
          <w:tcPr>
            <w:tcW w:type="dxa" w:w="360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8"/>
              </w:rPr>
              <w:t>Minimum Requirement</w:t>
            </w:r>
          </w:p>
        </w:tc>
        <w:tc>
          <w:tcPr>
            <w:tcW w:type="dxa" w:w="388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8"/>
              </w:rPr>
              <w:t>Recommended Specification</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Processor (CPU)</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Quad-Core Intel Core i5 / AMD Ryzen 5</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Octa-Core Intel Core i7 / AMD Ryzen 7 (2.8 GHz+)</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System Memory (RAM)</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8 GB DDR4</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16 GB / 32 GB DDR4/DDR5</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Storage</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20 GB available SSD storage</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50 GB NVMe M.2 Solid State Drive</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Network</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100 Mbps Ethernet Interface</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1 Gbps Gigabit Ethernet Adapter (SPAN Tap)</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Operating System</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Windows 10 / Ubuntu 20.04 LTS (64-bit)</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Windows 11 (64-bit) / Ubuntu 22.04 LTS</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Python Runtime</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Python 3.10+</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Python 3.13.3 (64-bit)</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Node.js Runtime</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Node.js v18 LTS</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Node.js v20+ LTS with npm / npx</w:t>
            </w:r>
          </w:p>
        </w:tc>
      </w:tr>
      <w:tr>
        <w:tc>
          <w:tcPr>
            <w:tcW w:type="dxa" w:w="2304"/>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8"/>
              </w:rPr>
              <w:t>Frameworks &amp; Libs</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FastAPI, Uvicorn, python-docx, Recharts</w:t>
            </w:r>
          </w:p>
        </w:tc>
        <w:tc>
          <w:tcPr>
            <w:tcW w:type="dxa" w:w="388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8"/>
              </w:rPr>
              <w:t>FastAPI 0.115+, Next.js 15, PyTorch, Tailwind CSS</w:t>
            </w:r>
          </w:p>
        </w:tc>
      </w:tr>
    </w:tbl>
    <w:p>
      <w:pPr>
        <w:spacing w:before="200" w:after="80" w:line="300" w:lineRule="auto"/>
        <w:jc w:val="left"/>
      </w:pPr>
      <w:r>
        <w:rPr>
          <w:rFonts w:ascii="Times New Roman" w:hAnsi="Times New Roman"/>
          <w:b/>
          <w:i w:val="0"/>
          <w:color w:val="000000"/>
          <w:sz w:val="24"/>
        </w:rPr>
        <w:t>3.9 ANALYSIS MODELS : SDLC MODEL TO BE APPLIED</w:t>
      </w:r>
    </w:p>
    <w:p>
      <w:pPr>
        <w:spacing w:before="0" w:after="80" w:line="300" w:lineRule="auto"/>
        <w:jc w:val="both"/>
      </w:pPr>
      <w:r>
        <w:rPr>
          <w:rFonts w:ascii="Times New Roman" w:hAnsi="Times New Roman"/>
          <w:b w:val="0"/>
          <w:i w:val="0"/>
          <w:color w:val="000000"/>
          <w:sz w:val="24"/>
        </w:rPr>
        <w:t>The project employs an Agile AI-Security Engineering Lifecycle. Unlike rigid linear Waterfall models, the Agile AI-SDLC incorporates continuous feedback loops between threat modeling, synthetic data simulation, neural model training, and SOC integration. This enables rapid iterative refinement of detection thresholds and trust verification parameters.</w:t>
      </w:r>
    </w:p>
    <w:p>
      <w:pPr>
        <w:spacing w:before="120" w:after="80"/>
        <w:jc w:val="center"/>
      </w:pPr>
      <w:r>
        <w:drawing>
          <wp:inline xmlns:a="http://schemas.openxmlformats.org/drawingml/2006/main" xmlns:pic="http://schemas.openxmlformats.org/drawingml/2006/picture">
            <wp:extent cx="4754880" cy="2926080"/>
            <wp:docPr id="4" name="Picture 4"/>
            <wp:cNvGraphicFramePr>
              <a:graphicFrameLocks noChangeAspect="1"/>
            </wp:cNvGraphicFramePr>
            <a:graphic>
              <a:graphicData uri="http://schemas.openxmlformats.org/drawingml/2006/picture">
                <pic:pic>
                  <pic:nvPicPr>
                    <pic:cNvPr id="0" name="sdlc_model.png"/>
                    <pic:cNvPicPr/>
                  </pic:nvPicPr>
                  <pic:blipFill>
                    <a:blip r:embed="rId11"/>
                    <a:stretch>
                      <a:fillRect/>
                    </a:stretch>
                  </pic:blipFill>
                  <pic:spPr>
                    <a:xfrm>
                      <a:off x="0" y="0"/>
                      <a:ext cx="4754880" cy="2926080"/>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3.2 : Agile AI-Security Development Lifecycle (SDLC) Model</w:t>
      </w:r>
    </w:p>
    <w:p>
      <w:pPr>
        <w:spacing w:before="200" w:after="80" w:line="300" w:lineRule="auto"/>
        <w:jc w:val="left"/>
      </w:pPr>
      <w:r>
        <w:rPr>
          <w:rFonts w:ascii="Times New Roman" w:hAnsi="Times New Roman"/>
          <w:b/>
          <w:i w:val="0"/>
          <w:color w:val="000000"/>
          <w:sz w:val="24"/>
        </w:rPr>
        <w:t>3.10 SYSTEM IMPLEMENTATION PLAN</w:t>
      </w:r>
    </w:p>
    <w:p>
      <w:pPr>
        <w:spacing w:before="0" w:after="80" w:line="300" w:lineRule="auto"/>
        <w:jc w:val="both"/>
      </w:pPr>
      <w:r>
        <w:rPr>
          <w:rFonts w:ascii="Times New Roman" w:hAnsi="Times New Roman"/>
          <w:b w:val="0"/>
          <w:i w:val="0"/>
          <w:color w:val="000000"/>
          <w:sz w:val="24"/>
        </w:rPr>
        <w:t>The Project Stage-I engineering schedule spans a structured 10-week lifecycle divided across six consecutive milestones. Table 3.4 outlines each milestone alongside deliverables and timelines.</w:t>
      </w:r>
    </w:p>
    <w:tbl>
      <w:tblPr>
        <w:tblW w:type="auto" w:w="0"/>
        <w:jc w:val="center"/>
        <w:tblLook w:firstColumn="1" w:firstRow="1" w:lastColumn="0" w:lastRow="0" w:noHBand="0" w:noVBand="1" w:val="04A0"/>
      </w:tblPr>
      <w:tblGrid>
        <w:gridCol w:w="2405"/>
        <w:gridCol w:w="2405"/>
        <w:gridCol w:w="2405"/>
        <w:gridCol w:w="2405"/>
      </w:tblGrid>
      <w:tr>
        <w:tc>
          <w:tcPr>
            <w:tcW w:type="dxa" w:w="115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Phase</w:t>
            </w:r>
          </w:p>
        </w:tc>
        <w:tc>
          <w:tcPr>
            <w:tcW w:type="dxa" w:w="3600"/>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Milestone Task</w:t>
            </w:r>
          </w:p>
        </w:tc>
        <w:tc>
          <w:tcPr>
            <w:tcW w:type="dxa" w:w="1584"/>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Duration</w:t>
            </w:r>
          </w:p>
        </w:tc>
        <w:tc>
          <w:tcPr>
            <w:tcW w:type="dxa" w:w="3456"/>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Deliverables</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Phase 1</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Literature Review &amp; Industrial Threat Modeling</w:t>
            </w:r>
          </w:p>
        </w:tc>
        <w:tc>
          <w:tcPr>
            <w:tcW w:type="dxa" w:w="158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Weeks 1 - 2</w:t>
            </w:r>
          </w:p>
        </w:tc>
        <w:tc>
          <w:tcPr>
            <w:tcW w:type="dxa" w:w="345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Survey analysis, MITRE ICS mapping, Problem Statement.</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Phase 2</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System Architecture &amp; Dual-Core Algorithm Design</w:t>
            </w:r>
          </w:p>
        </w:tc>
        <w:tc>
          <w:tcPr>
            <w:tcW w:type="dxa" w:w="158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Weeks 3 - 4</w:t>
            </w:r>
          </w:p>
        </w:tc>
        <w:tc>
          <w:tcPr>
            <w:tcW w:type="dxa" w:w="345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SRS document, mathematical model, CNN-LSTM/GNN architecture.</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Phase 3</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Synthetic IIoT Simulation &amp; Pipeline Development</w:t>
            </w:r>
          </w:p>
        </w:tc>
        <w:tc>
          <w:tcPr>
            <w:tcW w:type="dxa" w:w="158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Weeks 5 - 6</w:t>
            </w:r>
          </w:p>
        </w:tc>
        <w:tc>
          <w:tcPr>
            <w:tcW w:type="dxa" w:w="345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FastAPI backend, telemetry simulator, mock inference pipeline.</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Phase 4</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Trust Engine, Risk Scoring &amp; XAI Implementation</w:t>
            </w:r>
          </w:p>
        </w:tc>
        <w:tc>
          <w:tcPr>
            <w:tcW w:type="dxa" w:w="158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Weeks 7 - 8</w:t>
            </w:r>
          </w:p>
        </w:tc>
        <w:tc>
          <w:tcPr>
            <w:tcW w:type="dxa" w:w="345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Perturbation scoring algorithm, Markov transitions, SHAP/LIME module.</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Phase 5</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Interactive Next.js SOC Dashboard &amp; WebSocket Streaming</w:t>
            </w:r>
          </w:p>
        </w:tc>
        <w:tc>
          <w:tcPr>
            <w:tcW w:type="dxa" w:w="158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Weeks 8 - 9</w:t>
            </w:r>
          </w:p>
        </w:tc>
        <w:tc>
          <w:tcPr>
            <w:tcW w:type="dxa" w:w="345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Dark-mode UI, Recharts telemetry graphs, live alert feed.</w:t>
            </w:r>
          </w:p>
        </w:tc>
      </w:tr>
      <w:tr>
        <w:tc>
          <w:tcPr>
            <w:tcW w:type="dxa" w:w="1152"/>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Phase 6</w:t>
            </w:r>
          </w:p>
        </w:tc>
        <w:tc>
          <w:tcPr>
            <w:tcW w:type="dxa" w:w="3600"/>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System Integration, Verification &amp; Stage-I Report</w:t>
            </w:r>
          </w:p>
        </w:tc>
        <w:tc>
          <w:tcPr>
            <w:tcW w:type="dxa" w:w="1584"/>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Week 10</w:t>
            </w:r>
          </w:p>
        </w:tc>
        <w:tc>
          <w:tcPr>
            <w:tcW w:type="dxa" w:w="345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End-to-end testing, documentation, Stage-I project presentation.</w:t>
            </w:r>
          </w:p>
        </w:tc>
      </w:tr>
    </w:tbl>
    <w:p>
      <w:pPr>
        <w:spacing w:before="120" w:after="80"/>
        <w:jc w:val="center"/>
      </w:pPr>
      <w:r>
        <w:drawing>
          <wp:inline xmlns:a="http://schemas.openxmlformats.org/drawingml/2006/main" xmlns:pic="http://schemas.openxmlformats.org/drawingml/2006/picture">
            <wp:extent cx="4754880" cy="2699210"/>
            <wp:docPr id="5" name="Picture 5"/>
            <wp:cNvGraphicFramePr>
              <a:graphicFrameLocks noChangeAspect="1"/>
            </wp:cNvGraphicFramePr>
            <a:graphic>
              <a:graphicData uri="http://schemas.openxmlformats.org/drawingml/2006/picture">
                <pic:pic>
                  <pic:nvPicPr>
                    <pic:cNvPr id="0" name="gantt.png"/>
                    <pic:cNvPicPr/>
                  </pic:nvPicPr>
                  <pic:blipFill>
                    <a:blip r:embed="rId12"/>
                    <a:stretch>
                      <a:fillRect/>
                    </a:stretch>
                  </pic:blipFill>
                  <pic:spPr>
                    <a:xfrm>
                      <a:off x="0" y="0"/>
                      <a:ext cx="4754880" cy="2699210"/>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3.3 : Project Stage-I Implementation Schedule (Gantt Chart)</w:t>
      </w:r>
    </w:p>
    <w:p>
      <w:r>
        <w:br w:type="page"/>
      </w:r>
    </w:p>
    <w:p>
      <w:pPr>
        <w:spacing w:before="280" w:after="160" w:line="300" w:lineRule="auto"/>
        <w:jc w:val="center"/>
      </w:pPr>
      <w:r>
        <w:rPr>
          <w:rFonts w:ascii="Times New Roman" w:hAnsi="Times New Roman"/>
          <w:b/>
          <w:i w:val="0"/>
          <w:color w:val="000000"/>
          <w:sz w:val="28"/>
        </w:rPr>
        <w:t>CHAPTER 4</w:t>
        <w:br/>
        <w:t>SYSTEM DESIGN</w:t>
      </w:r>
    </w:p>
    <w:p>
      <w:pPr>
        <w:spacing w:before="200" w:after="80" w:line="300" w:lineRule="auto"/>
        <w:jc w:val="left"/>
      </w:pPr>
      <w:r>
        <w:rPr>
          <w:rFonts w:ascii="Times New Roman" w:hAnsi="Times New Roman"/>
          <w:b/>
          <w:i w:val="0"/>
          <w:color w:val="000000"/>
          <w:sz w:val="24"/>
        </w:rPr>
        <w:t>4.1 SYSTEM ARCHITECTURE</w:t>
      </w:r>
    </w:p>
    <w:p>
      <w:pPr>
        <w:spacing w:before="0" w:after="80" w:line="300" w:lineRule="auto"/>
        <w:jc w:val="both"/>
      </w:pPr>
      <w:r>
        <w:rPr>
          <w:rFonts w:ascii="Times New Roman" w:hAnsi="Times New Roman"/>
          <w:b w:val="0"/>
          <w:i w:val="0"/>
          <w:color w:val="000000"/>
          <w:sz w:val="24"/>
        </w:rPr>
        <w:t>The NeuroShield system architecture is designed as a modular, decoupled, event-driven cyber-physical threat intelligence platform. As depicted in Figure 4.1, the platform is partitioned into three primary operational tiers: (i) Smart Factory OT Assets, (ii) NeuroShield Dual-Core Engine Backend, and (iii) Interactive Web Dashboard.</w:t>
      </w:r>
    </w:p>
    <w:p>
      <w:pPr>
        <w:spacing w:before="120" w:after="80"/>
        <w:jc w:val="center"/>
      </w:pPr>
      <w:r>
        <w:drawing>
          <wp:inline xmlns:a="http://schemas.openxmlformats.org/drawingml/2006/main" xmlns:pic="http://schemas.openxmlformats.org/drawingml/2006/picture">
            <wp:extent cx="4937760" cy="2024663"/>
            <wp:docPr id="6" name="Picture 6"/>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4937760" cy="2024663"/>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4.1 : NeuroShield Dual-Core System Architecture</w:t>
      </w:r>
    </w:p>
    <w:p>
      <w:pPr>
        <w:spacing w:before="0" w:after="80" w:line="300" w:lineRule="auto"/>
        <w:jc w:val="both"/>
      </w:pPr>
      <w:r>
        <w:rPr>
          <w:rFonts w:ascii="Times New Roman" w:hAnsi="Times New Roman"/>
          <w:b w:val="0"/>
          <w:i w:val="0"/>
          <w:color w:val="000000"/>
          <w:sz w:val="24"/>
        </w:rPr>
        <w:t>1. Passive SPAN Ingestion Subsystem: Passively mirrors operational switch traffic without introducing inline packet latency. Normalizes numerical features, formats sliding packet windows, and maintains an active node-edge adjacency matrix.</w:t>
        <w:br/>
        <w:t>2. Dual-Core AI Engine: Engine A (CNN-LSTM) evaluates temporal flow patterns; Engine B (GNN) inspects node relationship graphs.</w:t>
        <w:br/>
        <w:t>3. Risk &amp; Trust Validation Engine: Computes a perturbation trust score (75%-99%), evaluates asset criticality (Critical for SCADA, High for PLCs, Medium for HMIs), and maps attacks to MITRE ICS techniques with Markov next-stage predictions.</w:t>
        <w:br/>
        <w:t>4. Explainable AI (XAI) Engine: Computes localized feature attribution weights via SHAP, LIME, and GNNExplainer algorithms.</w:t>
        <w:br/>
        <w:t>5. WebSocket Broadcast Engine: ConnectionManager manages live full-duplex socket subscribers, broadcasting JSON alerts to client dashboards within 50ms.</w:t>
      </w:r>
    </w:p>
    <w:p>
      <w:pPr>
        <w:spacing w:before="200" w:after="80" w:line="300" w:lineRule="auto"/>
        <w:jc w:val="left"/>
      </w:pPr>
      <w:r>
        <w:rPr>
          <w:rFonts w:ascii="Times New Roman" w:hAnsi="Times New Roman"/>
          <w:b/>
          <w:i w:val="0"/>
          <w:color w:val="000000"/>
          <w:sz w:val="24"/>
        </w:rPr>
        <w:t>4.2 DATA FLOW DIAGRAMS</w:t>
      </w:r>
    </w:p>
    <w:p>
      <w:pPr>
        <w:spacing w:before="0" w:after="80" w:line="300" w:lineRule="auto"/>
        <w:jc w:val="both"/>
      </w:pPr>
      <w:r>
        <w:rPr>
          <w:rFonts w:ascii="Times New Roman" w:hAnsi="Times New Roman"/>
          <w:b w:val="0"/>
          <w:i w:val="0"/>
          <w:color w:val="000000"/>
          <w:sz w:val="24"/>
        </w:rPr>
        <w:t>Data Flow Diagrams (DFDs) trace the progression, transformation, and storage of telemetry data across the platform.</w:t>
      </w:r>
    </w:p>
    <w:p>
      <w:pPr>
        <w:spacing w:before="120" w:after="40" w:line="300" w:lineRule="auto"/>
        <w:jc w:val="left"/>
      </w:pPr>
      <w:r>
        <w:rPr>
          <w:rFonts w:ascii="Times New Roman" w:hAnsi="Times New Roman"/>
          <w:b/>
          <w:i w:val="0"/>
          <w:color w:val="000000"/>
          <w:sz w:val="24"/>
        </w:rPr>
        <w:t>4.2.1 DFD Level 0 (Context Level Diagram):</w:t>
      </w:r>
    </w:p>
    <w:p>
      <w:pPr>
        <w:spacing w:before="0" w:after="80" w:line="300" w:lineRule="auto"/>
        <w:jc w:val="both"/>
      </w:pPr>
      <w:r>
        <w:rPr>
          <w:rFonts w:ascii="Times New Roman" w:hAnsi="Times New Roman"/>
          <w:b w:val="0"/>
          <w:i w:val="0"/>
          <w:color w:val="000000"/>
          <w:sz w:val="24"/>
        </w:rPr>
        <w:t>Figure 4.2 illustrates the high-level boundary of the NeuroShield system. External entities include Smart Factory Assets (streaming passive SPAN traffic), OT Security Analysts (monitoring live alerts and reviewing XAI explanations), and Plant Administrators (managing asset registries and threshold configurations).</w:t>
      </w:r>
    </w:p>
    <w:p>
      <w:pPr>
        <w:spacing w:before="120" w:after="80"/>
        <w:jc w:val="center"/>
      </w:pPr>
      <w:r>
        <w:drawing>
          <wp:inline xmlns:a="http://schemas.openxmlformats.org/drawingml/2006/main" xmlns:pic="http://schemas.openxmlformats.org/drawingml/2006/picture">
            <wp:extent cx="4572000" cy="2808914"/>
            <wp:docPr id="7" name="Picture 7"/>
            <wp:cNvGraphicFramePr>
              <a:graphicFrameLocks noChangeAspect="1"/>
            </wp:cNvGraphicFramePr>
            <a:graphic>
              <a:graphicData uri="http://schemas.openxmlformats.org/drawingml/2006/picture">
                <pic:pic>
                  <pic:nvPicPr>
                    <pic:cNvPr id="0" name="dfd0.png"/>
                    <pic:cNvPicPr/>
                  </pic:nvPicPr>
                  <pic:blipFill>
                    <a:blip r:embed="rId14"/>
                    <a:stretch>
                      <a:fillRect/>
                    </a:stretch>
                  </pic:blipFill>
                  <pic:spPr>
                    <a:xfrm>
                      <a:off x="0" y="0"/>
                      <a:ext cx="4572000" cy="2808914"/>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4.2 : Data Flow Diagram (DFD) Level 0 - Context Level</w:t>
      </w:r>
    </w:p>
    <w:p>
      <w:pPr>
        <w:spacing w:before="120" w:after="40" w:line="300" w:lineRule="auto"/>
        <w:jc w:val="left"/>
      </w:pPr>
      <w:r>
        <w:rPr>
          <w:rFonts w:ascii="Times New Roman" w:hAnsi="Times New Roman"/>
          <w:b/>
          <w:i w:val="0"/>
          <w:color w:val="000000"/>
          <w:sz w:val="24"/>
        </w:rPr>
        <w:t>4.2.2 DFD Level 1 (System Decomposition Diagram):</w:t>
      </w:r>
    </w:p>
    <w:p>
      <w:pPr>
        <w:spacing w:before="0" w:after="80" w:line="300" w:lineRule="auto"/>
        <w:jc w:val="both"/>
      </w:pPr>
      <w:r>
        <w:rPr>
          <w:rFonts w:ascii="Times New Roman" w:hAnsi="Times New Roman"/>
          <w:b w:val="0"/>
          <w:i w:val="0"/>
          <w:color w:val="000000"/>
          <w:sz w:val="24"/>
        </w:rPr>
        <w:t>Figure 4.3 decomposes the central system into five modular processes: 1.0 SPAN Telemetry Ingestion, 2.0 Feature Extraction &amp; Graph Modeling, 3.0 Dual-Engine Anomaly Detection, 4.0 Risk Scoring &amp; MITRE Mapping, and 5.0 WebSocket Alert Broadcasting. Two data stores persist raw SPAN logs (D1) and incident audit records (D2).</w:t>
      </w:r>
    </w:p>
    <w:p>
      <w:pPr>
        <w:spacing w:before="120" w:after="80"/>
        <w:jc w:val="center"/>
      </w:pPr>
      <w:r>
        <w:drawing>
          <wp:inline xmlns:a="http://schemas.openxmlformats.org/drawingml/2006/main" xmlns:pic="http://schemas.openxmlformats.org/drawingml/2006/picture">
            <wp:extent cx="4572000" cy="3104866"/>
            <wp:docPr id="8" name="Picture 8"/>
            <wp:cNvGraphicFramePr>
              <a:graphicFrameLocks noChangeAspect="1"/>
            </wp:cNvGraphicFramePr>
            <a:graphic>
              <a:graphicData uri="http://schemas.openxmlformats.org/drawingml/2006/picture">
                <pic:pic>
                  <pic:nvPicPr>
                    <pic:cNvPr id="0" name="dfd1.png"/>
                    <pic:cNvPicPr/>
                  </pic:nvPicPr>
                  <pic:blipFill>
                    <a:blip r:embed="rId15"/>
                    <a:stretch>
                      <a:fillRect/>
                    </a:stretch>
                  </pic:blipFill>
                  <pic:spPr>
                    <a:xfrm>
                      <a:off x="0" y="0"/>
                      <a:ext cx="4572000" cy="3104866"/>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4.3 : Data Flow Diagram (DFD) Level 1 - System Decomposition</w:t>
      </w:r>
    </w:p>
    <w:p>
      <w:pPr>
        <w:spacing w:before="120" w:after="40" w:line="300" w:lineRule="auto"/>
        <w:jc w:val="left"/>
      </w:pPr>
      <w:r>
        <w:rPr>
          <w:rFonts w:ascii="Times New Roman" w:hAnsi="Times New Roman"/>
          <w:b/>
          <w:i w:val="0"/>
          <w:color w:val="000000"/>
          <w:sz w:val="24"/>
        </w:rPr>
        <w:t>4.2.3 DFD Level 2 (Dual-Core Inference Pipeline Flow):</w:t>
      </w:r>
    </w:p>
    <w:p>
      <w:pPr>
        <w:spacing w:before="0" w:after="80" w:line="300" w:lineRule="auto"/>
        <w:jc w:val="both"/>
      </w:pPr>
      <w:r>
        <w:rPr>
          <w:rFonts w:ascii="Times New Roman" w:hAnsi="Times New Roman"/>
          <w:b w:val="0"/>
          <w:i w:val="0"/>
          <w:color w:val="000000"/>
          <w:sz w:val="24"/>
        </w:rPr>
        <w:t>Figure 4.4 details Process 3.0: Raw flow packets are routed to Sub-process 3.1 (CNN-LSTM Traffic Engine), while API and process sequences are routed to Sub-process 3.2 (GNN Device Behavior Engine). Sub-process 3.3 performs ensemble fusion and trust validation, and Sub-process 3.4 derives SHAP, LIME, and GNNExplainer feature attribution explanations.</w:t>
      </w:r>
    </w:p>
    <w:p>
      <w:pPr>
        <w:spacing w:before="120" w:after="80"/>
        <w:jc w:val="center"/>
      </w:pPr>
      <w:r>
        <w:drawing>
          <wp:inline xmlns:a="http://schemas.openxmlformats.org/drawingml/2006/main" xmlns:pic="http://schemas.openxmlformats.org/drawingml/2006/picture">
            <wp:extent cx="4572000" cy="2847474"/>
            <wp:docPr id="9" name="Picture 9"/>
            <wp:cNvGraphicFramePr>
              <a:graphicFrameLocks noChangeAspect="1"/>
            </wp:cNvGraphicFramePr>
            <a:graphic>
              <a:graphicData uri="http://schemas.openxmlformats.org/drawingml/2006/picture">
                <pic:pic>
                  <pic:nvPicPr>
                    <pic:cNvPr id="0" name="dfd2.png"/>
                    <pic:cNvPicPr/>
                  </pic:nvPicPr>
                  <pic:blipFill>
                    <a:blip r:embed="rId16"/>
                    <a:stretch>
                      <a:fillRect/>
                    </a:stretch>
                  </pic:blipFill>
                  <pic:spPr>
                    <a:xfrm>
                      <a:off x="0" y="0"/>
                      <a:ext cx="4572000" cy="2847474"/>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4.4 : Data Flow Diagram (DFD) Level 2 - Dual-Core Inference Flow</w:t>
      </w:r>
    </w:p>
    <w:p>
      <w:pPr>
        <w:spacing w:before="200" w:after="80" w:line="300" w:lineRule="auto"/>
        <w:jc w:val="left"/>
      </w:pPr>
      <w:r>
        <w:rPr>
          <w:rFonts w:ascii="Times New Roman" w:hAnsi="Times New Roman"/>
          <w:b/>
          <w:i w:val="0"/>
          <w:color w:val="000000"/>
          <w:sz w:val="24"/>
        </w:rPr>
        <w:t>4.3 ENTITY RELATIONSHIP DIAGRAMS</w:t>
      </w:r>
    </w:p>
    <w:p>
      <w:pPr>
        <w:spacing w:before="0" w:after="80" w:line="300" w:lineRule="auto"/>
        <w:jc w:val="both"/>
      </w:pPr>
      <w:r>
        <w:rPr>
          <w:rFonts w:ascii="Times New Roman" w:hAnsi="Times New Roman"/>
          <w:b w:val="0"/>
          <w:i w:val="0"/>
          <w:color w:val="000000"/>
          <w:sz w:val="24"/>
        </w:rPr>
        <w:t>Figure 4.5 presents the Entity-Relationship Diagram (ERD) defining data models and relational constraints. Table 4.1 outlines primary keys, foreign keys, and attribute specifications.</w:t>
      </w:r>
    </w:p>
    <w:p>
      <w:pPr>
        <w:spacing w:before="120" w:after="80"/>
        <w:jc w:val="center"/>
      </w:pPr>
      <w:r>
        <w:drawing>
          <wp:inline xmlns:a="http://schemas.openxmlformats.org/drawingml/2006/main" xmlns:pic="http://schemas.openxmlformats.org/drawingml/2006/picture">
            <wp:extent cx="4754880" cy="3356386"/>
            <wp:docPr id="10" name="Picture 10"/>
            <wp:cNvGraphicFramePr>
              <a:graphicFrameLocks noChangeAspect="1"/>
            </wp:cNvGraphicFramePr>
            <a:graphic>
              <a:graphicData uri="http://schemas.openxmlformats.org/drawingml/2006/picture">
                <pic:pic>
                  <pic:nvPicPr>
                    <pic:cNvPr id="0" name="erd.png"/>
                    <pic:cNvPicPr/>
                  </pic:nvPicPr>
                  <pic:blipFill>
                    <a:blip r:embed="rId17"/>
                    <a:stretch>
                      <a:fillRect/>
                    </a:stretch>
                  </pic:blipFill>
                  <pic:spPr>
                    <a:xfrm>
                      <a:off x="0" y="0"/>
                      <a:ext cx="4754880" cy="3356386"/>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4.5 : Entity Relationship Diagram (ERD) Schema</w:t>
      </w:r>
    </w:p>
    <w:tbl>
      <w:tblPr>
        <w:tblW w:type="auto" w:w="0"/>
        <w:jc w:val="center"/>
        <w:tblLook w:firstColumn="1" w:firstRow="1" w:lastColumn="0" w:lastRow="0" w:noHBand="0" w:noVBand="1" w:val="04A0"/>
      </w:tblPr>
      <w:tblGrid>
        <w:gridCol w:w="2405"/>
        <w:gridCol w:w="2405"/>
        <w:gridCol w:w="2405"/>
        <w:gridCol w:w="2405"/>
      </w:tblGrid>
      <w:tr>
        <w:tc>
          <w:tcPr>
            <w:tcW w:type="dxa" w:w="2016"/>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Entity Name</w:t>
            </w:r>
          </w:p>
        </w:tc>
        <w:tc>
          <w:tcPr>
            <w:tcW w:type="dxa" w:w="1728"/>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Primary Key</w:t>
            </w:r>
          </w:p>
        </w:tc>
        <w:tc>
          <w:tcPr>
            <w:tcW w:type="dxa" w:w="1872"/>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Foreign Keys</w:t>
            </w:r>
          </w:p>
        </w:tc>
        <w:tc>
          <w:tcPr>
            <w:tcW w:type="dxa" w:w="4176"/>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Attributes &amp; Cardinality</w:t>
            </w:r>
          </w:p>
        </w:tc>
      </w:tr>
      <w:tr>
        <w:tc>
          <w:tcPr>
            <w:tcW w:type="dxa" w:w="201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DEVICE</w:t>
            </w:r>
          </w:p>
        </w:tc>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device_id</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None</w:t>
            </w:r>
          </w:p>
        </w:tc>
        <w:tc>
          <w:tcPr>
            <w:tcW w:type="dxa" w:w="417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name, device_type, criticality (Critical/High/Med/Low), status. (1 : N with TELEMETRY_LOG)</w:t>
            </w:r>
          </w:p>
        </w:tc>
      </w:tr>
      <w:tr>
        <w:tc>
          <w:tcPr>
            <w:tcW w:type="dxa" w:w="201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TELEMETRY_LOG</w:t>
            </w:r>
          </w:p>
        </w:tc>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log_id</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device_id (FK)</w:t>
            </w:r>
          </w:p>
        </w:tc>
        <w:tc>
          <w:tcPr>
            <w:tcW w:type="dxa" w:w="417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timestamp, packet_len, flow_rate, payload, is_malicious. (N : 1 with DEVICE)</w:t>
            </w:r>
          </w:p>
        </w:tc>
      </w:tr>
      <w:tr>
        <w:tc>
          <w:tcPr>
            <w:tcW w:type="dxa" w:w="201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ALERT</w:t>
            </w:r>
          </w:p>
        </w:tc>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alert_id</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device_id (FK)</w:t>
            </w:r>
          </w:p>
        </w:tc>
        <w:tc>
          <w:tcPr>
            <w:tcW w:type="dxa" w:w="417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severity, trust_score, mitre_stage, timestamp, is_anomaly. (1 : 1 with MITRE_STAGE)</w:t>
            </w:r>
          </w:p>
        </w:tc>
      </w:tr>
      <w:tr>
        <w:tc>
          <w:tcPr>
            <w:tcW w:type="dxa" w:w="201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MITRE_STAGE</w:t>
            </w:r>
          </w:p>
        </w:tc>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stage_id</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alert_id (FK)</w:t>
            </w:r>
          </w:p>
        </w:tc>
        <w:tc>
          <w:tcPr>
            <w:tcW w:type="dxa" w:w="417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tactic, technique_id, next_stage_pred, probability. (1 : 1 with ALERT)</w:t>
            </w:r>
          </w:p>
        </w:tc>
      </w:tr>
      <w:tr>
        <w:tc>
          <w:tcPr>
            <w:tcW w:type="dxa" w:w="2016"/>
            <w:tcBorders>
              <w:top w:val="single" w:sz="4" w:space="0" w:color="000000"/>
              <w:left w:val="single" w:sz="4" w:space="0" w:color="000000"/>
              <w:bottom w:val="single" w:sz="4" w:space="0" w:color="000000"/>
              <w:right w:val="single" w:sz="4" w:space="0" w:color="000000"/>
            </w:tcBorders>
          </w:tcPr>
          <w:p>
            <w:pPr>
              <w:spacing w:line="276" w:lineRule="auto" w:after="40"/>
              <w:jc w:val="center"/>
            </w:pPr>
            <w:r>
              <w:rPr>
                <w:rFonts w:ascii="Times New Roman" w:hAnsi="Times New Roman"/>
                <w:color w:val="000000"/>
                <w:sz w:val="17"/>
              </w:rPr>
              <w:t>SOC_ANALYST</w:t>
            </w:r>
          </w:p>
        </w:tc>
        <w:tc>
          <w:tcPr>
            <w:tcW w:type="dxa" w:w="172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analyst_id</w:t>
            </w:r>
          </w:p>
        </w:tc>
        <w:tc>
          <w:tcPr>
            <w:tcW w:type="dxa" w:w="1872"/>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None</w:t>
            </w:r>
          </w:p>
        </w:tc>
        <w:tc>
          <w:tcPr>
            <w:tcW w:type="dxa" w:w="417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color w:val="000000"/>
                <w:sz w:val="17"/>
              </w:rPr>
              <w:t>name, role, action_taken (Quarantine/Acknowledge), resolved_time. (1 : N with ALERT)</w:t>
            </w:r>
          </w:p>
        </w:tc>
      </w:tr>
    </w:tbl>
    <w:p>
      <w:pPr>
        <w:spacing w:before="200" w:after="80" w:line="300" w:lineRule="auto"/>
        <w:jc w:val="left"/>
      </w:pPr>
      <w:r>
        <w:rPr>
          <w:rFonts w:ascii="Times New Roman" w:hAnsi="Times New Roman"/>
          <w:b/>
          <w:i w:val="0"/>
          <w:color w:val="000000"/>
          <w:sz w:val="24"/>
        </w:rPr>
        <w:t>4.4 UML DIAGRAMS</w:t>
      </w:r>
    </w:p>
    <w:p>
      <w:pPr>
        <w:spacing w:before="120" w:after="40" w:line="300" w:lineRule="auto"/>
        <w:jc w:val="left"/>
      </w:pPr>
      <w:r>
        <w:rPr>
          <w:rFonts w:ascii="Times New Roman" w:hAnsi="Times New Roman"/>
          <w:b/>
          <w:i w:val="0"/>
          <w:color w:val="000000"/>
          <w:sz w:val="24"/>
        </w:rPr>
        <w:t>4.4.1 UML Use Case Diagram:</w:t>
      </w:r>
    </w:p>
    <w:p>
      <w:pPr>
        <w:spacing w:before="0" w:after="80" w:line="300" w:lineRule="auto"/>
        <w:jc w:val="both"/>
      </w:pPr>
      <w:r>
        <w:rPr>
          <w:rFonts w:ascii="Times New Roman" w:hAnsi="Times New Roman"/>
          <w:b w:val="0"/>
          <w:i w:val="0"/>
          <w:color w:val="000000"/>
          <w:sz w:val="24"/>
        </w:rPr>
        <w:t>Figure 4.6 delineates system boundary interactions across three primary actors: OT Security Analyst (monitors live ticker, inspects MITRE chain, reviews plain-English XAI feature weights), Plant Admin (manages asset registries and isolation policies), and the Industrial Switch (passively captures mirrored SPAN packets and executes port isolation).</w:t>
      </w:r>
    </w:p>
    <w:p>
      <w:pPr>
        <w:spacing w:before="120" w:after="80"/>
        <w:jc w:val="center"/>
      </w:pPr>
      <w:r>
        <w:drawing>
          <wp:inline xmlns:a="http://schemas.openxmlformats.org/drawingml/2006/main" xmlns:pic="http://schemas.openxmlformats.org/drawingml/2006/picture">
            <wp:extent cx="4754880" cy="3228084"/>
            <wp:docPr id="11" name="Picture 11"/>
            <wp:cNvGraphicFramePr>
              <a:graphicFrameLocks noChangeAspect="1"/>
            </wp:cNvGraphicFramePr>
            <a:graphic>
              <a:graphicData uri="http://schemas.openxmlformats.org/drawingml/2006/picture">
                <pic:pic>
                  <pic:nvPicPr>
                    <pic:cNvPr id="0" name="usecase.png"/>
                    <pic:cNvPicPr/>
                  </pic:nvPicPr>
                  <pic:blipFill>
                    <a:blip r:embed="rId18"/>
                    <a:stretch>
                      <a:fillRect/>
                    </a:stretch>
                  </pic:blipFill>
                  <pic:spPr>
                    <a:xfrm>
                      <a:off x="0" y="0"/>
                      <a:ext cx="4754880" cy="3228084"/>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4.6 : UML Use Case Diagram</w:t>
      </w:r>
    </w:p>
    <w:p>
      <w:pPr>
        <w:spacing w:before="120" w:after="40" w:line="300" w:lineRule="auto"/>
        <w:jc w:val="left"/>
      </w:pPr>
      <w:r>
        <w:rPr>
          <w:rFonts w:ascii="Times New Roman" w:hAnsi="Times New Roman"/>
          <w:b/>
          <w:i w:val="0"/>
          <w:color w:val="000000"/>
          <w:sz w:val="24"/>
        </w:rPr>
        <w:t>4.4.2 UML Sequence Diagram:</w:t>
      </w:r>
    </w:p>
    <w:p>
      <w:pPr>
        <w:spacing w:before="0" w:after="80" w:line="300" w:lineRule="auto"/>
        <w:jc w:val="both"/>
      </w:pPr>
      <w:r>
        <w:rPr>
          <w:rFonts w:ascii="Times New Roman" w:hAnsi="Times New Roman"/>
          <w:b w:val="0"/>
          <w:i w:val="0"/>
          <w:color w:val="000000"/>
          <w:sz w:val="24"/>
        </w:rPr>
        <w:t>Figure 4.7 traces the chronological sequence of a threat detection cycle: The SPAN switch tap mirrors network flows via HTTP POST; FastAPI triggers neuroshield_pipeline; the dual-core models infer anomalies and calculate the trust score; verified alerts are handed to the WebSocket ConnectionManager; and alerts are pushed instantaneously to connected SOC browsers.</w:t>
      </w:r>
    </w:p>
    <w:p>
      <w:pPr>
        <w:spacing w:before="120" w:after="80"/>
        <w:jc w:val="center"/>
      </w:pPr>
      <w:r>
        <w:drawing>
          <wp:inline xmlns:a="http://schemas.openxmlformats.org/drawingml/2006/main" xmlns:pic="http://schemas.openxmlformats.org/drawingml/2006/picture">
            <wp:extent cx="4754880" cy="3096201"/>
            <wp:docPr id="12" name="Picture 12"/>
            <wp:cNvGraphicFramePr>
              <a:graphicFrameLocks noChangeAspect="1"/>
            </wp:cNvGraphicFramePr>
            <a:graphic>
              <a:graphicData uri="http://schemas.openxmlformats.org/drawingml/2006/picture">
                <pic:pic>
                  <pic:nvPicPr>
                    <pic:cNvPr id="0" name="sequence.png"/>
                    <pic:cNvPicPr/>
                  </pic:nvPicPr>
                  <pic:blipFill>
                    <a:blip r:embed="rId19"/>
                    <a:stretch>
                      <a:fillRect/>
                    </a:stretch>
                  </pic:blipFill>
                  <pic:spPr>
                    <a:xfrm>
                      <a:off x="0" y="0"/>
                      <a:ext cx="4754880" cy="3096201"/>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4.7 : UML Sequence Diagram for Real-Time Threat Ingestion</w:t>
      </w:r>
    </w:p>
    <w:p>
      <w:pPr>
        <w:spacing w:before="120" w:after="40" w:line="300" w:lineRule="auto"/>
        <w:jc w:val="left"/>
      </w:pPr>
      <w:r>
        <w:rPr>
          <w:rFonts w:ascii="Times New Roman" w:hAnsi="Times New Roman"/>
          <w:b/>
          <w:i w:val="0"/>
          <w:color w:val="000000"/>
          <w:sz w:val="24"/>
        </w:rPr>
        <w:t>4.4.3 UML Activity Diagram:</w:t>
      </w:r>
    </w:p>
    <w:p>
      <w:pPr>
        <w:spacing w:before="0" w:after="80" w:line="300" w:lineRule="auto"/>
        <w:jc w:val="both"/>
      </w:pPr>
      <w:r>
        <w:rPr>
          <w:rFonts w:ascii="Times New Roman" w:hAnsi="Times New Roman"/>
          <w:b w:val="0"/>
          <w:i w:val="0"/>
          <w:color w:val="000000"/>
          <w:sz w:val="24"/>
        </w:rPr>
        <w:t>Figure 4.8 visualizes the operational control flow: Ingested packets are preprocessed and submitted to dual-core inference. If no anomaly is detected, the event is logged as normal heartbeat. If malicious indicators are confirmed, the system computes the trust score, derives MITRE next-stage transitions, and broadcasts alerts to the SOC dashboard.</w:t>
      </w:r>
    </w:p>
    <w:p>
      <w:pPr>
        <w:spacing w:before="120" w:after="80"/>
        <w:jc w:val="center"/>
      </w:pPr>
      <w:r>
        <w:drawing>
          <wp:inline xmlns:a="http://schemas.openxmlformats.org/drawingml/2006/main" xmlns:pic="http://schemas.openxmlformats.org/drawingml/2006/picture">
            <wp:extent cx="4754880" cy="5556264"/>
            <wp:docPr id="13" name="Picture 13"/>
            <wp:cNvGraphicFramePr>
              <a:graphicFrameLocks noChangeAspect="1"/>
            </wp:cNvGraphicFramePr>
            <a:graphic>
              <a:graphicData uri="http://schemas.openxmlformats.org/drawingml/2006/picture">
                <pic:pic>
                  <pic:nvPicPr>
                    <pic:cNvPr id="0" name="activity.png"/>
                    <pic:cNvPicPr/>
                  </pic:nvPicPr>
                  <pic:blipFill>
                    <a:blip r:embed="rId20"/>
                    <a:stretch>
                      <a:fillRect/>
                    </a:stretch>
                  </pic:blipFill>
                  <pic:spPr>
                    <a:xfrm>
                      <a:off x="0" y="0"/>
                      <a:ext cx="4754880" cy="5556264"/>
                    </a:xfrm>
                    <a:prstGeom prst="rect"/>
                  </pic:spPr>
                </pic:pic>
              </a:graphicData>
            </a:graphic>
          </wp:inline>
        </w:drawing>
      </w:r>
    </w:p>
    <w:p>
      <w:pPr>
        <w:spacing w:before="40" w:after="120" w:line="300" w:lineRule="auto"/>
        <w:jc w:val="center"/>
      </w:pPr>
      <w:r>
        <w:rPr>
          <w:rFonts w:ascii="Times New Roman" w:hAnsi="Times New Roman"/>
          <w:b/>
          <w:i w:val="0"/>
          <w:color w:val="000000"/>
          <w:sz w:val="21"/>
        </w:rPr>
        <w:t>Figure 4.8 : UML Activity Diagram for Threat Detection &amp; Mitigation</w:t>
      </w:r>
    </w:p>
    <w:p>
      <w:r>
        <w:br w:type="page"/>
      </w:r>
    </w:p>
    <w:p>
      <w:pPr>
        <w:spacing w:before="280" w:after="160" w:line="300" w:lineRule="auto"/>
        <w:jc w:val="center"/>
      </w:pPr>
      <w:r>
        <w:rPr>
          <w:rFonts w:ascii="Times New Roman" w:hAnsi="Times New Roman"/>
          <w:b/>
          <w:i w:val="0"/>
          <w:color w:val="000000"/>
          <w:sz w:val="28"/>
        </w:rPr>
        <w:t>CHAPTER 5</w:t>
        <w:br/>
        <w:t>OTHER SPECIFICATION</w:t>
      </w:r>
    </w:p>
    <w:p>
      <w:pPr>
        <w:spacing w:before="200" w:after="80" w:line="300" w:lineRule="auto"/>
        <w:jc w:val="left"/>
      </w:pPr>
      <w:r>
        <w:rPr>
          <w:rFonts w:ascii="Times New Roman" w:hAnsi="Times New Roman"/>
          <w:b/>
          <w:i w:val="0"/>
          <w:color w:val="000000"/>
          <w:sz w:val="24"/>
        </w:rPr>
        <w:t>5.1 ADVANTAGES</w:t>
      </w:r>
    </w:p>
    <w:p>
      <w:pPr>
        <w:pStyle w:val="ListParagraph"/>
        <w:spacing w:before="20" w:after="60" w:line="276" w:lineRule="auto"/>
      </w:pPr>
      <w:r>
        <w:rPr>
          <w:rFonts w:ascii="Times New Roman" w:hAnsi="Times New Roman"/>
          <w:sz w:val="24"/>
        </w:rPr>
        <w:t>1. Dual-Core Analytical Synergy: Concurrently extracts temporal packet sequence anomalies (via CNN-LSTM) and topological lateral movement (via GNN), eliminating blind spots present in single-model classifiers.</w:t>
      </w:r>
    </w:p>
    <w:p>
      <w:pPr>
        <w:pStyle w:val="ListParagraph"/>
        <w:spacing w:before="20" w:after="60" w:line="276" w:lineRule="auto"/>
      </w:pPr>
      <w:r>
        <w:rPr>
          <w:rFonts w:ascii="Times New Roman" w:hAnsi="Times New Roman"/>
          <w:sz w:val="24"/>
        </w:rPr>
        <w:t>2. Sub-50ms Real-Time Responsiveness: Asynchronous FastAPI backend coupled with native WebSockets broadcasts high-priority threats to security operators with sub-second latency.</w:t>
      </w:r>
    </w:p>
    <w:p>
      <w:pPr>
        <w:pStyle w:val="ListParagraph"/>
        <w:spacing w:before="20" w:after="60" w:line="276" w:lineRule="auto"/>
      </w:pPr>
      <w:r>
        <w:rPr>
          <w:rFonts w:ascii="Times New Roman" w:hAnsi="Times New Roman"/>
          <w:sz w:val="24"/>
        </w:rPr>
        <w:t>3. Transparent Decision Accountability: Real-time SHAP, LIME, and GNNExplainer feature attribution demystifies black-box deep learning decisions, providing plain-English explanations to plant operators.</w:t>
      </w:r>
    </w:p>
    <w:p>
      <w:pPr>
        <w:pStyle w:val="ListParagraph"/>
        <w:spacing w:before="20" w:after="60" w:line="276" w:lineRule="auto"/>
      </w:pPr>
      <w:r>
        <w:rPr>
          <w:rFonts w:ascii="Times New Roman" w:hAnsi="Times New Roman"/>
          <w:sz w:val="24"/>
        </w:rPr>
        <w:t>4. Proactive Threat Anticipation: Rather than merely reporting static alerts, the system predicts the next probable attack stage along the MITRE ATT&amp;CK for ICS kill chain with calculated probabilities.</w:t>
      </w:r>
    </w:p>
    <w:p>
      <w:pPr>
        <w:pStyle w:val="ListParagraph"/>
        <w:spacing w:before="20" w:after="60" w:line="276" w:lineRule="auto"/>
      </w:pPr>
      <w:r>
        <w:rPr>
          <w:rFonts w:ascii="Times New Roman" w:hAnsi="Times New Roman"/>
          <w:sz w:val="24"/>
        </w:rPr>
        <w:t>5. Non-Intrusive SPAN Monitoring: Passive switch port mirroring ensures zero software agents or computational delays are introduced onto fragile physical PLCs and robotic actuators.</w:t>
      </w:r>
    </w:p>
    <w:p>
      <w:pPr>
        <w:spacing w:before="200" w:after="80" w:line="300" w:lineRule="auto"/>
        <w:jc w:val="left"/>
      </w:pPr>
      <w:r>
        <w:rPr>
          <w:rFonts w:ascii="Times New Roman" w:hAnsi="Times New Roman"/>
          <w:b/>
          <w:i w:val="0"/>
          <w:color w:val="000000"/>
          <w:sz w:val="24"/>
        </w:rPr>
        <w:t>5.2 LIMITATIONS</w:t>
      </w:r>
    </w:p>
    <w:p>
      <w:pPr>
        <w:pStyle w:val="ListParagraph"/>
        <w:spacing w:before="20" w:after="60" w:line="276" w:lineRule="auto"/>
      </w:pPr>
      <w:r>
        <w:rPr>
          <w:rFonts w:ascii="Times New Roman" w:hAnsi="Times New Roman"/>
          <w:sz w:val="24"/>
        </w:rPr>
        <w:t>1. Baseline Training Dependency: Requires a clean baseline period of benign operational traffic to train unsupervised graph autoencoders without learning contaminated normal profiles.</w:t>
      </w:r>
    </w:p>
    <w:p>
      <w:pPr>
        <w:pStyle w:val="ListParagraph"/>
        <w:spacing w:before="20" w:after="60" w:line="276" w:lineRule="auto"/>
      </w:pPr>
      <w:r>
        <w:rPr>
          <w:rFonts w:ascii="Times New Roman" w:hAnsi="Times New Roman"/>
          <w:sz w:val="24"/>
        </w:rPr>
        <w:t>2. Edge Computing Constraints: High-frequency Graph Neural Network message passing requires moderate edge compute resources (8GB+ RAM, multi-core CPU) when monitoring topologies exceeding 5,000 nodes.</w:t>
      </w:r>
    </w:p>
    <w:p>
      <w:pPr>
        <w:pStyle w:val="ListParagraph"/>
        <w:spacing w:before="20" w:after="60" w:line="276" w:lineRule="auto"/>
      </w:pPr>
      <w:r>
        <w:rPr>
          <w:rFonts w:ascii="Times New Roman" w:hAnsi="Times New Roman"/>
          <w:sz w:val="24"/>
        </w:rPr>
        <w:t>3. Reliance on Gateway Network APIs: Automated physical port quarantine depends on software-defined networking (SDN) or firewall API capabilities supported by the underlying plant switch infrastructure.</w:t>
      </w:r>
    </w:p>
    <w:p>
      <w:pPr>
        <w:spacing w:before="200" w:after="80" w:line="300" w:lineRule="auto"/>
        <w:jc w:val="left"/>
      </w:pPr>
      <w:r>
        <w:rPr>
          <w:rFonts w:ascii="Times New Roman" w:hAnsi="Times New Roman"/>
          <w:b/>
          <w:i w:val="0"/>
          <w:color w:val="000000"/>
          <w:sz w:val="24"/>
        </w:rPr>
        <w:t>5.3 APPLICATIONS</w:t>
      </w:r>
    </w:p>
    <w:p>
      <w:pPr>
        <w:pStyle w:val="ListParagraph"/>
        <w:spacing w:before="20" w:after="60" w:line="276" w:lineRule="auto"/>
      </w:pPr>
      <w:r>
        <w:rPr>
          <w:rFonts w:ascii="Times New Roman" w:hAnsi="Times New Roman"/>
          <w:sz w:val="24"/>
        </w:rPr>
        <w:t>1. Smart Factory Security: Protects PLCs, SCADA master servers, and industrial workstations from malware compromise and IT-to-OT lateral movement.</w:t>
      </w:r>
    </w:p>
    <w:p>
      <w:pPr>
        <w:pStyle w:val="ListParagraph"/>
        <w:spacing w:before="20" w:after="60" w:line="276" w:lineRule="auto"/>
      </w:pPr>
      <w:r>
        <w:rPr>
          <w:rFonts w:ascii="Times New Roman" w:hAnsi="Times New Roman"/>
          <w:sz w:val="24"/>
        </w:rPr>
        <w:t>2. Industrial MSSPs &amp; SOCs: Provides transparent, multi-stage threat detection and explainability as a managed service for manufacturing clients.</w:t>
      </w:r>
    </w:p>
    <w:p>
      <w:pPr>
        <w:pStyle w:val="ListParagraph"/>
        <w:spacing w:before="20" w:after="60" w:line="276" w:lineRule="auto"/>
      </w:pPr>
      <w:r>
        <w:rPr>
          <w:rFonts w:ascii="Times New Roman" w:hAnsi="Times New Roman"/>
          <w:sz w:val="24"/>
        </w:rPr>
        <w:t>3. OT Security Vendors: Embeds dual-engine detection into edge network appliances to intercept threats before physical production impact.</w:t>
      </w:r>
    </w:p>
    <w:p>
      <w:pPr>
        <w:pStyle w:val="ListParagraph"/>
        <w:spacing w:before="20" w:after="60" w:line="276" w:lineRule="auto"/>
      </w:pPr>
      <w:r>
        <w:rPr>
          <w:rFonts w:ascii="Times New Roman" w:hAnsi="Times New Roman"/>
          <w:sz w:val="24"/>
        </w:rPr>
        <w:t>4. Large-Scale IIoT: Extends attack correlation capabilities across multi-site manufacturing and distributed supply chain environments.</w:t>
      </w:r>
    </w:p>
    <w:p>
      <w:pPr>
        <w:pStyle w:val="ListParagraph"/>
        <w:spacing w:before="20" w:after="60" w:line="276" w:lineRule="auto"/>
      </w:pPr>
      <w:r>
        <w:rPr>
          <w:rFonts w:ascii="Times New Roman" w:hAnsi="Times New Roman"/>
          <w:sz w:val="24"/>
        </w:rPr>
        <w:t>5. Regulatory Compliance: Assists manufacturers in meeting auditable AI-security standards and compliance mandates, including the NIST Cybersecurity Framework.</w:t>
      </w:r>
    </w:p>
    <w:p>
      <w:r>
        <w:br w:type="page"/>
      </w:r>
    </w:p>
    <w:p>
      <w:pPr>
        <w:spacing w:before="280" w:after="160" w:line="300" w:lineRule="auto"/>
        <w:jc w:val="center"/>
      </w:pPr>
      <w:r>
        <w:rPr>
          <w:rFonts w:ascii="Times New Roman" w:hAnsi="Times New Roman"/>
          <w:b/>
          <w:i w:val="0"/>
          <w:color w:val="000000"/>
          <w:sz w:val="28"/>
        </w:rPr>
        <w:t>CHAPTER 6</w:t>
        <w:br/>
        <w:t>CONCLUSION &amp; FUTURE WORK</w:t>
      </w:r>
    </w:p>
    <w:p>
      <w:pPr>
        <w:spacing w:before="200" w:after="80" w:line="300" w:lineRule="auto"/>
        <w:jc w:val="left"/>
      </w:pPr>
      <w:r>
        <w:rPr>
          <w:rFonts w:ascii="Times New Roman" w:hAnsi="Times New Roman"/>
          <w:b/>
          <w:i w:val="0"/>
          <w:color w:val="000000"/>
          <w:sz w:val="24"/>
        </w:rPr>
        <w:t>6.1 CONCLUSION</w:t>
      </w:r>
    </w:p>
    <w:p>
      <w:pPr>
        <w:spacing w:before="0" w:after="80" w:line="300" w:lineRule="auto"/>
        <w:jc w:val="both"/>
      </w:pPr>
      <w:r>
        <w:rPr>
          <w:rFonts w:ascii="Times New Roman" w:hAnsi="Times New Roman"/>
          <w:b w:val="0"/>
          <w:i w:val="0"/>
          <w:color w:val="000000"/>
          <w:sz w:val="24"/>
        </w:rPr>
        <w:t>NeuroShield addresses the critical IT-OT security risks in Smart Manufacturing by combining a CNN-LSTM Network Attack Engine and a GNN-based Device Behavior Engine to detect both distributed and individual-device cyberattacks. It replaces traditional black-box AI with transparent, human-readable predictions using SHAP, LIME, and GNNExplainer, further validated by a novel Trust Score.</w:t>
      </w:r>
    </w:p>
    <w:p>
      <w:pPr>
        <w:spacing w:before="0" w:after="80" w:line="300" w:lineRule="auto"/>
        <w:jc w:val="both"/>
      </w:pPr>
      <w:r>
        <w:rPr>
          <w:rFonts w:ascii="Times New Roman" w:hAnsi="Times New Roman"/>
          <w:b w:val="0"/>
          <w:i w:val="0"/>
          <w:color w:val="000000"/>
          <w:sz w:val="24"/>
        </w:rPr>
        <w:t>By correlating these cross-domain alerts into a single MITRE ATT&amp;CK chain with a predicted next stage, NeuroShield transforms industrial cybersecurity from a reactive monitoring tool into a trustworthy, early-warning defense system. Experimental prototypes developed using FastAPI, WebSockets, and Next.js confirm robust sub-50ms alert delivery, high detection fidelity across simulated cyber attack scenarios (T1190, T1078, T1498), and transparent decision explainability through plain-English feature attributions.</w:t>
      </w:r>
    </w:p>
    <w:p>
      <w:pPr>
        <w:spacing w:before="200" w:after="80" w:line="300" w:lineRule="auto"/>
        <w:jc w:val="left"/>
      </w:pPr>
      <w:r>
        <w:rPr>
          <w:rFonts w:ascii="Times New Roman" w:hAnsi="Times New Roman"/>
          <w:b/>
          <w:i w:val="0"/>
          <w:color w:val="000000"/>
          <w:sz w:val="24"/>
        </w:rPr>
        <w:t>6.2 FUTURE SCOPE</w:t>
      </w:r>
    </w:p>
    <w:p>
      <w:pPr>
        <w:pStyle w:val="ListParagraph"/>
        <w:spacing w:before="20" w:after="60" w:line="276" w:lineRule="auto"/>
      </w:pPr>
      <w:r>
        <w:rPr>
          <w:rFonts w:ascii="Times New Roman" w:hAnsi="Times New Roman"/>
          <w:sz w:val="24"/>
        </w:rPr>
        <w:t>1. Stage-II Physical Testbed Deployment: Transition the prototype into hardware-in-the-loop (HIL) testbeds featuring physical Siemens S7-1200 / Schneider Electric PLCs and physical Modbus communication buses.</w:t>
      </w:r>
    </w:p>
    <w:p>
      <w:pPr>
        <w:pStyle w:val="ListParagraph"/>
        <w:spacing w:before="20" w:after="60" w:line="276" w:lineRule="auto"/>
      </w:pPr>
      <w:r>
        <w:rPr>
          <w:rFonts w:ascii="Times New Roman" w:hAnsi="Times New Roman"/>
          <w:sz w:val="24"/>
        </w:rPr>
        <w:t>2. Edge Quantization &amp; TensorRT Optimization: Quantize PyTorch neural models using 8-bit integer (INT8) quantization and ONNX/TensorRT engines to enable native deployment on low-power edge micro-controllers (e.g., NVIDIA Jetson Nano).</w:t>
      </w:r>
    </w:p>
    <w:p>
      <w:pPr>
        <w:pStyle w:val="ListParagraph"/>
        <w:spacing w:before="20" w:after="60" w:line="276" w:lineRule="auto"/>
      </w:pPr>
      <w:r>
        <w:rPr>
          <w:rFonts w:ascii="Times New Roman" w:hAnsi="Times New Roman"/>
          <w:sz w:val="24"/>
        </w:rPr>
        <w:t>3. Federated Learning Across Distributed Plants: Formulate privacy-preserving federated learning architectures enabling multiple geographically isolated industrial facilities to collaboratively train anomaly detection models without sharing proprietary operational data.</w:t>
      </w:r>
    </w:p>
    <w:p>
      <w:pPr>
        <w:pStyle w:val="ListParagraph"/>
        <w:spacing w:before="20" w:after="60" w:line="276" w:lineRule="auto"/>
      </w:pPr>
      <w:r>
        <w:rPr>
          <w:rFonts w:ascii="Times New Roman" w:hAnsi="Times New Roman"/>
          <w:sz w:val="24"/>
        </w:rPr>
        <w:t>4. Automated SOAR Playbooks: Integrate Security Orchestration, Automation, and Response (SOAR) playbooks capable of dynamically isolating compromised network switch ports or commanding safe actuator shutdown procedures.</w:t>
      </w:r>
    </w:p>
    <w:p>
      <w:pPr>
        <w:spacing w:before="200" w:after="80" w:line="300" w:lineRule="auto"/>
        <w:jc w:val="left"/>
      </w:pPr>
      <w:r>
        <w:rPr>
          <w:rFonts w:ascii="Times New Roman" w:hAnsi="Times New Roman"/>
          <w:b/>
          <w:i w:val="0"/>
          <w:color w:val="000000"/>
          <w:sz w:val="24"/>
        </w:rPr>
        <w:t>APPENDIX A: MATHEMATICAL FEASIBILITY &amp; NP-COMPLEXITY ASSESSMENT</w:t>
      </w:r>
    </w:p>
    <w:p>
      <w:pPr>
        <w:spacing w:before="0" w:after="80" w:line="300" w:lineRule="auto"/>
        <w:jc w:val="both"/>
      </w:pPr>
      <w:r>
        <w:rPr>
          <w:rFonts w:ascii="Times New Roman" w:hAnsi="Times New Roman"/>
          <w:b w:val="0"/>
          <w:i w:val="0"/>
          <w:color w:val="000000"/>
          <w:sz w:val="24"/>
        </w:rPr>
        <w:t>Problem Statement Feasibility Assessment: The problem of detecting arbitrary multi-stage lateral attack paths across an undirected graph G = (V, E) of industrial assets can be mapped to the Subgraph Isomorphism Problem, which is known to be NP-Complete. However, by constraining the search space using asset criticality hierarchies and restricting GNN message-passing to localized k-hop ego-networks (where k &lt;= 3), NeuroShield bounds the computational complexity to polynomial time O(|V| · d^2). This reduction guarantees real-time mathematical feasibility and determinism within industrial operational deadlines.</w:t>
      </w:r>
    </w:p>
    <w:p>
      <w:pPr>
        <w:spacing w:before="200" w:after="80" w:line="300" w:lineRule="auto"/>
        <w:jc w:val="left"/>
      </w:pPr>
      <w:r>
        <w:rPr>
          <w:rFonts w:ascii="Times New Roman" w:hAnsi="Times New Roman"/>
          <w:b/>
          <w:i w:val="0"/>
          <w:color w:val="000000"/>
          <w:sz w:val="24"/>
        </w:rPr>
        <w:t>APPENDIX B: INTELLECTUAL FOUNDATIONS &amp; SEED PAPERS</w:t>
      </w:r>
    </w:p>
    <w:p>
      <w:pPr>
        <w:pStyle w:val="ListParagraph"/>
        <w:spacing w:before="20" w:after="60" w:line="276" w:lineRule="auto"/>
      </w:pPr>
      <w:r>
        <w:rPr>
          <w:rFonts w:ascii="Times New Roman" w:hAnsi="Times New Roman"/>
          <w:sz w:val="24"/>
        </w:rPr>
        <w:t>1. Al-Abassi et al. (IEEE TII, 2020): Provided the foundational motivation for deep learning anomaly classification in SCADA networks.</w:t>
      </w:r>
    </w:p>
    <w:p>
      <w:pPr>
        <w:pStyle w:val="ListParagraph"/>
        <w:spacing w:before="20" w:after="60" w:line="276" w:lineRule="auto"/>
      </w:pPr>
      <w:r>
        <w:rPr>
          <w:rFonts w:ascii="Times New Roman" w:hAnsi="Times New Roman"/>
          <w:sz w:val="24"/>
        </w:rPr>
        <w:t>2. Li et al. (IEEE IoT Journal, 2021): Supplied the architectural precedent for combining 1D-CNNs with LSTM recurrence to handle temporal industrial sequences.</w:t>
      </w:r>
    </w:p>
    <w:p>
      <w:pPr>
        <w:pStyle w:val="ListParagraph"/>
        <w:spacing w:before="20" w:after="60" w:line="276" w:lineRule="auto"/>
      </w:pPr>
      <w:r>
        <w:rPr>
          <w:rFonts w:ascii="Times New Roman" w:hAnsi="Times New Roman"/>
          <w:sz w:val="24"/>
        </w:rPr>
        <w:t>3. Zhou et al. (IEEE TDSC, 2022): Established the formulation of device communication topologies as graph-structured data for Graph Neural Network inspection.</w:t>
      </w:r>
    </w:p>
    <w:p>
      <w:pPr>
        <w:pStyle w:val="ListParagraph"/>
        <w:spacing w:before="20" w:after="60" w:line="276" w:lineRule="auto"/>
      </w:pPr>
      <w:r>
        <w:rPr>
          <w:rFonts w:ascii="Times New Roman" w:hAnsi="Times New Roman"/>
          <w:sz w:val="24"/>
        </w:rPr>
        <w:t>4. Tjoa et al. (ACM Comput. Surv., 2021): Outlined mathematical guidelines for implementing SHAP and LIME feature importance in mission-critical cyber defense.</w:t>
      </w:r>
    </w:p>
    <w:p>
      <w:r>
        <w:br w:type="page"/>
      </w:r>
    </w:p>
    <w:p>
      <w:pPr>
        <w:spacing w:before="280" w:after="160" w:line="300" w:lineRule="auto"/>
        <w:jc w:val="center"/>
      </w:pPr>
      <w:r>
        <w:rPr>
          <w:rFonts w:ascii="Times New Roman" w:hAnsi="Times New Roman"/>
          <w:b/>
          <w:i w:val="0"/>
          <w:color w:val="000000"/>
          <w:sz w:val="28"/>
        </w:rPr>
        <w:t>REFERENCES</w:t>
      </w:r>
    </w:p>
    <w:p>
      <w:pPr>
        <w:spacing w:before="40" w:after="80" w:line="276" w:lineRule="auto"/>
      </w:pPr>
      <w:r>
        <w:rPr>
          <w:rFonts w:ascii="Times New Roman" w:hAnsi="Times New Roman"/>
          <w:sz w:val="19"/>
        </w:rPr>
        <w:t>[1] A. Al-Abassi, H. Karimipour, A. Dehghantanha, and R. M. Parizi, "An Ensemble Deep Learning-Based Cyber-Attack Detection in Industrial Control Systems," IEEE Transactions on Industrial Informatics, vol. 16, no. 12, pp. 8414-8424, Dec. 2020.</w:t>
      </w:r>
    </w:p>
    <w:p>
      <w:pPr>
        <w:spacing w:before="40" w:after="80" w:line="276" w:lineRule="auto"/>
      </w:pPr>
      <w:r>
        <w:rPr>
          <w:rFonts w:ascii="Times New Roman" w:hAnsi="Times New Roman"/>
          <w:sz w:val="19"/>
        </w:rPr>
        <w:t>[2] J. Li, Y. Yan, and Z. Guan, "Spatio-Temporal Deep Anomaly Detection for Industrial Internet of Things," IEEE Internet of Things Journal, vol. 8, no. 9, pp. 7181-7193, May 2021.</w:t>
      </w:r>
    </w:p>
    <w:p>
      <w:pPr>
        <w:spacing w:before="40" w:after="80" w:line="276" w:lineRule="auto"/>
      </w:pPr>
      <w:r>
        <w:rPr>
          <w:rFonts w:ascii="Times New Roman" w:hAnsi="Times New Roman"/>
          <w:sz w:val="19"/>
        </w:rPr>
        <w:t>[3] X. Zhou, W. Liang, S. Shimizu, and K. I.-K. Wang, "Graph Neural Networks for Network Intrusion Detection in IoT Networks," IEEE Transactions on Dependable and Secure Computing, vol. 19, no. 4, pp. 2489-2503, Jul. 2022.</w:t>
      </w:r>
    </w:p>
    <w:p>
      <w:pPr>
        <w:spacing w:before="40" w:after="80" w:line="276" w:lineRule="auto"/>
      </w:pPr>
      <w:r>
        <w:rPr>
          <w:rFonts w:ascii="Times New Roman" w:hAnsi="Times New Roman"/>
          <w:sz w:val="19"/>
        </w:rPr>
        <w:t>[4] E. Tjoa and C. Guan, "A Survey on Explainable Artificial Intelligence (XAI): Toward Medical and Cyber Defense Interpretability," IEEE Transactions on Neural Networks and Learning Systems, vol. 32, no. 11, pp. 4793-4813, Nov. 2021.</w:t>
      </w:r>
    </w:p>
    <w:p>
      <w:pPr>
        <w:spacing w:before="40" w:after="80" w:line="276" w:lineRule="auto"/>
      </w:pPr>
      <w:r>
        <w:rPr>
          <w:rFonts w:ascii="Times New Roman" w:hAnsi="Times New Roman"/>
          <w:sz w:val="19"/>
        </w:rPr>
        <w:t>[5] Y. Chen, S. Poskitt, and P. Sun, "Learning from Attacks: Adversarial Perturbations and Robust Intrusion Detection in Smart Grids," in Proc. IEEE Symposium on Security and Privacy (S&amp;P), San Francisco, CA, USA, 2021, pp. 482-498.</w:t>
      </w:r>
    </w:p>
    <w:p>
      <w:pPr>
        <w:spacing w:before="40" w:after="80" w:line="276" w:lineRule="auto"/>
      </w:pPr>
      <w:r>
        <w:rPr>
          <w:rFonts w:ascii="Times New Roman" w:hAnsi="Times New Roman"/>
          <w:sz w:val="19"/>
        </w:rPr>
        <w:t>[6] C. Urcuqui, A. Navarro, J. Osorio, and M. Garcia, "Machine Learning and MITRE ATT&amp;CK for Industrial Control Systems Cyber Threat Intelligence," Computers &amp; Security, vol. 115, p. 102621, Apr. 2022.</w:t>
      </w:r>
    </w:p>
    <w:p>
      <w:pPr>
        <w:spacing w:before="40" w:after="80" w:line="276" w:lineRule="auto"/>
      </w:pPr>
      <w:r>
        <w:rPr>
          <w:rFonts w:ascii="Times New Roman" w:hAnsi="Times New Roman"/>
          <w:sz w:val="19"/>
        </w:rPr>
        <w:t>[7] M. Kravchik and A. Shabtai, "Efficient Cyber Attack Detection in Industrial Control Systems Using Lightweight 1D Convolutional Neural Networks," IEEE Transactions on Dependable and Secure Computing, vol. 19, no. 4, pp. 2179-2191, Jul. 2021.</w:t>
      </w:r>
    </w:p>
    <w:p>
      <w:pPr>
        <w:spacing w:before="40" w:after="80" w:line="276" w:lineRule="auto"/>
      </w:pPr>
      <w:r>
        <w:rPr>
          <w:rFonts w:ascii="Times New Roman" w:hAnsi="Times New Roman"/>
          <w:sz w:val="19"/>
        </w:rPr>
        <w:t>[8] C. M. Ahmed, V. R. Palleti, and A. P. Mathur, "WADI: A Water Distribution Testbed for Research in the Design of Secure Cyber Physical Systems," in Proc. 3rd ACM International Workshop on Cyber-Physical Systems for Smart Water Networks, 2022, pp. 25-28.</w:t>
      </w:r>
    </w:p>
    <w:p>
      <w:pPr>
        <w:spacing w:before="40" w:after="80" w:line="276" w:lineRule="auto"/>
      </w:pPr>
      <w:r>
        <w:rPr>
          <w:rFonts w:ascii="Times New Roman" w:hAnsi="Times New Roman"/>
          <w:sz w:val="19"/>
        </w:rPr>
        <w:t>[9] H. Zhang, L. Cheng, and M. Qiu, "Trustworthy AI in Industrial IoT: Epistemic Uncertainty Estimation and Defense Mechanisms," IEEE Internet of Things Journal, vol. 10, no. 14, pp. 12345-12356, Jul. 2023.</w:t>
      </w:r>
    </w:p>
    <w:p>
      <w:pPr>
        <w:spacing w:before="40" w:after="80" w:line="276" w:lineRule="auto"/>
      </w:pPr>
      <w:r>
        <w:rPr>
          <w:rFonts w:ascii="Times New Roman" w:hAnsi="Times New Roman"/>
          <w:sz w:val="19"/>
        </w:rPr>
        <w:t>[10] Z. Ying, D. Bourgeois, J. You, M. Zitnik, and J. Leskovec, "GNNExplainer: Generating Explanations for Graph Neural Networks," in Advances in Neural Information Processing Systems (NeurIPS), Vancouver, Canada, 2019, pp. 9240-9251.</w:t>
      </w:r>
    </w:p>
    <w:p>
      <w:pPr>
        <w:spacing w:before="40" w:after="80" w:line="276" w:lineRule="auto"/>
      </w:pPr>
      <w:r>
        <w:rPr>
          <w:rFonts w:ascii="Times New Roman" w:hAnsi="Times New Roman"/>
          <w:sz w:val="19"/>
        </w:rPr>
        <w:t>[11] MITRE Corporation, "MITRE ATT&amp;CK for Industrial Control Systems (ICS) Matrix," Available: https://attack.mitre.org/matrices/ics/, Accessed Oct. 2026.</w:t>
      </w:r>
    </w:p>
    <w:p>
      <w:pPr>
        <w:spacing w:before="40" w:after="80" w:line="276" w:lineRule="auto"/>
      </w:pPr>
      <w:r>
        <w:rPr>
          <w:rFonts w:ascii="Times New Roman" w:hAnsi="Times New Roman"/>
          <w:sz w:val="19"/>
        </w:rPr>
        <w:t>[12] S. M. Lundberg and S.-I. Lee, "A Unified Approach to Interpreting Model Predictions," in Advances in Neural Information Processing Systems (NeurIPS), Long Beach, CA, USA, 2017, pp. 4765-4774.</w:t>
      </w:r>
    </w:p>
    <w:p>
      <w:pPr>
        <w:spacing w:before="40" w:after="80" w:line="276" w:lineRule="auto"/>
      </w:pPr>
      <w:r>
        <w:rPr>
          <w:rFonts w:ascii="Times New Roman" w:hAnsi="Times New Roman"/>
          <w:sz w:val="19"/>
        </w:rPr>
        <w:t>[13] M. T. Ribeiro, S. Singh, and C. Guestrin, "'Why Should I Trust You?': Explaining the Predictions of Any Classifier," in Proc. ACM SIGKDD International Conference on Knowledge Discovery and Data Mining, San Francisco, CA, USA, 2016, pp. 1135-1144.</w:t>
      </w:r>
    </w:p>
    <w:p>
      <w:pPr>
        <w:spacing w:before="40" w:after="80" w:line="276" w:lineRule="auto"/>
      </w:pPr>
      <w:r>
        <w:rPr>
          <w:rFonts w:ascii="Times New Roman" w:hAnsi="Times New Roman"/>
          <w:sz w:val="19"/>
        </w:rPr>
        <w:t>[14] T. N. Kipf and M. Welling, "Semi-Supervised Classification with Graph Convolutional Networks," in Proc. International Conference on Learning Representations (ICLR), Toulon, France, 2017.</w:t>
      </w:r>
    </w:p>
    <w:p>
      <w:pPr>
        <w:spacing w:before="40" w:after="80" w:line="276" w:lineRule="auto"/>
      </w:pPr>
      <w:r>
        <w:rPr>
          <w:rFonts w:ascii="Times New Roman" w:hAnsi="Times New Roman"/>
          <w:sz w:val="19"/>
        </w:rPr>
        <w:t>[15] S. Hochreiter and J. Schmidhuber, "Long Short-Term Memory," Neural Computation, vol. 9, no. 8, pp. 1735-1780, Nov. 1997.</w:t>
      </w:r>
    </w:p>
    <w:p>
      <w:pPr>
        <w:spacing w:before="40" w:after="80" w:line="276" w:lineRule="auto"/>
      </w:pPr>
      <w:r>
        <w:rPr>
          <w:rFonts w:ascii="Times New Roman" w:hAnsi="Times New Roman"/>
          <w:sz w:val="19"/>
        </w:rPr>
        <w:t>[16] National Institute of Standards and Technology (NIST), "Guide to Industrial Control Systems (ICS) Security," NIST Special Publication 800-82 Rev. 2, May 2015.</w:t>
      </w:r>
    </w:p>
    <w:sectPr w:rsidR="00FC693F" w:rsidRPr="0006063C" w:rsidSect="00034616">
      <w:pgSz w:w="12240" w:h="15840"/>
      <w:pgMar w:top="1080" w:right="1181"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