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440"/>
        <w:gridCol w:w="8820"/>
      </w:tblGrid>
      <w:tr w:rsidR="00877E2B" w:rsidTr="00233B64">
        <w:tc>
          <w:tcPr>
            <w:tcW w:w="10260" w:type="dxa"/>
            <w:gridSpan w:val="2"/>
          </w:tcPr>
          <w:p w:rsidR="00810723" w:rsidRPr="00810723" w:rsidRDefault="00875721" w:rsidP="00810723">
            <w:pPr>
              <w:spacing w:line="264" w:lineRule="auto"/>
              <w:jc w:val="center"/>
              <w:rPr>
                <w:b/>
              </w:rPr>
            </w:pPr>
            <w:r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Querying Microsoft SQL Server </w:t>
            </w:r>
            <w:r w:rsidR="00810723" w:rsidRPr="00B54D40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>Self-Paced Course</w:t>
            </w:r>
          </w:p>
          <w:p w:rsidR="00877E2B" w:rsidRPr="00DA15F2" w:rsidRDefault="00877E2B" w:rsidP="001F131C">
            <w:pPr>
              <w:jc w:val="center"/>
              <w:rPr>
                <w:b/>
              </w:rPr>
            </w:pPr>
          </w:p>
        </w:tc>
      </w:tr>
      <w:tr w:rsidR="004764AC" w:rsidTr="00233B64">
        <w:tc>
          <w:tcPr>
            <w:tcW w:w="1440" w:type="dxa"/>
          </w:tcPr>
          <w:p w:rsidR="004764AC" w:rsidRPr="00E04343" w:rsidRDefault="00523725" w:rsidP="00E04343">
            <w:pPr>
              <w:jc w:val="center"/>
              <w:rPr>
                <w:b/>
              </w:rPr>
            </w:pPr>
            <w:r w:rsidRPr="00E04343">
              <w:rPr>
                <w:b/>
              </w:rPr>
              <w:t>What is this course about?</w:t>
            </w:r>
          </w:p>
        </w:tc>
        <w:tc>
          <w:tcPr>
            <w:tcW w:w="8820" w:type="dxa"/>
          </w:tcPr>
          <w:p w:rsidR="00875721" w:rsidRDefault="00875721" w:rsidP="008436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course</w:t>
            </w:r>
            <w:r w:rsidRPr="00875721">
              <w:rPr>
                <w:rFonts w:ascii="Calibri" w:hAnsi="Calibri" w:cs="Calibri"/>
                <w:color w:val="000000"/>
              </w:rPr>
              <w:t xml:space="preserve"> teach</w:t>
            </w:r>
            <w:r>
              <w:rPr>
                <w:rFonts w:ascii="Calibri" w:hAnsi="Calibri" w:cs="Calibri"/>
                <w:color w:val="000000"/>
              </w:rPr>
              <w:t>es</w:t>
            </w:r>
            <w:r w:rsidRPr="00875721">
              <w:rPr>
                <w:rFonts w:ascii="Calibri" w:hAnsi="Calibri" w:cs="Calibri"/>
                <w:color w:val="000000"/>
              </w:rPr>
              <w:t xml:space="preserve"> how to query and work with a SQL Server 2012 database. </w:t>
            </w:r>
          </w:p>
          <w:p w:rsidR="00AF748E" w:rsidRPr="00111D9C" w:rsidRDefault="00875721" w:rsidP="00843647">
            <w:r w:rsidRPr="00875721">
              <w:rPr>
                <w:rFonts w:ascii="Calibri" w:hAnsi="Calibri" w:cs="Calibri"/>
                <w:color w:val="000000"/>
              </w:rPr>
              <w:t>Skills gained will include querying a database using joins and data aggregations and query optimization. This course includes basic management of database objects and using XML SQL Server.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Who should enroll?</w:t>
            </w:r>
          </w:p>
        </w:tc>
        <w:tc>
          <w:tcPr>
            <w:tcW w:w="8820" w:type="dxa"/>
          </w:tcPr>
          <w:p w:rsidR="002A2A29" w:rsidRPr="00FE1218" w:rsidRDefault="00BC232D" w:rsidP="00FE1218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Anyone who</w:t>
            </w:r>
            <w:r w:rsidR="00664B4D" w:rsidRPr="00FE1218">
              <w:rPr>
                <w:color w:val="000000" w:themeColor="text1"/>
              </w:rPr>
              <w:t xml:space="preserve"> wants to learn </w:t>
            </w:r>
            <w:r w:rsidR="00875721">
              <w:rPr>
                <w:color w:val="000000" w:themeColor="text1"/>
              </w:rPr>
              <w:t xml:space="preserve">Microsoft SQL server </w:t>
            </w:r>
            <w:r w:rsidR="00664B4D" w:rsidRPr="00FE1218">
              <w:rPr>
                <w:color w:val="000000" w:themeColor="text1"/>
              </w:rPr>
              <w:t>from scratch and get productive at work quickly</w:t>
            </w:r>
          </w:p>
          <w:p w:rsidR="00FE1218" w:rsidRPr="00FE1218" w:rsidRDefault="00FE1218" w:rsidP="00875721">
            <w:pPr>
              <w:pStyle w:val="ListParagraph"/>
              <w:rPr>
                <w:color w:val="FF0000"/>
              </w:rPr>
            </w:pPr>
          </w:p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What am I going to get from this course?</w:t>
            </w:r>
          </w:p>
        </w:tc>
        <w:tc>
          <w:tcPr>
            <w:tcW w:w="8820" w:type="dxa"/>
          </w:tcPr>
          <w:p w:rsidR="00F7735D" w:rsidRDefault="002A2A29" w:rsidP="00F7735D">
            <w:r w:rsidRPr="00111D9C">
              <w:t>At the end of this program – you would be able to understand:</w:t>
            </w:r>
          </w:p>
          <w:p w:rsidR="005503D8" w:rsidRPr="005503D8" w:rsidRDefault="005503D8" w:rsidP="005503D8">
            <w:pPr>
              <w:pStyle w:val="ListParagraph"/>
              <w:numPr>
                <w:ilvl w:val="0"/>
                <w:numId w:val="14"/>
              </w:numPr>
            </w:pPr>
            <w:r w:rsidRPr="005503D8">
              <w:rPr>
                <w:rFonts w:ascii="Calibri" w:eastAsia="Times New Roman" w:hAnsi="Calibri" w:cs="Calibri"/>
                <w:color w:val="000000"/>
              </w:rPr>
              <w:t>SQL Server 2012- Querying basic management of database objects and using XML SQL Server.</w:t>
            </w:r>
          </w:p>
          <w:p w:rsidR="005503D8" w:rsidRPr="005503D8" w:rsidRDefault="005503D8" w:rsidP="005503D8">
            <w:pPr>
              <w:pStyle w:val="ListParagraph"/>
              <w:numPr>
                <w:ilvl w:val="0"/>
                <w:numId w:val="14"/>
              </w:numPr>
            </w:pPr>
            <w:r w:rsidRPr="005503D8">
              <w:rPr>
                <w:rFonts w:ascii="Calibri" w:eastAsia="Times New Roman" w:hAnsi="Calibri" w:cs="Calibri"/>
                <w:color w:val="000000"/>
              </w:rPr>
              <w:t>What Every Developer Should Know About SQL Server Performance.</w:t>
            </w:r>
          </w:p>
          <w:p w:rsidR="005503D8" w:rsidRPr="005503D8" w:rsidRDefault="005503D8" w:rsidP="005503D8">
            <w:pPr>
              <w:pStyle w:val="ListParagraph"/>
              <w:numPr>
                <w:ilvl w:val="0"/>
                <w:numId w:val="14"/>
              </w:numPr>
            </w:pPr>
            <w:r w:rsidRPr="005503D8">
              <w:rPr>
                <w:rFonts w:ascii="Calibri" w:eastAsia="Times New Roman" w:hAnsi="Calibri" w:cs="Calibri"/>
                <w:color w:val="000000"/>
              </w:rPr>
              <w:t xml:space="preserve"> SQL Server: Analyzing Query Performance for Developers.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2A2A29" w:rsidRPr="00111D9C" w:rsidRDefault="005503D8" w:rsidP="005503D8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503D8">
              <w:rPr>
                <w:rFonts w:ascii="Calibri" w:eastAsia="Times New Roman" w:hAnsi="Calibri" w:cs="Calibri"/>
                <w:color w:val="000000"/>
              </w:rPr>
              <w:t>QL Server Application Development Best Practices.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How to learn?</w:t>
            </w:r>
          </w:p>
        </w:tc>
        <w:tc>
          <w:tcPr>
            <w:tcW w:w="8820" w:type="dxa"/>
          </w:tcPr>
          <w:p w:rsidR="00FC5833" w:rsidRDefault="00FC5833" w:rsidP="00FC5833">
            <w:r>
              <w:t xml:space="preserve">Procedure </w:t>
            </w:r>
          </w:p>
          <w:p w:rsidR="00FC5833" w:rsidRDefault="00FC5833" w:rsidP="00FC5833">
            <w:r>
              <w:t xml:space="preserve">1. Once the course approved, LearningPrograms OPMteam team will initiate it with the vendor and will share course procedure details </w:t>
            </w:r>
          </w:p>
          <w:p w:rsidR="00FC5833" w:rsidRDefault="00FC5833" w:rsidP="00FC5833">
            <w:r>
              <w:t xml:space="preserve">2. The request will be processed and the vendor will share your Credentials to access the course 3. Only, after these steps are complete, you can start your course </w:t>
            </w:r>
          </w:p>
          <w:p w:rsidR="00FC5833" w:rsidRDefault="00FC5833" w:rsidP="00FC5833">
            <w:r>
              <w:t xml:space="preserve">4. With this process, there is no payment required from your end </w:t>
            </w:r>
          </w:p>
          <w:p w:rsidR="00FC5833" w:rsidRDefault="00FC5833" w:rsidP="00FC5833"/>
          <w:p w:rsidR="00FC5833" w:rsidRDefault="00FC5833" w:rsidP="00FC5833">
            <w:r>
              <w:t xml:space="preserve">Please do not start your course before the Vendor shares the credentials. </w:t>
            </w:r>
          </w:p>
          <w:p w:rsidR="00FC5833" w:rsidRDefault="00FC5833" w:rsidP="00FC5833">
            <w:r>
              <w:t xml:space="preserve"> </w:t>
            </w:r>
          </w:p>
          <w:p w:rsidR="00FC5833" w:rsidRDefault="00FC5833" w:rsidP="00FC5833">
            <w:r>
              <w:t xml:space="preserve">This is a self-paced course, Participants can learn the concept by going through the specific Pluralsight links: </w:t>
            </w:r>
          </w:p>
          <w:p w:rsidR="00B17592" w:rsidRDefault="00FC5833" w:rsidP="00FC5833">
            <w:r>
              <w:t xml:space="preserve"> </w:t>
            </w:r>
          </w:p>
          <w:p w:rsidR="00FC5833" w:rsidRDefault="00FC5833" w:rsidP="00FC5833">
            <w:r>
              <w:t xml:space="preserve">Yorbit link:  </w:t>
            </w:r>
            <w:r w:rsidRPr="00FC5833">
              <w:t>https://yorbit.mindtree.com/#/detailedpackagepage?type=Course&amp;expertise=201&amp;id=2534</w:t>
            </w:r>
          </w:p>
          <w:p w:rsidR="00FC5833" w:rsidRDefault="00FC5833" w:rsidP="00FC5833">
            <w:r>
              <w:t xml:space="preserve"> </w:t>
            </w:r>
          </w:p>
          <w:p w:rsidR="00FC5833" w:rsidRDefault="00FC5833" w:rsidP="00FC5833">
            <w:r>
              <w:t>Participants can request for Cloud lab by clicking at Cloud Lab symbol in their Learning Path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Project/assignment work</w:t>
            </w:r>
          </w:p>
        </w:tc>
        <w:tc>
          <w:tcPr>
            <w:tcW w:w="8820" w:type="dxa"/>
          </w:tcPr>
          <w:p w:rsidR="0012002F" w:rsidRDefault="0012002F" w:rsidP="0012002F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>As part of this course there is</w:t>
            </w:r>
            <w:r w:rsidR="00CF5676">
              <w:rPr>
                <w:color w:val="000000" w:themeColor="text1"/>
              </w:rPr>
              <w:t xml:space="preserve"> a mandatory project </w:t>
            </w:r>
            <w:r w:rsidRPr="0012002F">
              <w:rPr>
                <w:color w:val="000000" w:themeColor="text1"/>
              </w:rPr>
              <w:t xml:space="preserve">work which needs to be completed. This will help candidates to gain hands-on experience working with </w:t>
            </w:r>
            <w:r w:rsidR="00FC5833">
              <w:rPr>
                <w:color w:val="000000" w:themeColor="text1"/>
              </w:rPr>
              <w:t>Microsoft SQL server 2012</w:t>
            </w:r>
            <w:r w:rsidRPr="0012002F">
              <w:rPr>
                <w:color w:val="000000" w:themeColor="text1"/>
              </w:rPr>
              <w:t>.</w:t>
            </w:r>
          </w:p>
          <w:p w:rsidR="00EC79C1" w:rsidRPr="0012002F" w:rsidRDefault="00EC79C1" w:rsidP="0012002F">
            <w:pPr>
              <w:rPr>
                <w:color w:val="000000" w:themeColor="text1"/>
              </w:rPr>
            </w:pPr>
          </w:p>
          <w:p w:rsidR="002A2A29" w:rsidRPr="00474152" w:rsidRDefault="0012002F" w:rsidP="001D6EAB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 xml:space="preserve">Candidates are expected to submit the </w:t>
            </w:r>
            <w:r w:rsidR="00246604" w:rsidRPr="0012002F">
              <w:rPr>
                <w:color w:val="000000" w:themeColor="text1"/>
              </w:rPr>
              <w:t xml:space="preserve">project </w:t>
            </w:r>
            <w:r w:rsidR="00246604">
              <w:rPr>
                <w:color w:val="000000" w:themeColor="text1"/>
              </w:rPr>
              <w:t xml:space="preserve">and give demo </w:t>
            </w:r>
            <w:r w:rsidRPr="0012002F">
              <w:rPr>
                <w:color w:val="000000" w:themeColor="text1"/>
              </w:rPr>
              <w:t>within one month from date of registration. The project work will be evaluated using predefined templa</w:t>
            </w:r>
            <w:r w:rsidR="00EE0225">
              <w:rPr>
                <w:color w:val="000000" w:themeColor="text1"/>
              </w:rPr>
              <w:t>te, you are expected</w:t>
            </w:r>
            <w:r w:rsidR="00246604">
              <w:rPr>
                <w:color w:val="000000" w:themeColor="text1"/>
              </w:rPr>
              <w:t xml:space="preserve"> </w:t>
            </w:r>
            <w:r w:rsidR="00EE0225">
              <w:rPr>
                <w:color w:val="000000" w:themeColor="text1"/>
              </w:rPr>
              <w:t xml:space="preserve">to </w:t>
            </w:r>
            <w:r w:rsidRPr="0012002F">
              <w:rPr>
                <w:color w:val="000000" w:themeColor="text1"/>
              </w:rPr>
              <w:t>clear the project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Duration</w:t>
            </w:r>
          </w:p>
        </w:tc>
        <w:tc>
          <w:tcPr>
            <w:tcW w:w="8820" w:type="dxa"/>
          </w:tcPr>
          <w:p w:rsidR="002A2A29" w:rsidRPr="00474152" w:rsidRDefault="002A2A29" w:rsidP="002A2A29">
            <w:pPr>
              <w:rPr>
                <w:color w:val="000000" w:themeColor="text1"/>
              </w:rPr>
            </w:pPr>
            <w:r w:rsidRPr="00474152">
              <w:rPr>
                <w:color w:val="000000" w:themeColor="text1"/>
              </w:rPr>
              <w:t>Candidates are expected to submit the project within one month from date of registration.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Clearing Criteria</w:t>
            </w:r>
          </w:p>
        </w:tc>
        <w:tc>
          <w:tcPr>
            <w:tcW w:w="8820" w:type="dxa"/>
            <w:vAlign w:val="center"/>
          </w:tcPr>
          <w:p w:rsidR="002A2A29" w:rsidRPr="00474152" w:rsidRDefault="00FC5833" w:rsidP="001D6EAB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Course completion of vendor course and </w:t>
            </w:r>
            <w:r w:rsidR="003B2EA2">
              <w:rPr>
                <w:color w:val="000000" w:themeColor="text1"/>
              </w:rPr>
              <w:t>P</w:t>
            </w:r>
            <w:r w:rsidR="001D6EAB">
              <w:rPr>
                <w:color w:val="000000" w:themeColor="text1"/>
              </w:rPr>
              <w:t xml:space="preserve">roject clearance </w:t>
            </w:r>
            <w:bookmarkStart w:id="0" w:name="_GoBack"/>
            <w:bookmarkEnd w:id="0"/>
            <w:r w:rsidR="00661C13" w:rsidRPr="00474152">
              <w:rPr>
                <w:color w:val="000000" w:themeColor="text1"/>
              </w:rPr>
              <w:t>is</w:t>
            </w:r>
            <w:r w:rsidR="00AB07EB" w:rsidRPr="00474152">
              <w:rPr>
                <w:color w:val="000000" w:themeColor="text1"/>
              </w:rPr>
              <w:t xml:space="preserve"> the criteria for the successful completion of this course.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 w:rsidRPr="005F47E7">
              <w:rPr>
                <w:b/>
              </w:rPr>
              <w:t>Resubmission</w:t>
            </w:r>
            <w:r>
              <w:rPr>
                <w:b/>
              </w:rPr>
              <w:t xml:space="preserve"> Criteria</w:t>
            </w:r>
          </w:p>
        </w:tc>
        <w:tc>
          <w:tcPr>
            <w:tcW w:w="8820" w:type="dxa"/>
            <w:vAlign w:val="center"/>
          </w:tcPr>
          <w:p w:rsidR="002A2A29" w:rsidRPr="005F47E7" w:rsidRDefault="002A2A29" w:rsidP="002A2A29">
            <w:r w:rsidRPr="005F47E7">
              <w:t>If participant unable to clear any of the section then he/she need to rework on that particular section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How to submit?</w:t>
            </w:r>
          </w:p>
        </w:tc>
        <w:tc>
          <w:tcPr>
            <w:tcW w:w="8820" w:type="dxa"/>
            <w:vAlign w:val="center"/>
          </w:tcPr>
          <w:p w:rsidR="002A2A29" w:rsidRDefault="002A2A29" w:rsidP="00103C8A">
            <w:r>
              <w:t>Submit</w:t>
            </w:r>
            <w:r w:rsidR="00103C8A">
              <w:t xml:space="preserve"> </w:t>
            </w:r>
            <w:r w:rsidR="00310980">
              <w:t xml:space="preserve">Project </w:t>
            </w:r>
            <w:r>
              <w:t>over an email as communicated by respective anchor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 xml:space="preserve">Software </w:t>
            </w:r>
          </w:p>
        </w:tc>
        <w:tc>
          <w:tcPr>
            <w:tcW w:w="8820" w:type="dxa"/>
            <w:vAlign w:val="center"/>
          </w:tcPr>
          <w:p w:rsidR="002A2A29" w:rsidRPr="005F47E7" w:rsidRDefault="002A2A29" w:rsidP="00FC5833">
            <w:r>
              <w:t xml:space="preserve">Use </w:t>
            </w:r>
            <w:r w:rsidR="00FC5833">
              <w:t xml:space="preserve">Cloudlab </w:t>
            </w:r>
            <w:r>
              <w:t xml:space="preserve"> to complete your assignments.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Default="002A2A29" w:rsidP="002A2A29">
            <w:pPr>
              <w:jc w:val="center"/>
              <w:rPr>
                <w:b/>
              </w:rPr>
            </w:pPr>
            <w:r w:rsidRPr="002455AB">
              <w:rPr>
                <w:b/>
              </w:rPr>
              <w:lastRenderedPageBreak/>
              <w:t>Note on Unfair Practices</w:t>
            </w:r>
          </w:p>
        </w:tc>
        <w:tc>
          <w:tcPr>
            <w:tcW w:w="8820" w:type="dxa"/>
            <w:vAlign w:val="center"/>
          </w:tcPr>
          <w:p w:rsidR="002A2A29" w:rsidRDefault="002A2A29" w:rsidP="002A2A29">
            <w:r>
              <w:t xml:space="preserve">It is important to understand that Mindtree does not accept unfair practices such as plagiarism, collusion and cheating, including presenting other people’s work as your own. </w:t>
            </w:r>
          </w:p>
          <w:p w:rsidR="002A2A29" w:rsidRDefault="002A2A29" w:rsidP="002A2A29">
            <w:r>
              <w:t> </w:t>
            </w:r>
          </w:p>
          <w:p w:rsidR="002A2A29" w:rsidRDefault="002A2A29" w:rsidP="002A2A29">
            <w:r>
              <w:t xml:space="preserve">We believe that engaging in such acts would provide an unfair advantage in assessment compared to other participants, and is not beneficial to anyone in the </w:t>
            </w:r>
            <w:r w:rsidR="00737230">
              <w:t>\</w:t>
            </w:r>
            <w:r>
              <w:t>long run. We have listed some examples of inappropriate conduct that may lead to disciplinary action, so do take a look below. Please remember that this list is indicative and not exhaustive – and engaging in any could involve consequences including termination of employment from Mindtree.</w:t>
            </w:r>
          </w:p>
          <w:p w:rsidR="002A2A29" w:rsidRDefault="002A2A29" w:rsidP="002A2A29"/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Copying the work of others or allowing your own work to be copied. </w:t>
            </w:r>
          </w:p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Discussion of assignment solutions with other Mindtree Minds.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>Unless the instructor specifies otherwise, it is assumed that all work submitted for a grade is the Mindtree Mind’s own work. Thus, unauthorized collaboration is not encouraged.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>Unauthorized distribution of question papers/ answers</w:t>
            </w:r>
          </w:p>
        </w:tc>
      </w:tr>
    </w:tbl>
    <w:p w:rsidR="00091670" w:rsidRDefault="00091670" w:rsidP="00F80FA5"/>
    <w:sectPr w:rsidR="000916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051" w:rsidRDefault="00831051" w:rsidP="00750971">
      <w:pPr>
        <w:spacing w:after="0" w:line="240" w:lineRule="auto"/>
      </w:pPr>
      <w:r>
        <w:separator/>
      </w:r>
    </w:p>
  </w:endnote>
  <w:endnote w:type="continuationSeparator" w:id="0">
    <w:p w:rsidR="00831051" w:rsidRDefault="00831051" w:rsidP="0075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A2" w:rsidRDefault="0017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A2" w:rsidRDefault="001735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A2" w:rsidRDefault="00173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051" w:rsidRDefault="00831051" w:rsidP="00750971">
      <w:pPr>
        <w:spacing w:after="0" w:line="240" w:lineRule="auto"/>
      </w:pPr>
      <w:r>
        <w:separator/>
      </w:r>
    </w:p>
  </w:footnote>
  <w:footnote w:type="continuationSeparator" w:id="0">
    <w:p w:rsidR="00831051" w:rsidRDefault="00831051" w:rsidP="0075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A2" w:rsidRDefault="001735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D40" w:rsidRPr="00810723" w:rsidRDefault="00B54D40" w:rsidP="00B54D40">
    <w:pPr>
      <w:spacing w:line="264" w:lineRule="auto"/>
      <w:rPr>
        <w:b/>
      </w:rPr>
    </w:pPr>
    <w:r w:rsidRPr="00B54D40"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>Self-Paced Course</w:t>
    </w:r>
  </w:p>
  <w:p w:rsidR="00750971" w:rsidRPr="00B54D40" w:rsidRDefault="00750971" w:rsidP="00B54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A2" w:rsidRDefault="001735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BAB"/>
    <w:multiLevelType w:val="hybridMultilevel"/>
    <w:tmpl w:val="4F14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36F9A"/>
    <w:multiLevelType w:val="hybridMultilevel"/>
    <w:tmpl w:val="88D4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806"/>
    <w:multiLevelType w:val="hybridMultilevel"/>
    <w:tmpl w:val="EED02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F2A4B"/>
    <w:multiLevelType w:val="hybridMultilevel"/>
    <w:tmpl w:val="762AB45A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031A8"/>
    <w:multiLevelType w:val="hybridMultilevel"/>
    <w:tmpl w:val="933E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35BD"/>
    <w:multiLevelType w:val="hybridMultilevel"/>
    <w:tmpl w:val="C04A8086"/>
    <w:lvl w:ilvl="0" w:tplc="1ACC49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36EFA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2F3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74F1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A64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6CA51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3480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BE25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B2E7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8F3623B"/>
    <w:multiLevelType w:val="hybridMultilevel"/>
    <w:tmpl w:val="020A7F52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0A7C"/>
    <w:multiLevelType w:val="hybridMultilevel"/>
    <w:tmpl w:val="B1FE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225879"/>
    <w:multiLevelType w:val="hybridMultilevel"/>
    <w:tmpl w:val="C5F4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E61E04"/>
    <w:multiLevelType w:val="hybridMultilevel"/>
    <w:tmpl w:val="DF5C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9781C"/>
    <w:multiLevelType w:val="hybridMultilevel"/>
    <w:tmpl w:val="F65EF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330A99"/>
    <w:multiLevelType w:val="hybridMultilevel"/>
    <w:tmpl w:val="1CB4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52AB1"/>
    <w:multiLevelType w:val="hybridMultilevel"/>
    <w:tmpl w:val="42B2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30BE2"/>
    <w:multiLevelType w:val="hybridMultilevel"/>
    <w:tmpl w:val="FE967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61D73"/>
    <w:multiLevelType w:val="hybridMultilevel"/>
    <w:tmpl w:val="F758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83A2A"/>
    <w:multiLevelType w:val="hybridMultilevel"/>
    <w:tmpl w:val="202E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1"/>
  </w:num>
  <w:num w:numId="9">
    <w:abstractNumId w:val="0"/>
  </w:num>
  <w:num w:numId="10">
    <w:abstractNumId w:val="15"/>
  </w:num>
  <w:num w:numId="11">
    <w:abstractNumId w:val="4"/>
  </w:num>
  <w:num w:numId="12">
    <w:abstractNumId w:val="10"/>
  </w:num>
  <w:num w:numId="13">
    <w:abstractNumId w:val="1"/>
  </w:num>
  <w:num w:numId="14">
    <w:abstractNumId w:val="9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7D"/>
    <w:rsid w:val="000144D4"/>
    <w:rsid w:val="000238B9"/>
    <w:rsid w:val="00026E8D"/>
    <w:rsid w:val="000301A3"/>
    <w:rsid w:val="00037446"/>
    <w:rsid w:val="0004757C"/>
    <w:rsid w:val="00050259"/>
    <w:rsid w:val="000724D5"/>
    <w:rsid w:val="00076054"/>
    <w:rsid w:val="00091670"/>
    <w:rsid w:val="000924CE"/>
    <w:rsid w:val="000B2ADC"/>
    <w:rsid w:val="000B595A"/>
    <w:rsid w:val="000C3C9A"/>
    <w:rsid w:val="000D1EBA"/>
    <w:rsid w:val="000F0131"/>
    <w:rsid w:val="00103C8A"/>
    <w:rsid w:val="00111D9C"/>
    <w:rsid w:val="001170B2"/>
    <w:rsid w:val="0012002F"/>
    <w:rsid w:val="00123C63"/>
    <w:rsid w:val="001735A2"/>
    <w:rsid w:val="00182D02"/>
    <w:rsid w:val="00191DE0"/>
    <w:rsid w:val="00194B27"/>
    <w:rsid w:val="001C2B76"/>
    <w:rsid w:val="001C722E"/>
    <w:rsid w:val="001D6EAB"/>
    <w:rsid w:val="001F131C"/>
    <w:rsid w:val="001F6301"/>
    <w:rsid w:val="0021498F"/>
    <w:rsid w:val="00217323"/>
    <w:rsid w:val="002208D9"/>
    <w:rsid w:val="00222422"/>
    <w:rsid w:val="00224920"/>
    <w:rsid w:val="00233B64"/>
    <w:rsid w:val="00246604"/>
    <w:rsid w:val="00246B68"/>
    <w:rsid w:val="00271817"/>
    <w:rsid w:val="00290CF5"/>
    <w:rsid w:val="002A2A29"/>
    <w:rsid w:val="002B6D90"/>
    <w:rsid w:val="002C2737"/>
    <w:rsid w:val="002C44D4"/>
    <w:rsid w:val="002D29F4"/>
    <w:rsid w:val="002D689E"/>
    <w:rsid w:val="002E24CE"/>
    <w:rsid w:val="002E25CD"/>
    <w:rsid w:val="002F5330"/>
    <w:rsid w:val="003068EE"/>
    <w:rsid w:val="00310980"/>
    <w:rsid w:val="00324E6B"/>
    <w:rsid w:val="003418B9"/>
    <w:rsid w:val="003447B8"/>
    <w:rsid w:val="00384196"/>
    <w:rsid w:val="003B2EA2"/>
    <w:rsid w:val="003C278F"/>
    <w:rsid w:val="00404B7D"/>
    <w:rsid w:val="004062E9"/>
    <w:rsid w:val="00413A81"/>
    <w:rsid w:val="0041489E"/>
    <w:rsid w:val="004244DC"/>
    <w:rsid w:val="004327E3"/>
    <w:rsid w:val="00440EAB"/>
    <w:rsid w:val="004557D8"/>
    <w:rsid w:val="00474152"/>
    <w:rsid w:val="004764AC"/>
    <w:rsid w:val="00485A12"/>
    <w:rsid w:val="00487EB2"/>
    <w:rsid w:val="004906F0"/>
    <w:rsid w:val="004A2B74"/>
    <w:rsid w:val="004C2A35"/>
    <w:rsid w:val="004E25EE"/>
    <w:rsid w:val="00510025"/>
    <w:rsid w:val="00513400"/>
    <w:rsid w:val="00523725"/>
    <w:rsid w:val="005378C2"/>
    <w:rsid w:val="005503D8"/>
    <w:rsid w:val="00555748"/>
    <w:rsid w:val="005654A4"/>
    <w:rsid w:val="00592DCB"/>
    <w:rsid w:val="005C09B7"/>
    <w:rsid w:val="005D23FE"/>
    <w:rsid w:val="005E3A5E"/>
    <w:rsid w:val="005E73FB"/>
    <w:rsid w:val="006139BB"/>
    <w:rsid w:val="00614D09"/>
    <w:rsid w:val="00636617"/>
    <w:rsid w:val="006614AD"/>
    <w:rsid w:val="00661C13"/>
    <w:rsid w:val="006626A9"/>
    <w:rsid w:val="00664B4D"/>
    <w:rsid w:val="00676EEE"/>
    <w:rsid w:val="00687325"/>
    <w:rsid w:val="006920E0"/>
    <w:rsid w:val="006960A0"/>
    <w:rsid w:val="006D7B91"/>
    <w:rsid w:val="006E3BA5"/>
    <w:rsid w:val="006E4722"/>
    <w:rsid w:val="0070617A"/>
    <w:rsid w:val="007169F0"/>
    <w:rsid w:val="00736A07"/>
    <w:rsid w:val="00737230"/>
    <w:rsid w:val="00747EFF"/>
    <w:rsid w:val="00750971"/>
    <w:rsid w:val="007C1D99"/>
    <w:rsid w:val="008009C6"/>
    <w:rsid w:val="00810723"/>
    <w:rsid w:val="008225B9"/>
    <w:rsid w:val="00831051"/>
    <w:rsid w:val="00835D3E"/>
    <w:rsid w:val="00843647"/>
    <w:rsid w:val="008444F7"/>
    <w:rsid w:val="00855F93"/>
    <w:rsid w:val="00872186"/>
    <w:rsid w:val="00875721"/>
    <w:rsid w:val="00877E2B"/>
    <w:rsid w:val="0089087B"/>
    <w:rsid w:val="008C6085"/>
    <w:rsid w:val="008D2089"/>
    <w:rsid w:val="008E041B"/>
    <w:rsid w:val="008F16A5"/>
    <w:rsid w:val="00910022"/>
    <w:rsid w:val="009135B8"/>
    <w:rsid w:val="00913D23"/>
    <w:rsid w:val="009417C2"/>
    <w:rsid w:val="00945B58"/>
    <w:rsid w:val="00951A52"/>
    <w:rsid w:val="009710CC"/>
    <w:rsid w:val="0097260D"/>
    <w:rsid w:val="009923ED"/>
    <w:rsid w:val="00995FC6"/>
    <w:rsid w:val="009A12E0"/>
    <w:rsid w:val="009A1E94"/>
    <w:rsid w:val="009A5824"/>
    <w:rsid w:val="009E2818"/>
    <w:rsid w:val="009F45D1"/>
    <w:rsid w:val="00A03CE1"/>
    <w:rsid w:val="00A13BB7"/>
    <w:rsid w:val="00A30B59"/>
    <w:rsid w:val="00A31570"/>
    <w:rsid w:val="00A32D2A"/>
    <w:rsid w:val="00A432E4"/>
    <w:rsid w:val="00A468A2"/>
    <w:rsid w:val="00A65C7B"/>
    <w:rsid w:val="00A82D93"/>
    <w:rsid w:val="00A959B6"/>
    <w:rsid w:val="00AA123A"/>
    <w:rsid w:val="00AB07EB"/>
    <w:rsid w:val="00AC1E3B"/>
    <w:rsid w:val="00AF0BB8"/>
    <w:rsid w:val="00AF748E"/>
    <w:rsid w:val="00B10244"/>
    <w:rsid w:val="00B17592"/>
    <w:rsid w:val="00B31DEC"/>
    <w:rsid w:val="00B409E6"/>
    <w:rsid w:val="00B467C0"/>
    <w:rsid w:val="00B54D40"/>
    <w:rsid w:val="00B55913"/>
    <w:rsid w:val="00B63C1F"/>
    <w:rsid w:val="00B8495D"/>
    <w:rsid w:val="00BC232D"/>
    <w:rsid w:val="00BC7793"/>
    <w:rsid w:val="00BD132A"/>
    <w:rsid w:val="00BD75A1"/>
    <w:rsid w:val="00BE6336"/>
    <w:rsid w:val="00BF722A"/>
    <w:rsid w:val="00C03BCC"/>
    <w:rsid w:val="00C46077"/>
    <w:rsid w:val="00C841AD"/>
    <w:rsid w:val="00CC7C65"/>
    <w:rsid w:val="00CE7E7E"/>
    <w:rsid w:val="00CF3DC6"/>
    <w:rsid w:val="00CF5676"/>
    <w:rsid w:val="00D41B6E"/>
    <w:rsid w:val="00D64A81"/>
    <w:rsid w:val="00D66174"/>
    <w:rsid w:val="00D84E84"/>
    <w:rsid w:val="00DA15F2"/>
    <w:rsid w:val="00DA2E1F"/>
    <w:rsid w:val="00DA33A6"/>
    <w:rsid w:val="00DB2B20"/>
    <w:rsid w:val="00DC2A4B"/>
    <w:rsid w:val="00DD6247"/>
    <w:rsid w:val="00DE2A51"/>
    <w:rsid w:val="00DE602E"/>
    <w:rsid w:val="00E04343"/>
    <w:rsid w:val="00E13DB9"/>
    <w:rsid w:val="00E2419D"/>
    <w:rsid w:val="00E316CB"/>
    <w:rsid w:val="00E406BD"/>
    <w:rsid w:val="00E64711"/>
    <w:rsid w:val="00E7353A"/>
    <w:rsid w:val="00EA58F3"/>
    <w:rsid w:val="00EB2D9C"/>
    <w:rsid w:val="00EC79C1"/>
    <w:rsid w:val="00ED17CD"/>
    <w:rsid w:val="00EE0225"/>
    <w:rsid w:val="00F00E71"/>
    <w:rsid w:val="00F11E5D"/>
    <w:rsid w:val="00F12F32"/>
    <w:rsid w:val="00F169EE"/>
    <w:rsid w:val="00F23E12"/>
    <w:rsid w:val="00F331FE"/>
    <w:rsid w:val="00F640FC"/>
    <w:rsid w:val="00F64578"/>
    <w:rsid w:val="00F72BA8"/>
    <w:rsid w:val="00F7735D"/>
    <w:rsid w:val="00F80FA5"/>
    <w:rsid w:val="00F81138"/>
    <w:rsid w:val="00F82E40"/>
    <w:rsid w:val="00F922C0"/>
    <w:rsid w:val="00F952EE"/>
    <w:rsid w:val="00FB09AA"/>
    <w:rsid w:val="00FB0DCF"/>
    <w:rsid w:val="00FB4700"/>
    <w:rsid w:val="00FB6DA4"/>
    <w:rsid w:val="00FC525C"/>
    <w:rsid w:val="00FC5833"/>
    <w:rsid w:val="00F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48FA"/>
  <w15:chartTrackingRefBased/>
  <w15:docId w15:val="{3BBADC7C-8F81-48DE-9FE1-9D7931E8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525C"/>
  </w:style>
  <w:style w:type="table" w:styleId="TableGrid">
    <w:name w:val="Table Grid"/>
    <w:basedOn w:val="TableNormal"/>
    <w:uiPriority w:val="39"/>
    <w:rsid w:val="0047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5F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71"/>
  </w:style>
  <w:style w:type="paragraph" w:styleId="Footer">
    <w:name w:val="footer"/>
    <w:basedOn w:val="Normal"/>
    <w:link w:val="Foot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71"/>
  </w:style>
  <w:style w:type="paragraph" w:customStyle="1" w:styleId="Default">
    <w:name w:val="Default"/>
    <w:rsid w:val="00F64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2 Self-Paced Course</vt:lpstr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2 Self-Paced Course</dc:title>
  <dc:subject/>
  <dc:creator>Kaviarasu Venu</dc:creator>
  <cp:keywords/>
  <dc:description/>
  <cp:lastModifiedBy>Charulatha Periasamy</cp:lastModifiedBy>
  <cp:revision>7</cp:revision>
  <cp:lastPrinted>2017-12-11T08:05:00Z</cp:lastPrinted>
  <dcterms:created xsi:type="dcterms:W3CDTF">2018-11-12T09:07:00Z</dcterms:created>
  <dcterms:modified xsi:type="dcterms:W3CDTF">2018-11-16T08:47:00Z</dcterms:modified>
</cp:coreProperties>
</file>