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0"/>
        </w:rPr>
        <w:t>CAPSTONE PROJECT 1</w:t>
      </w:r>
    </w:p>
    <w:p>
      <w:pPr>
        <w:pStyle w:val="Title"/>
        <w:jc w:val="center"/>
      </w:pPr>
      <w:r>
        <w:t>Evidence-Driven Dataset Intelligence and Recommendation System</w:t>
      </w:r>
    </w:p>
    <w:p>
      <w:pPr>
        <w:jc w:val="center"/>
      </w:pPr>
      <w:r>
        <w:rPr>
          <w:i/>
          <w:sz w:val="23"/>
        </w:rPr>
        <w:t>LLM-assisted discovery, content-aware suitability estimation, long-tail exploration, provenance, and explainable ranking</w:t>
      </w:r>
    </w:p>
    <w:p>
      <w:pPr>
        <w:jc w:val="center"/>
      </w:pPr>
      <w:r>
        <w:rPr>
          <w:b/>
        </w:rPr>
        <w:br/>
        <w:t>Research-Grounded Integrated Proposal</w:t>
        <w:br/>
        <w:t>Capstone Project 1</w:t>
      </w:r>
    </w:p>
    <w:p>
      <w:pPr>
        <w:jc w:val="center"/>
      </w:pPr>
      <w:r>
        <w:rPr>
          <w:sz w:val="21"/>
        </w:rPr>
        <w:br/>
        <w:t>Final design direction: the system evaluates evidence about datasets instead of treating repository visibility, metadata completeness, or popularity as ground truth.</w:t>
      </w:r>
    </w:p>
    <w:p/>
    <w:p>
      <w:pPr>
        <w:jc w:val="center"/>
      </w:pPr>
      <w:r>
        <w:rPr>
          <w:color w:val="595959"/>
          <w:sz w:val="18"/>
        </w:rPr>
        <w:t>Prepared as the technical and research foundation for implementation and subsequent Capstone Project 2 development.</w:t>
      </w:r>
    </w:p>
    <w:p>
      <w:r>
        <w:br w:type="page"/>
      </w:r>
    </w:p>
    <w:p>
      <w:pPr>
        <w:pStyle w:val="Heading1"/>
      </w:pPr>
      <w:r>
        <w:t>1. Executive Summary</w:t>
      </w:r>
    </w:p>
    <w:p>
      <w:r>
        <w:t>The project is an evidence-driven dataset intelligence system for Machine Learning (ML), Deep Learning (DL), and Computer Vision (CV). A user provides a natural-language description of a project. The system converts the description into a structured task specification, discovers candidate datasets across multiple public repositories, gathers evidence about those datasets, performs lightweight analysis of accessible samples when possible, estimates task-specific utility, mitigates popularity bias, and produces a diversified, explainable recommendation set.</w:t>
      </w:r>
    </w:p>
    <w:p>
      <w:r>
        <w:t>The original proposal established a strong practical foundation: requirement extraction, multi-source retrieval, metadata-based suitability evaluation, ranking, and top-five explanations. The research review shows that a metadata-plus-RAG recommender by itself is not sufficiently differentiated because dataset recommendation has already been formulated as an information-retrieval problem and strong bi-encoder retrieval has been demonstrated. DataFinder is therefore treated as a principal baseline rather than a conceptual endpoint [1].</w:t>
      </w:r>
    </w:p>
    <w:p>
      <w:r>
        <w:t>The final system extends this foundation in four directions. First, metadata becomes one evidence layer rather than the definition of dataset quality. Second, accessible data samples can be inspected to produce a Dataset Fingerprint and task-oriented quality and utility signals. Third, the ranking mechanism explicitly protects useful long-tail datasets from being suppressed by popularity. Fourth, every important recommendation factor can be tied to provenance, source, confidence, and uncertainty, creating an auditable evidence trail.</w:t>
      </w:r>
    </w:p>
    <w:p>
      <w:pPr>
        <w:pStyle w:val="Callout"/>
      </w:pPr>
      <w:r>
        <w:rPr>
          <w:b/>
        </w:rPr>
        <w:t xml:space="preserve">Central thesis: </w:t>
      </w:r>
      <w:r>
        <w:t>A dataset recommender should answer not only “What datasets look relevant?” but “Which datasets are most defensibly useful for this task, what evidence supports that judgment, how uncertain is it, and what useful alternatives would otherwise be missed?”</w:t>
      </w:r>
    </w:p>
    <w:p>
      <w:pPr>
        <w:pStyle w:val="Heading1"/>
      </w:pPr>
      <w:r>
        <w:t>2. Project Foundation Retained from the Original Proposal</w:t>
      </w:r>
    </w:p>
    <w:p>
      <w:r>
        <w:t>The initial proposal remains the base architecture and problem setting. The system continues to target ML/DL/CV users, accepts natural-language project descriptions, operates across multiple public dataset repositories, avoids requiring complete dataset downloads in the default path, and returns a ranked set of recommendations rather than an unranked search result list.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vAlign w:val="center"/>
            <w:shd w:fill="17365D"/>
          </w:tcPr>
          <w:p>
            <w:pPr>
              <w:spacing w:after="0"/>
            </w:pPr>
            <w:r/>
            <w:r>
              <w:rPr>
                <w:b/>
                <w:color w:val="FFFFFF"/>
                <w:sz w:val="18"/>
              </w:rPr>
              <w:t>Original capability</w:t>
            </w:r>
          </w:p>
        </w:tc>
        <w:tc>
          <w:tcPr>
            <w:tcW w:type="dxa" w:w="7776"/>
            <w:vAlign w:val="center"/>
            <w:shd w:fill="17365D"/>
          </w:tcPr>
          <w:p>
            <w:pPr>
              <w:spacing w:after="0"/>
            </w:pPr>
            <w:r/>
            <w:r>
              <w:rPr>
                <w:b/>
                <w:color w:val="FFFFFF"/>
                <w:sz w:val="18"/>
              </w:rPr>
              <w:t>Final treatment</w:t>
            </w:r>
          </w:p>
        </w:tc>
      </w:tr>
      <w:tr>
        <w:trPr>
          <w:cantSplit/>
        </w:trPr>
        <w:tc>
          <w:tcPr>
            <w:tcW w:type="dxa" w:w="2880"/>
            <w:vAlign w:val="center"/>
            <w:shd w:fill="F5F7FA"/>
          </w:tcPr>
          <w:p>
            <w:pPr>
              <w:spacing w:after="0"/>
            </w:pPr>
            <w:r/>
            <w:r>
              <w:rPr>
                <w:b w:val="0"/>
                <w:sz w:val="18"/>
              </w:rPr>
              <w:t>Natural-language project input</w:t>
            </w:r>
          </w:p>
        </w:tc>
        <w:tc>
          <w:tcPr>
            <w:tcW w:type="dxa" w:w="7776"/>
            <w:vAlign w:val="center"/>
            <w:shd w:fill="F5F7FA"/>
          </w:tcPr>
          <w:p>
            <w:pPr>
              <w:spacing w:after="0"/>
            </w:pPr>
            <w:r/>
            <w:r>
              <w:rPr>
                <w:b w:val="0"/>
                <w:sz w:val="18"/>
              </w:rPr>
              <w:t>Retained. Converted into a fixed structured task specification.</w:t>
            </w:r>
          </w:p>
        </w:tc>
      </w:tr>
      <w:tr>
        <w:trPr>
          <w:cantSplit/>
        </w:trPr>
        <w:tc>
          <w:tcPr>
            <w:tcW w:type="dxa" w:w="2880"/>
            <w:vAlign w:val="center"/>
          </w:tcPr>
          <w:p>
            <w:pPr>
              <w:spacing w:after="0"/>
            </w:pPr>
            <w:r/>
            <w:r>
              <w:rPr>
                <w:b w:val="0"/>
                <w:sz w:val="18"/>
              </w:rPr>
              <w:t>Multi-source dataset discovery</w:t>
            </w:r>
          </w:p>
        </w:tc>
        <w:tc>
          <w:tcPr>
            <w:tcW w:type="dxa" w:w="7776"/>
            <w:vAlign w:val="center"/>
          </w:tcPr>
          <w:p>
            <w:pPr>
              <w:spacing w:after="0"/>
            </w:pPr>
            <w:r/>
            <w:r>
              <w:rPr>
                <w:b w:val="0"/>
                <w:sz w:val="18"/>
              </w:rPr>
              <w:t>Retained. Candidate corpus will be normalized across several public repositories.</w:t>
            </w:r>
          </w:p>
        </w:tc>
      </w:tr>
      <w:tr>
        <w:trPr>
          <w:cantSplit/>
        </w:trPr>
        <w:tc>
          <w:tcPr>
            <w:tcW w:type="dxa" w:w="2880"/>
            <w:vAlign w:val="center"/>
            <w:shd w:fill="F5F7FA"/>
          </w:tcPr>
          <w:p>
            <w:pPr>
              <w:spacing w:after="0"/>
            </w:pPr>
            <w:r/>
            <w:r>
              <w:rPr>
                <w:b w:val="0"/>
                <w:sz w:val="18"/>
              </w:rPr>
              <w:t>Hybrid RAG retrieval</w:t>
            </w:r>
          </w:p>
        </w:tc>
        <w:tc>
          <w:tcPr>
            <w:tcW w:type="dxa" w:w="7776"/>
            <w:vAlign w:val="center"/>
            <w:shd w:fill="F5F7FA"/>
          </w:tcPr>
          <w:p>
            <w:pPr>
              <w:spacing w:after="0"/>
            </w:pPr>
            <w:r/>
            <w:r>
              <w:rPr>
                <w:b w:val="0"/>
                <w:sz w:val="18"/>
              </w:rPr>
              <w:t>Retained and strengthened with lexical + dense retrieval and structured filters.</w:t>
            </w:r>
          </w:p>
        </w:tc>
      </w:tr>
      <w:tr>
        <w:trPr>
          <w:cantSplit/>
        </w:trPr>
        <w:tc>
          <w:tcPr>
            <w:tcW w:type="dxa" w:w="2880"/>
            <w:vAlign w:val="center"/>
          </w:tcPr>
          <w:p>
            <w:pPr>
              <w:spacing w:after="0"/>
            </w:pPr>
            <w:r/>
            <w:r>
              <w:rPr>
                <w:b w:val="0"/>
                <w:sz w:val="18"/>
              </w:rPr>
              <w:t>Metadata-based suitability</w:t>
            </w:r>
          </w:p>
        </w:tc>
        <w:tc>
          <w:tcPr>
            <w:tcW w:type="dxa" w:w="7776"/>
            <w:vAlign w:val="center"/>
          </w:tcPr>
          <w:p>
            <w:pPr>
              <w:spacing w:after="0"/>
            </w:pPr>
            <w:r/>
            <w:r>
              <w:rPr>
                <w:b w:val="0"/>
                <w:sz w:val="18"/>
              </w:rPr>
              <w:t>Retained as a low-cost evidence layer, not as complete data-quality proof.</w:t>
            </w:r>
          </w:p>
        </w:tc>
      </w:tr>
      <w:tr>
        <w:trPr>
          <w:cantSplit/>
        </w:trPr>
        <w:tc>
          <w:tcPr>
            <w:tcW w:type="dxa" w:w="2880"/>
            <w:vAlign w:val="center"/>
            <w:shd w:fill="F5F7FA"/>
          </w:tcPr>
          <w:p>
            <w:pPr>
              <w:spacing w:after="0"/>
            </w:pPr>
            <w:r/>
            <w:r>
              <w:rPr>
                <w:b w:val="0"/>
                <w:sz w:val="18"/>
              </w:rPr>
              <w:t>Top-five ranking and explanations</w:t>
            </w:r>
          </w:p>
        </w:tc>
        <w:tc>
          <w:tcPr>
            <w:tcW w:type="dxa" w:w="7776"/>
            <w:vAlign w:val="center"/>
            <w:shd w:fill="F5F7FA"/>
          </w:tcPr>
          <w:p>
            <w:pPr>
              <w:spacing w:after="0"/>
            </w:pPr>
            <w:r/>
            <w:r>
              <w:rPr>
                <w:b w:val="0"/>
                <w:sz w:val="18"/>
              </w:rPr>
              <w:t>Retained, expanded with evidence, uncertainty, limitations, and alternative/rejection reasons.</w:t>
            </w:r>
          </w:p>
        </w:tc>
      </w:tr>
      <w:tr>
        <w:trPr>
          <w:cantSplit/>
        </w:trPr>
        <w:tc>
          <w:tcPr>
            <w:tcW w:type="dxa" w:w="2880"/>
            <w:vAlign w:val="center"/>
          </w:tcPr>
          <w:p>
            <w:pPr>
              <w:spacing w:after="0"/>
            </w:pPr>
            <w:r/>
            <w:r>
              <w:rPr>
                <w:b w:val="0"/>
                <w:sz w:val="18"/>
              </w:rPr>
              <w:t>Sample-based quality inspection</w:t>
            </w:r>
          </w:p>
        </w:tc>
        <w:tc>
          <w:tcPr>
            <w:tcW w:type="dxa" w:w="7776"/>
            <w:vAlign w:val="center"/>
          </w:tcPr>
          <w:p>
            <w:pPr>
              <w:spacing w:after="0"/>
            </w:pPr>
            <w:r/>
            <w:r>
              <w:rPr>
                <w:b w:val="0"/>
                <w:sz w:val="18"/>
              </w:rPr>
              <w:t>Promoted from a late optional idea to a controlled evidence layer for accessible candidates.</w:t>
            </w:r>
          </w:p>
        </w:tc>
      </w:tr>
      <w:tr>
        <w:trPr>
          <w:cantSplit/>
        </w:trPr>
        <w:tc>
          <w:tcPr>
            <w:tcW w:type="dxa" w:w="2880"/>
            <w:vAlign w:val="center"/>
            <w:shd w:fill="F5F7FA"/>
          </w:tcPr>
          <w:p>
            <w:pPr>
              <w:spacing w:after="0"/>
            </w:pPr>
            <w:r/>
            <w:r>
              <w:rPr>
                <w:b w:val="0"/>
                <w:sz w:val="18"/>
              </w:rPr>
              <w:t>Evaluation with P@K, R@K, NDCG, MRR and ablations</w:t>
            </w:r>
          </w:p>
        </w:tc>
        <w:tc>
          <w:tcPr>
            <w:tcW w:type="dxa" w:w="7776"/>
            <w:vAlign w:val="center"/>
            <w:shd w:fill="F5F7FA"/>
          </w:tcPr>
          <w:p>
            <w:pPr>
              <w:spacing w:after="0"/>
            </w:pPr>
            <w:r/>
            <w:r>
              <w:rPr>
                <w:b w:val="0"/>
                <w:sz w:val="18"/>
              </w:rPr>
              <w:t>Retained and expanded to long-tail, diversity, robustness, calibration, evidence quality, and cost.</w:t>
            </w:r>
          </w:p>
        </w:tc>
      </w:tr>
    </w:tbl>
    <w:p>
      <w:pPr>
        <w:spacing w:after="20"/>
      </w:pPr>
    </w:p>
    <w:p>
      <w:pPr>
        <w:pStyle w:val="Heading1"/>
      </w:pPr>
      <w:r>
        <w:t>3. Research Gap and Final Problem Definition</w:t>
      </w:r>
    </w:p>
    <w:p>
      <w:pPr>
        <w:pStyle w:val="Heading2"/>
      </w:pPr>
      <w:r>
        <w:t>3.1 Why a metadata-only recommender is insufficient</w:t>
      </w:r>
    </w:p>
    <w:p>
      <w:r>
        <w:t>Dataset recommendation is already established as an information-retrieval problem. DataFinder constructs a benchmark from research needs and evaluates BM25, nearest-neighbor, and dense bi-encoder retrieval, reporting substantial gains from a trained bi-encoder over generic search approaches [1]. A project whose main novelty is “LLM extraction + vector retrieval + metadata scoring” would therefore risk reproducing an existing direction.</w:t>
      </w:r>
    </w:p>
    <w:p>
      <w:r>
        <w:t>The role of the proposed system is consequently shifted from pure retrieval toward evidence-backed selection. Metadata is useful for fast candidate generation and constraint filtering, but the system attempts to obtain additional evidence from dataset structure, documentation, provenance, and small accessible samples before making stronger suitability claims.</w:t>
      </w:r>
    </w:p>
    <w:p>
      <w:pPr>
        <w:pStyle w:val="Heading2"/>
      </w:pPr>
      <w:r>
        <w:t>3.2 Why repository metadata cannot be treated as ground truth</w:t>
      </w:r>
    </w:p>
    <w:p>
      <w:r>
        <w:t>Repository metadata is publisher-supplied information. Documentation quality is uneven, and dataset visibility can itself correlate with documentation quality. Licensing is even more sensitive: the research reviewed for this project reports substantial rates of missing or incorrectly stated dataset licenses in public ML datasets [7]. Consequently, the system distinguishes between a repository claim and a verified or cross-supported fact.</w:t>
      </w:r>
    </w:p>
    <w:p>
      <w:r>
        <w:t>The output language must therefore reflect evidence strength. “License: CC BY 4.0” may be reported as a repository claim; it should not automatically be translated into “commercially safe.” The system must support states such as Verified, Corroborated, Single-source claim, Conflicting, and Unknown.</w:t>
      </w:r>
    </w:p>
    <w:p>
      <w:pPr>
        <w:pStyle w:val="Heading2"/>
      </w:pPr>
      <w:r>
        <w:t>3.3 Why popularity must not define suitability</w:t>
      </w:r>
    </w:p>
    <w:p>
      <w:r>
        <w:t>Downloads, stars, ratings, reviews, citations, and repository visibility can provide useful community evidence, but they are not equivalent to task fitness. A popularity-driven ranking naturally favors datasets that already have stronger ecosystem visibility and richer metadata. This creates a feedback loop in which well-known datasets become increasingly discoverable while specialized or smaller datasets remain underexposed.</w:t>
      </w:r>
    </w:p>
    <w:p>
      <w:r>
        <w:t>The final ranking therefore treats popularity as contextual evidence rather than core quality. A separate long-tail exploration mechanism searches for relevant candidates that are not dominant on popularity signals, and the final set is diversified so that several near-identical popular datasets do not crowd out useful alternatives.</w:t>
      </w:r>
    </w:p>
    <w:p>
      <w:pPr>
        <w:pStyle w:val="Heading1"/>
      </w:pPr>
      <w:r>
        <w:t>4. Research Questions and Objectives</w:t>
      </w:r>
    </w:p>
    <w:p>
      <w:r>
        <w:t>The project is organized around three primary research questions and a set of measurable objectives.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vAlign w:val="center"/>
            <w:shd w:fill="17365D"/>
          </w:tcPr>
          <w:p>
            <w:pPr>
              <w:spacing w:after="0"/>
            </w:pPr>
            <w:r/>
            <w:r>
              <w:rPr>
                <w:b/>
                <w:color w:val="FFFFFF"/>
                <w:sz w:val="18"/>
              </w:rPr>
              <w:t>Research question</w:t>
            </w:r>
          </w:p>
        </w:tc>
        <w:tc>
          <w:tcPr>
            <w:tcW w:type="dxa" w:w="8280"/>
            <w:vAlign w:val="center"/>
            <w:shd w:fill="17365D"/>
          </w:tcPr>
          <w:p>
            <w:pPr>
              <w:spacing w:after="0"/>
            </w:pPr>
            <w:r/>
            <w:r>
              <w:rPr>
                <w:b/>
                <w:color w:val="FFFFFF"/>
                <w:sz w:val="18"/>
              </w:rPr>
              <w:t>Experimental question</w:t>
            </w:r>
          </w:p>
        </w:tc>
      </w:tr>
      <w:tr>
        <w:trPr>
          <w:cantSplit/>
        </w:trPr>
        <w:tc>
          <w:tcPr>
            <w:tcW w:type="dxa" w:w="2376"/>
            <w:vAlign w:val="center"/>
            <w:shd w:fill="F5F7FA"/>
          </w:tcPr>
          <w:p>
            <w:pPr>
              <w:spacing w:after="0"/>
            </w:pPr>
            <w:r/>
            <w:r>
              <w:rPr>
                <w:b w:val="0"/>
                <w:sz w:val="18"/>
              </w:rPr>
              <w:t>RQ1 — Retrieval</w:t>
            </w:r>
          </w:p>
        </w:tc>
        <w:tc>
          <w:tcPr>
            <w:tcW w:type="dxa" w:w="8280"/>
            <w:vAlign w:val="center"/>
            <w:shd w:fill="F5F7FA"/>
          </w:tcPr>
          <w:p>
            <w:pPr>
              <w:spacing w:after="0"/>
            </w:pPr>
            <w:r/>
            <w:r>
              <w:rPr>
                <w:b w:val="0"/>
                <w:sz w:val="18"/>
              </w:rPr>
              <w:t>Does hybrid lexical + dense retrieval identify relevant datasets more effectively than lexical-only, dense-only, and DataFinder-style dense retrieval baselines?</w:t>
            </w:r>
          </w:p>
        </w:tc>
      </w:tr>
      <w:tr>
        <w:trPr>
          <w:cantSplit/>
        </w:trPr>
        <w:tc>
          <w:tcPr>
            <w:tcW w:type="dxa" w:w="2376"/>
            <w:vAlign w:val="center"/>
          </w:tcPr>
          <w:p>
            <w:pPr>
              <w:spacing w:after="0"/>
            </w:pPr>
            <w:r/>
            <w:r>
              <w:rPr>
                <w:b w:val="0"/>
                <w:sz w:val="18"/>
              </w:rPr>
              <w:t>RQ2 — Utility</w:t>
            </w:r>
          </w:p>
        </w:tc>
        <w:tc>
          <w:tcPr>
            <w:tcW w:type="dxa" w:w="8280"/>
            <w:vAlign w:val="center"/>
          </w:tcPr>
          <w:p>
            <w:pPr>
              <w:spacing w:after="0"/>
            </w:pPr>
            <w:r/>
            <w:r>
              <w:rPr>
                <w:b w:val="0"/>
                <w:sz w:val="18"/>
              </w:rPr>
              <w:t>Does adding evidence from accessible samples and task-aware data analysis improve dataset selection beyond metadata-only ranking?</w:t>
            </w:r>
          </w:p>
        </w:tc>
      </w:tr>
      <w:tr>
        <w:trPr>
          <w:cantSplit/>
        </w:trPr>
        <w:tc>
          <w:tcPr>
            <w:tcW w:type="dxa" w:w="2376"/>
            <w:vAlign w:val="center"/>
            <w:shd w:fill="F5F7FA"/>
          </w:tcPr>
          <w:p>
            <w:pPr>
              <w:spacing w:after="0"/>
            </w:pPr>
            <w:r/>
            <w:r>
              <w:rPr>
                <w:b w:val="0"/>
                <w:sz w:val="18"/>
              </w:rPr>
              <w:t>RQ3 — Discovery bias</w:t>
            </w:r>
          </w:p>
        </w:tc>
        <w:tc>
          <w:tcPr>
            <w:tcW w:type="dxa" w:w="8280"/>
            <w:vAlign w:val="center"/>
            <w:shd w:fill="F5F7FA"/>
          </w:tcPr>
          <w:p>
            <w:pPr>
              <w:spacing w:after="0"/>
            </w:pPr>
            <w:r/>
            <w:r>
              <w:rPr>
                <w:b w:val="0"/>
                <w:sz w:val="18"/>
              </w:rPr>
              <w:t>Can popularity-aware diversification increase the discovery of useful lesser-known datasets without materially reducing recommendation relevance?</w:t>
            </w:r>
          </w:p>
        </w:tc>
      </w:tr>
    </w:tbl>
    <w:p>
      <w:pPr>
        <w:spacing w:after="20"/>
      </w:pPr>
    </w:p>
    <w:p>
      <w:pPr>
        <w:ind w:left="173" w:hanging="173"/>
      </w:pPr>
      <w:r>
        <w:rPr>
          <w:b/>
        </w:rPr>
        <w:t xml:space="preserve">1. </w:t>
      </w:r>
      <w:r>
        <w:t>Build a normalized multi-source dataset corpus with stable identifiers and provenance pointers.</w:t>
      </w:r>
    </w:p>
    <w:p>
      <w:pPr>
        <w:ind w:left="173" w:hanging="173"/>
      </w:pPr>
      <w:r>
        <w:rPr>
          <w:b/>
        </w:rPr>
        <w:t xml:space="preserve">2. </w:t>
      </w:r>
      <w:r>
        <w:t>Extract structured task requirements using an LLM or deterministic parser constrained by a schema.</w:t>
      </w:r>
    </w:p>
    <w:p>
      <w:pPr>
        <w:ind w:left="173" w:hanging="173"/>
      </w:pPr>
      <w:r>
        <w:rPr>
          <w:b/>
        </w:rPr>
        <w:t xml:space="preserve">3. </w:t>
      </w:r>
      <w:r>
        <w:t>Generate candidates through hybrid retrieval and hard-constraint filtering.</w:t>
      </w:r>
    </w:p>
    <w:p>
      <w:pPr>
        <w:ind w:left="173" w:hanging="173"/>
      </w:pPr>
      <w:r>
        <w:rPr>
          <w:b/>
        </w:rPr>
        <w:t xml:space="preserve">4. </w:t>
      </w:r>
      <w:r>
        <w:t>Assemble an evidence ledger for metadata, documentation, provenance, license claims, repository signals, and sample findings.</w:t>
      </w:r>
    </w:p>
    <w:p>
      <w:pPr>
        <w:ind w:left="173" w:hanging="173"/>
      </w:pPr>
      <w:r>
        <w:rPr>
          <w:b/>
        </w:rPr>
        <w:t xml:space="preserve">5. </w:t>
      </w:r>
      <w:r>
        <w:t>Compute content-aware dataset fingerprints from small accessible samples when technically and legally feasible.</w:t>
      </w:r>
    </w:p>
    <w:p>
      <w:pPr>
        <w:ind w:left="173" w:hanging="173"/>
      </w:pPr>
      <w:r>
        <w:rPr>
          <w:b/>
        </w:rPr>
        <w:t xml:space="preserve">6. </w:t>
      </w:r>
      <w:r>
        <w:t>Estimate task-specific utility using lightweight probes rather than full model training.</w:t>
      </w:r>
    </w:p>
    <w:p>
      <w:pPr>
        <w:ind w:left="173" w:hanging="173"/>
      </w:pPr>
      <w:r>
        <w:rPr>
          <w:b/>
        </w:rPr>
        <w:t xml:space="preserve">7. </w:t>
      </w:r>
      <w:r>
        <w:t>Rank candidates with an evidence-aware, uncertainty-aware scoring model and diversify the final recommendation set.</w:t>
      </w:r>
    </w:p>
    <w:p>
      <w:pPr>
        <w:ind w:left="173" w:hanging="173"/>
      </w:pPr>
      <w:r>
        <w:rPr>
          <w:b/>
        </w:rPr>
        <w:t xml:space="preserve">8. </w:t>
      </w:r>
      <w:r>
        <w:t>Produce explanations that separate claims, measured evidence, assumptions, unknowns, and limitations.</w:t>
      </w:r>
    </w:p>
    <w:p>
      <w:pPr>
        <w:ind w:left="173" w:hanging="173"/>
      </w:pPr>
      <w:r>
        <w:rPr>
          <w:b/>
        </w:rPr>
        <w:t xml:space="preserve">9. </w:t>
      </w:r>
      <w:r>
        <w:t>Evaluate the system against strong retrieval baselines, robustness tests, and a purpose-built long-tail benchmark.</w:t>
      </w:r>
    </w:p>
    <w:p>
      <w:pPr>
        <w:pStyle w:val="Heading1"/>
      </w:pPr>
      <w:r>
        <w:t>5. Research Foundations and What the Project Adopts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728"/>
            <w:vAlign w:val="center"/>
            <w:shd w:fill="17365D"/>
          </w:tcPr>
          <w:p>
            <w:pPr>
              <w:spacing w:after="0"/>
            </w:pPr>
            <w:r/>
            <w:r>
              <w:rPr>
                <w:b/>
                <w:color w:val="FFFFFF"/>
                <w:sz w:val="18"/>
              </w:rPr>
              <w:t>Work / system</w:t>
            </w:r>
          </w:p>
        </w:tc>
        <w:tc>
          <w:tcPr>
            <w:tcW w:type="dxa" w:w="3672"/>
            <w:vAlign w:val="center"/>
            <w:shd w:fill="17365D"/>
          </w:tcPr>
          <w:p>
            <w:pPr>
              <w:spacing w:after="0"/>
            </w:pPr>
            <w:r/>
            <w:r>
              <w:rPr>
                <w:b/>
                <w:color w:val="FFFFFF"/>
                <w:sz w:val="18"/>
              </w:rPr>
              <w:t>Established capability</w:t>
            </w:r>
          </w:p>
        </w:tc>
        <w:tc>
          <w:tcPr>
            <w:tcW w:type="dxa" w:w="3672"/>
            <w:vAlign w:val="center"/>
            <w:shd w:fill="17365D"/>
          </w:tcPr>
          <w:p>
            <w:pPr>
              <w:spacing w:after="0"/>
            </w:pPr>
            <w:r/>
            <w:r>
              <w:rPr>
                <w:b/>
                <w:color w:val="FFFFFF"/>
                <w:sz w:val="18"/>
              </w:rPr>
              <w:t>Adoption in this project</w:t>
            </w:r>
          </w:p>
        </w:tc>
        <w:tc>
          <w:tcPr>
            <w:tcW w:type="dxa" w:w="1944"/>
            <w:vAlign w:val="center"/>
            <w:shd w:fill="17365D"/>
          </w:tcPr>
          <w:p>
            <w:pPr>
              <w:spacing w:after="0"/>
            </w:pPr>
            <w:r/>
            <w:r>
              <w:rPr>
                <w:b/>
                <w:color w:val="FFFFFF"/>
                <w:sz w:val="18"/>
              </w:rPr>
              <w:t>Boundary</w:t>
            </w:r>
          </w:p>
        </w:tc>
      </w:tr>
      <w:tr>
        <w:trPr>
          <w:cantSplit/>
        </w:trPr>
        <w:tc>
          <w:tcPr>
            <w:tcW w:type="dxa" w:w="1728"/>
            <w:vAlign w:val="center"/>
            <w:shd w:fill="F5F7FA"/>
          </w:tcPr>
          <w:p>
            <w:pPr>
              <w:spacing w:after="0"/>
            </w:pPr>
            <w:r/>
            <w:r>
              <w:rPr>
                <w:b w:val="0"/>
                <w:sz w:val="18"/>
              </w:rPr>
              <w:t>DataFinder [1]</w:t>
            </w:r>
          </w:p>
        </w:tc>
        <w:tc>
          <w:tcPr>
            <w:tcW w:type="dxa" w:w="3672"/>
            <w:vAlign w:val="center"/>
            <w:shd w:fill="F5F7FA"/>
          </w:tcPr>
          <w:p>
            <w:pPr>
              <w:spacing w:after="0"/>
            </w:pPr>
            <w:r/>
            <w:r>
              <w:rPr>
                <w:b w:val="0"/>
                <w:sz w:val="18"/>
              </w:rPr>
              <w:t>Natural-language dataset recommendation; BM25, nearest-neighbor, bi-encoder retrieval; benchmark construction.</w:t>
            </w:r>
          </w:p>
        </w:tc>
        <w:tc>
          <w:tcPr>
            <w:tcW w:type="dxa" w:w="3672"/>
            <w:vAlign w:val="center"/>
            <w:shd w:fill="F5F7FA"/>
          </w:tcPr>
          <w:p>
            <w:pPr>
              <w:spacing w:after="0"/>
            </w:pPr>
            <w:r/>
            <w:r>
              <w:rPr>
                <w:b w:val="0"/>
                <w:sz w:val="18"/>
              </w:rPr>
              <w:t>Use as a conceptual and experimental retrieval baseline; borrow benchmark design ideas and dense retrieval setup.</w:t>
            </w:r>
          </w:p>
        </w:tc>
        <w:tc>
          <w:tcPr>
            <w:tcW w:type="dxa" w:w="1944"/>
            <w:vAlign w:val="center"/>
            <w:shd w:fill="F5F7FA"/>
          </w:tcPr>
          <w:p>
            <w:pPr>
              <w:spacing w:after="0"/>
            </w:pPr>
            <w:r/>
            <w:r>
              <w:rPr>
                <w:b w:val="0"/>
                <w:sz w:val="18"/>
              </w:rPr>
              <w:t>Do not claim dataset recommendation via semantic retrieval as the main novelty.</w:t>
            </w:r>
          </w:p>
        </w:tc>
      </w:tr>
      <w:tr>
        <w:trPr>
          <w:cantSplit/>
        </w:trPr>
        <w:tc>
          <w:tcPr>
            <w:tcW w:type="dxa" w:w="1728"/>
            <w:vAlign w:val="center"/>
          </w:tcPr>
          <w:p>
            <w:pPr>
              <w:spacing w:after="0"/>
            </w:pPr>
            <w:r/>
            <w:r>
              <w:rPr>
                <w:b w:val="0"/>
                <w:sz w:val="18"/>
              </w:rPr>
              <w:t>DataPerf [2]</w:t>
            </w:r>
          </w:p>
        </w:tc>
        <w:tc>
          <w:tcPr>
            <w:tcW w:type="dxa" w:w="3672"/>
            <w:vAlign w:val="center"/>
          </w:tcPr>
          <w:p>
            <w:pPr>
              <w:spacing w:after="0"/>
            </w:pPr>
            <w:r/>
            <w:r>
              <w:rPr>
                <w:b w:val="0"/>
                <w:sz w:val="18"/>
              </w:rPr>
              <w:t>Data selection, cleaning, acquisition and data-centric benchmarking; downstream-task-based evaluation.</w:t>
            </w:r>
          </w:p>
        </w:tc>
        <w:tc>
          <w:tcPr>
            <w:tcW w:type="dxa" w:w="3672"/>
            <w:vAlign w:val="center"/>
          </w:tcPr>
          <w:p>
            <w:pPr>
              <w:spacing w:after="0"/>
            </w:pPr>
            <w:r/>
            <w:r>
              <w:rPr>
                <w:b w:val="0"/>
                <w:sz w:val="18"/>
              </w:rPr>
              <w:t>Treat dataset choice as a data-centric optimization problem; evaluate selected datasets by task-relevant utility proxies.</w:t>
            </w:r>
          </w:p>
        </w:tc>
        <w:tc>
          <w:tcPr>
            <w:tcW w:type="dxa" w:w="1944"/>
            <w:vAlign w:val="center"/>
          </w:tcPr>
          <w:p>
            <w:pPr>
              <w:spacing w:after="0"/>
            </w:pPr>
            <w:r/>
            <w:r>
              <w:rPr>
                <w:b w:val="0"/>
                <w:sz w:val="18"/>
              </w:rPr>
              <w:t>Do not reproduce every DataPerf challenge; adapt principles to dataset recommendation.</w:t>
            </w:r>
          </w:p>
        </w:tc>
      </w:tr>
      <w:tr>
        <w:trPr>
          <w:cantSplit/>
        </w:trPr>
        <w:tc>
          <w:tcPr>
            <w:tcW w:type="dxa" w:w="1728"/>
            <w:vAlign w:val="center"/>
            <w:shd w:fill="F5F7FA"/>
          </w:tcPr>
          <w:p>
            <w:pPr>
              <w:spacing w:after="0"/>
            </w:pPr>
            <w:r/>
            <w:r>
              <w:rPr>
                <w:b w:val="0"/>
                <w:sz w:val="18"/>
              </w:rPr>
              <w:t>Cleanlab [3]</w:t>
            </w:r>
          </w:p>
        </w:tc>
        <w:tc>
          <w:tcPr>
            <w:tcW w:type="dxa" w:w="3672"/>
            <w:vAlign w:val="center"/>
            <w:shd w:fill="F5F7FA"/>
          </w:tcPr>
          <w:p>
            <w:pPr>
              <w:spacing w:after="0"/>
            </w:pPr>
            <w:r/>
            <w:r>
              <w:rPr>
                <w:b w:val="0"/>
                <w:sz w:val="18"/>
              </w:rPr>
              <w:t>Model-assisted discovery of label issues and other data problems.</w:t>
            </w:r>
          </w:p>
        </w:tc>
        <w:tc>
          <w:tcPr>
            <w:tcW w:type="dxa" w:w="3672"/>
            <w:vAlign w:val="center"/>
            <w:shd w:fill="F5F7FA"/>
          </w:tcPr>
          <w:p>
            <w:pPr>
              <w:spacing w:after="0"/>
            </w:pPr>
            <w:r/>
            <w:r>
              <w:rPr>
                <w:b w:val="0"/>
                <w:sz w:val="18"/>
              </w:rPr>
              <w:t>Use for sample-level quality evidence when labels and suitable model probabilities are available.</w:t>
            </w:r>
          </w:p>
        </w:tc>
        <w:tc>
          <w:tcPr>
            <w:tcW w:type="dxa" w:w="1944"/>
            <w:vAlign w:val="center"/>
            <w:shd w:fill="F5F7FA"/>
          </w:tcPr>
          <w:p>
            <w:pPr>
              <w:spacing w:after="0"/>
            </w:pPr>
            <w:r/>
            <w:r>
              <w:rPr>
                <w:b w:val="0"/>
                <w:sz w:val="18"/>
              </w:rPr>
              <w:t>Do not interpret flagged samples as certain ground-truth errors.</w:t>
            </w:r>
          </w:p>
        </w:tc>
      </w:tr>
      <w:tr>
        <w:trPr>
          <w:cantSplit/>
        </w:trPr>
        <w:tc>
          <w:tcPr>
            <w:tcW w:type="dxa" w:w="1728"/>
            <w:vAlign w:val="center"/>
          </w:tcPr>
          <w:p>
            <w:pPr>
              <w:spacing w:after="0"/>
            </w:pPr>
            <w:r/>
            <w:r>
              <w:rPr>
                <w:b w:val="0"/>
                <w:sz w:val="18"/>
              </w:rPr>
              <w:t>Croissant / Croissant 1.1 [4]</w:t>
            </w:r>
          </w:p>
        </w:tc>
        <w:tc>
          <w:tcPr>
            <w:tcW w:type="dxa" w:w="3672"/>
            <w:vAlign w:val="center"/>
          </w:tcPr>
          <w:p>
            <w:pPr>
              <w:spacing w:after="0"/>
            </w:pPr>
            <w:r/>
            <w:r>
              <w:rPr>
                <w:b w:val="0"/>
                <w:sz w:val="18"/>
              </w:rPr>
              <w:t>Standardized machine-readable dataset metadata; newer work adds provenance, policy and vocabulary mechanisms.</w:t>
            </w:r>
          </w:p>
        </w:tc>
        <w:tc>
          <w:tcPr>
            <w:tcW w:type="dxa" w:w="3672"/>
            <w:vAlign w:val="center"/>
          </w:tcPr>
          <w:p>
            <w:pPr>
              <w:spacing w:after="0"/>
            </w:pPr>
            <w:r/>
            <w:r>
              <w:rPr>
                <w:b w:val="0"/>
                <w:sz w:val="18"/>
              </w:rPr>
              <w:t>Use as a canonical normalization/provenance layer where available; represent source claims and dataset lineage explicitly.</w:t>
            </w:r>
          </w:p>
        </w:tc>
        <w:tc>
          <w:tcPr>
            <w:tcW w:type="dxa" w:w="1944"/>
            <w:vAlign w:val="center"/>
          </w:tcPr>
          <w:p>
            <w:pPr>
              <w:spacing w:after="0"/>
            </w:pPr>
            <w:r/>
            <w:r>
              <w:rPr>
                <w:b w:val="0"/>
                <w:sz w:val="18"/>
              </w:rPr>
              <w:t>Do not assume Croissant fields themselves are always correct.</w:t>
            </w:r>
          </w:p>
        </w:tc>
      </w:tr>
      <w:tr>
        <w:trPr>
          <w:cantSplit/>
        </w:trPr>
        <w:tc>
          <w:tcPr>
            <w:tcW w:type="dxa" w:w="1728"/>
            <w:vAlign w:val="center"/>
            <w:shd w:fill="F5F7FA"/>
          </w:tcPr>
          <w:p>
            <w:pPr>
              <w:spacing w:after="0"/>
            </w:pPr>
            <w:r/>
            <w:r>
              <w:rPr>
                <w:b w:val="0"/>
                <w:sz w:val="18"/>
              </w:rPr>
              <w:t>GIST [5]</w:t>
            </w:r>
          </w:p>
        </w:tc>
        <w:tc>
          <w:tcPr>
            <w:tcW w:type="dxa" w:w="3672"/>
            <w:vAlign w:val="center"/>
            <w:shd w:fill="F5F7FA"/>
          </w:tcPr>
          <w:p>
            <w:pPr>
              <w:spacing w:after="0"/>
            </w:pPr>
            <w:r/>
            <w:r>
              <w:rPr>
                <w:b w:val="0"/>
                <w:sz w:val="18"/>
              </w:rPr>
              <w:t>Max-min diversification with submodular utility; utility + diversity selection.</w:t>
            </w:r>
          </w:p>
        </w:tc>
        <w:tc>
          <w:tcPr>
            <w:tcW w:type="dxa" w:w="3672"/>
            <w:vAlign w:val="center"/>
            <w:shd w:fill="F5F7FA"/>
          </w:tcPr>
          <w:p>
            <w:pPr>
              <w:spacing w:after="0"/>
            </w:pPr>
            <w:r/>
            <w:r>
              <w:rPr>
                <w:b w:val="0"/>
                <w:sz w:val="18"/>
              </w:rPr>
              <w:t>Use the principle for diversified final recommendations and, if computationally practical, implement a GIST-inspired candidate selector.</w:t>
            </w:r>
          </w:p>
        </w:tc>
        <w:tc>
          <w:tcPr>
            <w:tcW w:type="dxa" w:w="1944"/>
            <w:vAlign w:val="center"/>
            <w:shd w:fill="F5F7FA"/>
          </w:tcPr>
          <w:p>
            <w:pPr>
              <w:spacing w:after="0"/>
            </w:pPr>
            <w:r/>
            <w:r>
              <w:rPr>
                <w:b w:val="0"/>
                <w:sz w:val="18"/>
              </w:rPr>
              <w:t>Full-scale O(n²) selection is unnecessary; use a bounded candidate pool and efficient approximations.</w:t>
            </w:r>
          </w:p>
        </w:tc>
      </w:tr>
      <w:tr>
        <w:trPr>
          <w:cantSplit/>
        </w:trPr>
        <w:tc>
          <w:tcPr>
            <w:tcW w:type="dxa" w:w="1728"/>
            <w:vAlign w:val="center"/>
          </w:tcPr>
          <w:p>
            <w:pPr>
              <w:spacing w:after="0"/>
            </w:pPr>
            <w:r/>
            <w:r>
              <w:rPr>
                <w:b w:val="0"/>
                <w:sz w:val="18"/>
              </w:rPr>
              <w:t>Dataset documentation / Data Cards</w:t>
            </w:r>
          </w:p>
        </w:tc>
        <w:tc>
          <w:tcPr>
            <w:tcW w:type="dxa" w:w="3672"/>
            <w:vAlign w:val="center"/>
          </w:tcPr>
          <w:p>
            <w:pPr>
              <w:spacing w:after="0"/>
            </w:pPr>
            <w:r/>
            <w:r>
              <w:rPr>
                <w:b w:val="0"/>
                <w:sz w:val="18"/>
              </w:rPr>
              <w:t>Structured context, intended use, limitations and responsible-AI documentation.</w:t>
            </w:r>
          </w:p>
        </w:tc>
        <w:tc>
          <w:tcPr>
            <w:tcW w:type="dxa" w:w="3672"/>
            <w:vAlign w:val="center"/>
          </w:tcPr>
          <w:p>
            <w:pPr>
              <w:spacing w:after="0"/>
            </w:pPr>
            <w:r/>
            <w:r>
              <w:rPr>
                <w:b w:val="0"/>
                <w:sz w:val="18"/>
              </w:rPr>
              <w:t>Treat documentation as evidence about provenance and intended use, not as raw truth.</w:t>
            </w:r>
          </w:p>
        </w:tc>
        <w:tc>
          <w:tcPr>
            <w:tcW w:type="dxa" w:w="1944"/>
            <w:vAlign w:val="center"/>
          </w:tcPr>
          <w:p>
            <w:pPr>
              <w:spacing w:after="0"/>
            </w:pPr>
            <w:r/>
            <w:r>
              <w:rPr>
                <w:b w:val="0"/>
                <w:sz w:val="18"/>
              </w:rPr>
              <w:t>Documentation completeness is not a proxy for actual data quality.</w:t>
            </w:r>
          </w:p>
        </w:tc>
      </w:tr>
    </w:tbl>
    <w:p>
      <w:pPr>
        <w:spacing w:after="20"/>
      </w:pPr>
    </w:p>
    <w:p>
      <w:pPr>
        <w:pStyle w:val="Heading1"/>
      </w:pPr>
      <w:r>
        <w:t>6. Final Design Principles</w:t>
      </w:r>
    </w:p>
    <w:p>
      <w:pPr>
        <w:pStyle w:val="ListBullet"/>
      </w:pPr>
      <w:r>
        <w:t>**Evidence over assertion:** a recommendation factor must be traceable to a source, observation, computed metric, or explicit assumption.</w:t>
      </w:r>
    </w:p>
    <w:p>
      <w:pPr>
        <w:pStyle w:val="ListBullet"/>
      </w:pPr>
      <w:r>
        <w:t>**Suitability over popularity:** popularity can inform confidence or community evidence but should not dominate task-specific utility.</w:t>
      </w:r>
    </w:p>
    <w:p>
      <w:pPr>
        <w:pStyle w:val="ListBullet"/>
      </w:pPr>
      <w:r>
        <w:t>**Long-tail discovery is intentional:** the system must preserve a candidate path for relevant datasets that have weak visibility.</w:t>
      </w:r>
    </w:p>
    <w:p>
      <w:pPr>
        <w:pStyle w:val="ListBullet"/>
      </w:pPr>
      <w:r>
        <w:t>**Content when available:** actual sample evidence should supplement repository descriptions instead of requiring complete downloads.</w:t>
      </w:r>
    </w:p>
    <w:p>
      <w:pPr>
        <w:pStyle w:val="ListBullet"/>
      </w:pPr>
      <w:r>
        <w:t>**Hard constraints are filters:** mandatory requirements such as modality, minimum size, or usage constraints are not merely score penalties.</w:t>
      </w:r>
    </w:p>
    <w:p>
      <w:pPr>
        <w:pStyle w:val="ListBullet"/>
      </w:pPr>
      <w:r>
        <w:t>**Unknown is a valid state:** missing evidence lowers confidence rather than silently becoming a neutral or favorable value.</w:t>
      </w:r>
    </w:p>
    <w:p>
      <w:pPr>
        <w:pStyle w:val="ListBullet"/>
      </w:pPr>
      <w:r>
        <w:t>**Recommendations are sets, not only rankings:** the top five should be useful together and should avoid redundant dataset families.</w:t>
      </w:r>
    </w:p>
    <w:p>
      <w:pPr>
        <w:pStyle w:val="ListBullet"/>
      </w:pPr>
      <w:r>
        <w:t>**Local-first and reproducible:** the core pipeline should run with open-source components and modest local compute, with optional acceleration where available.</w:t>
      </w:r>
    </w:p>
    <w:p>
      <w:pPr>
        <w:pStyle w:val="Heading1"/>
      </w:pPr>
      <w:r>
        <w:t>7. Final System Architecture</w:t>
      </w:r>
    </w:p>
    <w:p>
      <w:pPr>
        <w:spacing w:after="0"/>
        <w:ind w:left="259"/>
      </w:pPr>
      <w:r>
        <w:rPr>
          <w:rFonts w:ascii="Consolas" w:hAnsi="Consolas"/>
          <w:sz w:val="16"/>
        </w:rPr>
        <w:t>USER PROJECT DESCRIPTION</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[Requirement Analyst]</w:t>
      </w:r>
    </w:p>
    <w:p>
      <w:pPr>
        <w:spacing w:after="0"/>
        <w:ind w:left="259"/>
      </w:pPr>
      <w:r>
        <w:rPr>
          <w:rFonts w:ascii="Consolas" w:hAnsi="Consolas"/>
          <w:sz w:val="16"/>
        </w:rPr>
        <w:t xml:space="preserve">  LLM / structured parser</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[Task Specification]</w:t>
      </w:r>
    </w:p>
    <w:p>
      <w:pPr>
        <w:spacing w:after="0"/>
        <w:ind w:left="259"/>
      </w:pPr>
      <w:r>
        <w:rPr>
          <w:rFonts w:ascii="Consolas" w:hAnsi="Consolas"/>
          <w:sz w:val="16"/>
        </w:rPr>
        <w:t xml:space="preserve">  task, domain, modality, target, labels, constraints</w:t>
      </w:r>
    </w:p>
    <w:p>
      <w:pPr>
        <w:spacing w:after="0"/>
        <w:ind w:left="259"/>
      </w:pPr>
      <w:r>
        <w:rPr>
          <w:rFonts w:ascii="Consolas" w:hAnsi="Consolas"/>
          <w:sz w:val="16"/>
        </w:rPr>
        <w:t xml:space="preserve">        |</w:t>
      </w:r>
    </w:p>
    <w:p>
      <w:pPr>
        <w:spacing w:after="0"/>
        <w:ind w:left="259"/>
      </w:pPr>
      <w:r>
        <w:rPr>
          <w:rFonts w:ascii="Consolas" w:hAnsi="Consolas"/>
          <w:sz w:val="16"/>
        </w:rPr>
        <w:t xml:space="preserve">        +-----------------------------+</w:t>
      </w:r>
    </w:p>
    <w:p>
      <w:pPr>
        <w:spacing w:after="0"/>
        <w:ind w:left="259"/>
      </w:pPr>
      <w:r>
        <w:rPr>
          <w:rFonts w:ascii="Consolas" w:hAnsi="Consolas"/>
          <w:sz w:val="16"/>
        </w:rPr>
        <w:t xml:space="preserve">        |                             |</w:t>
      </w:r>
    </w:p>
    <w:p>
      <w:pPr>
        <w:spacing w:after="0"/>
        <w:ind w:left="259"/>
      </w:pPr>
      <w:r>
        <w:rPr>
          <w:rFonts w:ascii="Consolas" w:hAnsi="Consolas"/>
          <w:sz w:val="16"/>
        </w:rPr>
        <w:t xml:space="preserve">        v                             v</w:t>
      </w:r>
    </w:p>
    <w:p>
      <w:pPr>
        <w:spacing w:after="0"/>
        <w:ind w:left="259"/>
      </w:pPr>
      <w:r>
        <w:rPr>
          <w:rFonts w:ascii="Consolas" w:hAnsi="Consolas"/>
          <w:sz w:val="16"/>
        </w:rPr>
        <w:t>[Hard Constraint Filter]      [Semantic Query Expansion]</w:t>
      </w:r>
    </w:p>
    <w:p>
      <w:pPr>
        <w:spacing w:after="0"/>
        <w:ind w:left="259"/>
      </w:pPr>
      <w:r>
        <w:rPr>
          <w:rFonts w:ascii="Consolas" w:hAnsi="Consolas"/>
          <w:sz w:val="16"/>
        </w:rPr>
        <w:t xml:space="preserve">        |                             |</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[Hybrid Candidate Retrieval]</w:t>
      </w:r>
    </w:p>
    <w:p>
      <w:pPr>
        <w:spacing w:after="0"/>
        <w:ind w:left="259"/>
      </w:pPr>
      <w:r>
        <w:rPr>
          <w:rFonts w:ascii="Consolas" w:hAnsi="Consolas"/>
          <w:sz w:val="16"/>
        </w:rPr>
        <w:t xml:space="preserve">              BM25 + dense embeddings</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[Candidate Pool: 30-100]</w:t>
      </w:r>
    </w:p>
    <w:p>
      <w:pPr>
        <w:spacing w:after="0"/>
        <w:ind w:left="259"/>
      </w:pPr>
      <w:r>
        <w:rPr>
          <w:rFonts w:ascii="Consolas" w:hAnsi="Consolas"/>
          <w:sz w:val="16"/>
        </w:rPr>
        <w:t xml:space="preserve">                        |</w:t>
      </w:r>
    </w:p>
    <w:p>
      <w:pPr>
        <w:spacing w:after="0"/>
        <w:ind w:left="259"/>
      </w:pPr>
      <w:r>
        <w:rPr>
          <w:rFonts w:ascii="Consolas" w:hAnsi="Consolas"/>
          <w:sz w:val="16"/>
        </w:rPr>
        <w:t xml:space="preserve">             +----------+-----------+</w:t>
      </w:r>
    </w:p>
    <w:p>
      <w:pPr>
        <w:spacing w:after="0"/>
        <w:ind w:left="259"/>
      </w:pPr>
      <w:r>
        <w:rPr>
          <w:rFonts w:ascii="Consolas" w:hAnsi="Consolas"/>
          <w:sz w:val="16"/>
        </w:rPr>
        <w:t xml:space="preserve">             |                      |</w:t>
      </w:r>
    </w:p>
    <w:p>
      <w:pPr>
        <w:spacing w:after="0"/>
        <w:ind w:left="259"/>
      </w:pPr>
      <w:r>
        <w:rPr>
          <w:rFonts w:ascii="Consolas" w:hAnsi="Consolas"/>
          <w:sz w:val="16"/>
        </w:rPr>
        <w:t xml:space="preserve">             v                      v</w:t>
      </w:r>
    </w:p>
    <w:p>
      <w:pPr>
        <w:spacing w:after="0"/>
        <w:ind w:left="259"/>
      </w:pPr>
      <w:r>
        <w:rPr>
          <w:rFonts w:ascii="Consolas" w:hAnsi="Consolas"/>
          <w:sz w:val="16"/>
        </w:rPr>
        <w:t xml:space="preserve">       [Evidence Layer]      [Content Evidence Layer]</w:t>
      </w:r>
    </w:p>
    <w:p>
      <w:pPr>
        <w:spacing w:after="0"/>
        <w:ind w:left="259"/>
      </w:pPr>
      <w:r>
        <w:rPr>
          <w:rFonts w:ascii="Consolas" w:hAnsi="Consolas"/>
          <w:sz w:val="16"/>
        </w:rPr>
        <w:t xml:space="preserve">       metadata/docs         sample access when possible</w:t>
      </w:r>
    </w:p>
    <w:p>
      <w:pPr>
        <w:spacing w:after="0"/>
        <w:ind w:left="259"/>
      </w:pPr>
      <w:r>
        <w:rPr>
          <w:rFonts w:ascii="Consolas" w:hAnsi="Consolas"/>
          <w:sz w:val="16"/>
        </w:rPr>
        <w:t xml:space="preserve">       provenance/license    fingerprints/quality/probes</w:t>
      </w:r>
    </w:p>
    <w:p>
      <w:pPr>
        <w:spacing w:after="0"/>
        <w:ind w:left="259"/>
      </w:pPr>
      <w:r>
        <w:rPr>
          <w:rFonts w:ascii="Consolas" w:hAnsi="Consolas"/>
          <w:sz w:val="16"/>
        </w:rPr>
        <w:t xml:space="preserve">             |                      |</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[Evidence Ledger +</w:t>
      </w:r>
    </w:p>
    <w:p>
      <w:pPr>
        <w:spacing w:after="0"/>
        <w:ind w:left="259"/>
      </w:pPr>
      <w:r>
        <w:rPr>
          <w:rFonts w:ascii="Consolas" w:hAnsi="Consolas"/>
          <w:sz w:val="16"/>
        </w:rPr>
        <w:t xml:space="preserve">               Uncertainty Model]</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[Task Utility Scoring]</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[Long-Tail Exploration Pool]</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[Diversified Multi-Objective</w:t>
      </w:r>
    </w:p>
    <w:p>
      <w:pPr>
        <w:spacing w:after="0"/>
        <w:ind w:left="259"/>
      </w:pPr>
      <w:r>
        <w:rPr>
          <w:rFonts w:ascii="Consolas" w:hAnsi="Consolas"/>
          <w:sz w:val="16"/>
        </w:rPr>
        <w:t xml:space="preserve">                   Reranking]</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[FINAL RECOMMENDATION SET]</w:t>
      </w:r>
    </w:p>
    <w:p>
      <w:pPr>
        <w:spacing w:after="0"/>
        <w:ind w:left="259"/>
      </w:pPr>
      <w:r>
        <w:rPr>
          <w:rFonts w:ascii="Consolas" w:hAnsi="Consolas"/>
          <w:sz w:val="16"/>
        </w:rPr>
        <w:t xml:space="preserve">     best overall | quality | efficient | hidden gem | alternative</w:t>
      </w:r>
    </w:p>
    <w:p>
      <w:pPr>
        <w:spacing w:after="0"/>
        <w:ind w:left="259"/>
      </w:pPr>
      <w:r>
        <w:rPr>
          <w:rFonts w:ascii="Consolas" w:hAnsi="Consolas"/>
          <w:sz w:val="16"/>
        </w:rPr>
        <w:t xml:space="preserve">                        |</w:t>
      </w:r>
    </w:p>
    <w:p>
      <w:pPr>
        <w:spacing w:after="0"/>
        <w:ind w:left="259"/>
      </w:pPr>
      <w:r>
        <w:rPr>
          <w:rFonts w:ascii="Consolas" w:hAnsi="Consolas"/>
          <w:sz w:val="16"/>
        </w:rPr>
        <w:t xml:space="preserve">                        v</w:t>
      </w:r>
    </w:p>
    <w:p>
      <w:pPr>
        <w:spacing w:after="0"/>
        <w:ind w:left="259"/>
      </w:pPr>
      <w:r>
        <w:rPr>
          <w:rFonts w:ascii="Consolas" w:hAnsi="Consolas"/>
          <w:sz w:val="16"/>
        </w:rPr>
        <w:t xml:space="preserve">              [Evidence-backed Report]</w:t>
      </w:r>
    </w:p>
    <w:p>
      <w:pPr>
        <w:pStyle w:val="Heading2"/>
      </w:pPr>
      <w:r>
        <w:t>7.1 Candidate-pool strategy</w:t>
      </w:r>
    </w:p>
    <w:p>
      <w:r>
        <w:t>The system should retrieve a broader candidate pool than the final recommendation set. A recommended default is 50–100 candidates after retrieval and hard filtering, followed by deeper evidence analysis on a smaller subset. This keeps the expensive content-aware stages bounded.</w:t>
      </w:r>
    </w:p>
    <w:p>
      <w:pPr>
        <w:pStyle w:val="Heading1"/>
      </w:pPr>
      <w:r>
        <w:t>8. Canonical Dataset Representation</w:t>
      </w:r>
    </w:p>
    <w:p>
      <w:r>
        <w:t>The dataset corpus uses a canonical internal record so that Kaggle, Hugging Face, UCI, OpenML and other repositories can be compared without pretending that their native schemas are identical. Croissant is used where available as a standards-aligned metadata representation, while repository-specific fields remain attached to their source.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vAlign w:val="center"/>
            <w:shd w:fill="17365D"/>
          </w:tcPr>
          <w:p>
            <w:pPr>
              <w:spacing w:after="0"/>
            </w:pPr>
            <w:r/>
            <w:r>
              <w:rPr>
                <w:b/>
                <w:color w:val="FFFFFF"/>
                <w:sz w:val="18"/>
              </w:rPr>
              <w:t>Field group</w:t>
            </w:r>
          </w:p>
        </w:tc>
        <w:tc>
          <w:tcPr>
            <w:tcW w:type="dxa" w:w="4968"/>
            <w:vAlign w:val="center"/>
            <w:shd w:fill="17365D"/>
          </w:tcPr>
          <w:p>
            <w:pPr>
              <w:spacing w:after="0"/>
            </w:pPr>
            <w:r/>
            <w:r>
              <w:rPr>
                <w:b/>
                <w:color w:val="FFFFFF"/>
                <w:sz w:val="18"/>
              </w:rPr>
              <w:t>Representative fields</w:t>
            </w:r>
          </w:p>
        </w:tc>
        <w:tc>
          <w:tcPr>
            <w:tcW w:type="dxa" w:w="3096"/>
            <w:vAlign w:val="center"/>
            <w:shd w:fill="17365D"/>
          </w:tcPr>
          <w:p>
            <w:pPr>
              <w:spacing w:after="0"/>
            </w:pPr>
            <w:r/>
            <w:r>
              <w:rPr>
                <w:b/>
                <w:color w:val="FFFFFF"/>
                <w:sz w:val="18"/>
              </w:rPr>
              <w:t>Evidence status</w:t>
            </w:r>
          </w:p>
        </w:tc>
      </w:tr>
      <w:tr>
        <w:trPr>
          <w:cantSplit/>
        </w:trPr>
        <w:tc>
          <w:tcPr>
            <w:tcW w:type="dxa" w:w="2088"/>
            <w:vAlign w:val="center"/>
            <w:shd w:fill="F5F7FA"/>
          </w:tcPr>
          <w:p>
            <w:pPr>
              <w:spacing w:after="0"/>
            </w:pPr>
            <w:r/>
            <w:r>
              <w:rPr>
                <w:b w:val="0"/>
                <w:sz w:val="18"/>
              </w:rPr>
              <w:t>Identity</w:t>
            </w:r>
          </w:p>
        </w:tc>
        <w:tc>
          <w:tcPr>
            <w:tcW w:type="dxa" w:w="4968"/>
            <w:vAlign w:val="center"/>
            <w:shd w:fill="F5F7FA"/>
          </w:tcPr>
          <w:p>
            <w:pPr>
              <w:spacing w:after="0"/>
            </w:pPr>
            <w:r/>
            <w:r>
              <w:rPr>
                <w:b w:val="0"/>
                <w:sz w:val="18"/>
              </w:rPr>
              <w:t>internal_id, source, source_id, name, URL, version</w:t>
            </w:r>
          </w:p>
        </w:tc>
        <w:tc>
          <w:tcPr>
            <w:tcW w:type="dxa" w:w="3096"/>
            <w:vAlign w:val="center"/>
            <w:shd w:fill="F5F7FA"/>
          </w:tcPr>
          <w:p>
            <w:pPr>
              <w:spacing w:after="0"/>
            </w:pPr>
            <w:r/>
            <w:r>
              <w:rPr>
                <w:b w:val="0"/>
                <w:sz w:val="18"/>
              </w:rPr>
              <w:t>Observed from source</w:t>
            </w:r>
          </w:p>
        </w:tc>
      </w:tr>
      <w:tr>
        <w:trPr>
          <w:cantSplit/>
        </w:trPr>
        <w:tc>
          <w:tcPr>
            <w:tcW w:type="dxa" w:w="2088"/>
            <w:vAlign w:val="center"/>
          </w:tcPr>
          <w:p>
            <w:pPr>
              <w:spacing w:after="0"/>
            </w:pPr>
            <w:r/>
            <w:r>
              <w:rPr>
                <w:b w:val="0"/>
                <w:sz w:val="18"/>
              </w:rPr>
              <w:t>Task semantics</w:t>
            </w:r>
          </w:p>
        </w:tc>
        <w:tc>
          <w:tcPr>
            <w:tcW w:type="dxa" w:w="4968"/>
            <w:vAlign w:val="center"/>
          </w:tcPr>
          <w:p>
            <w:pPr>
              <w:spacing w:after="0"/>
            </w:pPr>
            <w:r/>
            <w:r>
              <w:rPr>
                <w:b w:val="0"/>
                <w:sz w:val="18"/>
              </w:rPr>
              <w:t>task, domain, modality, label_type, target, tags</w:t>
            </w:r>
          </w:p>
        </w:tc>
        <w:tc>
          <w:tcPr>
            <w:tcW w:type="dxa" w:w="3096"/>
            <w:vAlign w:val="center"/>
          </w:tcPr>
          <w:p>
            <w:pPr>
              <w:spacing w:after="0"/>
            </w:pPr>
            <w:r/>
            <w:r>
              <w:rPr>
                <w:b w:val="0"/>
                <w:sz w:val="18"/>
              </w:rPr>
              <w:t>Parsed/normalized; may be uncertain</w:t>
            </w:r>
          </w:p>
        </w:tc>
      </w:tr>
      <w:tr>
        <w:trPr>
          <w:cantSplit/>
        </w:trPr>
        <w:tc>
          <w:tcPr>
            <w:tcW w:type="dxa" w:w="2088"/>
            <w:vAlign w:val="center"/>
            <w:shd w:fill="F5F7FA"/>
          </w:tcPr>
          <w:p>
            <w:pPr>
              <w:spacing w:after="0"/>
            </w:pPr>
            <w:r/>
            <w:r>
              <w:rPr>
                <w:b w:val="0"/>
                <w:sz w:val="18"/>
              </w:rPr>
              <w:t>Scale / structure</w:t>
            </w:r>
          </w:p>
        </w:tc>
        <w:tc>
          <w:tcPr>
            <w:tcW w:type="dxa" w:w="4968"/>
            <w:vAlign w:val="center"/>
            <w:shd w:fill="F5F7FA"/>
          </w:tcPr>
          <w:p>
            <w:pPr>
              <w:spacing w:after="0"/>
            </w:pPr>
            <w:r/>
            <w:r>
              <w:rPr>
                <w:b w:val="0"/>
                <w:sz w:val="18"/>
              </w:rPr>
              <w:t>sample_count, file_count, feature_count, class_count, splits, formats</w:t>
            </w:r>
          </w:p>
        </w:tc>
        <w:tc>
          <w:tcPr>
            <w:tcW w:type="dxa" w:w="3096"/>
            <w:vAlign w:val="center"/>
            <w:shd w:fill="F5F7FA"/>
          </w:tcPr>
          <w:p>
            <w:pPr>
              <w:spacing w:after="0"/>
            </w:pPr>
            <w:r/>
            <w:r>
              <w:rPr>
                <w:b w:val="0"/>
                <w:sz w:val="18"/>
              </w:rPr>
              <w:t>Source claim or measured if sampled</w:t>
            </w:r>
          </w:p>
        </w:tc>
      </w:tr>
      <w:tr>
        <w:trPr>
          <w:cantSplit/>
        </w:trPr>
        <w:tc>
          <w:tcPr>
            <w:tcW w:type="dxa" w:w="2088"/>
            <w:vAlign w:val="center"/>
          </w:tcPr>
          <w:p>
            <w:pPr>
              <w:spacing w:after="0"/>
            </w:pPr>
            <w:r/>
            <w:r>
              <w:rPr>
                <w:b w:val="0"/>
                <w:sz w:val="18"/>
              </w:rPr>
              <w:t>Documentation</w:t>
            </w:r>
          </w:p>
        </w:tc>
        <w:tc>
          <w:tcPr>
            <w:tcW w:type="dxa" w:w="4968"/>
            <w:vAlign w:val="center"/>
          </w:tcPr>
          <w:p>
            <w:pPr>
              <w:spacing w:after="0"/>
            </w:pPr>
            <w:r/>
            <w:r>
              <w:rPr>
                <w:b w:val="0"/>
                <w:sz w:val="18"/>
              </w:rPr>
              <w:t>description, dataset_card, paper, README, limitations, intended_use</w:t>
            </w:r>
          </w:p>
        </w:tc>
        <w:tc>
          <w:tcPr>
            <w:tcW w:type="dxa" w:w="3096"/>
            <w:vAlign w:val="center"/>
          </w:tcPr>
          <w:p>
            <w:pPr>
              <w:spacing w:after="0"/>
            </w:pPr>
            <w:r/>
            <w:r>
              <w:rPr>
                <w:b w:val="0"/>
                <w:sz w:val="18"/>
              </w:rPr>
              <w:t>Source evidence</w:t>
            </w:r>
          </w:p>
        </w:tc>
      </w:tr>
      <w:tr>
        <w:trPr>
          <w:cantSplit/>
        </w:trPr>
        <w:tc>
          <w:tcPr>
            <w:tcW w:type="dxa" w:w="2088"/>
            <w:vAlign w:val="center"/>
            <w:shd w:fill="F5F7FA"/>
          </w:tcPr>
          <w:p>
            <w:pPr>
              <w:spacing w:after="0"/>
            </w:pPr>
            <w:r/>
            <w:r>
              <w:rPr>
                <w:b w:val="0"/>
                <w:sz w:val="18"/>
              </w:rPr>
              <w:t>Governance</w:t>
            </w:r>
          </w:p>
        </w:tc>
        <w:tc>
          <w:tcPr>
            <w:tcW w:type="dxa" w:w="4968"/>
            <w:vAlign w:val="center"/>
            <w:shd w:fill="F5F7FA"/>
          </w:tcPr>
          <w:p>
            <w:pPr>
              <w:spacing w:after="0"/>
            </w:pPr>
            <w:r/>
            <w:r>
              <w:rPr>
                <w:b w:val="0"/>
                <w:sz w:val="18"/>
              </w:rPr>
              <w:t>license_claim, usage_policy, consent/provenance fields, citation</w:t>
            </w:r>
          </w:p>
        </w:tc>
        <w:tc>
          <w:tcPr>
            <w:tcW w:type="dxa" w:w="3096"/>
            <w:vAlign w:val="center"/>
            <w:shd w:fill="F5F7FA"/>
          </w:tcPr>
          <w:p>
            <w:pPr>
              <w:spacing w:after="0"/>
            </w:pPr>
            <w:r/>
            <w:r>
              <w:rPr>
                <w:b w:val="0"/>
                <w:sz w:val="18"/>
              </w:rPr>
              <w:t>Claim; may require cross-check</w:t>
            </w:r>
          </w:p>
        </w:tc>
      </w:tr>
      <w:tr>
        <w:trPr>
          <w:cantSplit/>
        </w:trPr>
        <w:tc>
          <w:tcPr>
            <w:tcW w:type="dxa" w:w="2088"/>
            <w:vAlign w:val="center"/>
          </w:tcPr>
          <w:p>
            <w:pPr>
              <w:spacing w:after="0"/>
            </w:pPr>
            <w:r/>
            <w:r>
              <w:rPr>
                <w:b w:val="0"/>
                <w:sz w:val="18"/>
              </w:rPr>
              <w:t>Popularity</w:t>
            </w:r>
          </w:p>
        </w:tc>
        <w:tc>
          <w:tcPr>
            <w:tcW w:type="dxa" w:w="4968"/>
            <w:vAlign w:val="center"/>
          </w:tcPr>
          <w:p>
            <w:pPr>
              <w:spacing w:after="0"/>
            </w:pPr>
            <w:r/>
            <w:r>
              <w:rPr>
                <w:b w:val="0"/>
                <w:sz w:val="18"/>
              </w:rPr>
              <w:t>downloads, stars, citations, ratings where available</w:t>
            </w:r>
          </w:p>
        </w:tc>
        <w:tc>
          <w:tcPr>
            <w:tcW w:type="dxa" w:w="3096"/>
            <w:vAlign w:val="center"/>
          </w:tcPr>
          <w:p>
            <w:pPr>
              <w:spacing w:after="0"/>
            </w:pPr>
            <w:r/>
            <w:r>
              <w:rPr>
                <w:b w:val="0"/>
                <w:sz w:val="18"/>
              </w:rPr>
              <w:t>Context only; never core quality</w:t>
            </w:r>
          </w:p>
        </w:tc>
      </w:tr>
      <w:tr>
        <w:trPr>
          <w:cantSplit/>
        </w:trPr>
        <w:tc>
          <w:tcPr>
            <w:tcW w:type="dxa" w:w="2088"/>
            <w:vAlign w:val="center"/>
            <w:shd w:fill="F5F7FA"/>
          </w:tcPr>
          <w:p>
            <w:pPr>
              <w:spacing w:after="0"/>
            </w:pPr>
            <w:r/>
            <w:r>
              <w:rPr>
                <w:b w:val="0"/>
                <w:sz w:val="18"/>
              </w:rPr>
              <w:t>Content fingerprint</w:t>
            </w:r>
          </w:p>
        </w:tc>
        <w:tc>
          <w:tcPr>
            <w:tcW w:type="dxa" w:w="4968"/>
            <w:vAlign w:val="center"/>
            <w:shd w:fill="F5F7FA"/>
          </w:tcPr>
          <w:p>
            <w:pPr>
              <w:spacing w:after="0"/>
            </w:pPr>
            <w:r/>
            <w:r>
              <w:rPr>
                <w:b w:val="0"/>
                <w:sz w:val="18"/>
              </w:rPr>
              <w:t>embedding statistics, class distribution, duplicate estimate, quality flags</w:t>
            </w:r>
          </w:p>
        </w:tc>
        <w:tc>
          <w:tcPr>
            <w:tcW w:type="dxa" w:w="3096"/>
            <w:vAlign w:val="center"/>
            <w:shd w:fill="F5F7FA"/>
          </w:tcPr>
          <w:p>
            <w:pPr>
              <w:spacing w:after="0"/>
            </w:pPr>
            <w:r/>
            <w:r>
              <w:rPr>
                <w:b w:val="0"/>
                <w:sz w:val="18"/>
              </w:rPr>
              <w:t>Computed from accessible sample</w:t>
            </w:r>
          </w:p>
        </w:tc>
      </w:tr>
      <w:tr>
        <w:trPr>
          <w:cantSplit/>
        </w:trPr>
        <w:tc>
          <w:tcPr>
            <w:tcW w:type="dxa" w:w="2088"/>
            <w:vAlign w:val="center"/>
          </w:tcPr>
          <w:p>
            <w:pPr>
              <w:spacing w:after="0"/>
            </w:pPr>
            <w:r/>
            <w:r>
              <w:rPr>
                <w:b w:val="0"/>
                <w:sz w:val="18"/>
              </w:rPr>
              <w:t>Lineage</w:t>
            </w:r>
          </w:p>
        </w:tc>
        <w:tc>
          <w:tcPr>
            <w:tcW w:type="dxa" w:w="4968"/>
            <w:vAlign w:val="center"/>
          </w:tcPr>
          <w:p>
            <w:pPr>
              <w:spacing w:after="0"/>
            </w:pPr>
            <w:r/>
            <w:r>
              <w:rPr>
                <w:b w:val="0"/>
                <w:sz w:val="18"/>
              </w:rPr>
              <w:t>source datasets, derived_from, transformations, repository mirrors</w:t>
            </w:r>
          </w:p>
        </w:tc>
        <w:tc>
          <w:tcPr>
            <w:tcW w:type="dxa" w:w="3096"/>
            <w:vAlign w:val="center"/>
          </w:tcPr>
          <w:p>
            <w:pPr>
              <w:spacing w:after="0"/>
            </w:pPr>
            <w:r/>
            <w:r>
              <w:rPr>
                <w:b w:val="0"/>
                <w:sz w:val="18"/>
              </w:rPr>
              <w:t>Provenance evidence</w:t>
            </w:r>
          </w:p>
        </w:tc>
      </w:tr>
      <w:tr>
        <w:trPr>
          <w:cantSplit/>
        </w:trPr>
        <w:tc>
          <w:tcPr>
            <w:tcW w:type="dxa" w:w="2088"/>
            <w:vAlign w:val="center"/>
            <w:shd w:fill="F5F7FA"/>
          </w:tcPr>
          <w:p>
            <w:pPr>
              <w:spacing w:after="0"/>
            </w:pPr>
            <w:r/>
            <w:r>
              <w:rPr>
                <w:b w:val="0"/>
                <w:sz w:val="18"/>
              </w:rPr>
              <w:t>Operational</w:t>
            </w:r>
          </w:p>
        </w:tc>
        <w:tc>
          <w:tcPr>
            <w:tcW w:type="dxa" w:w="4968"/>
            <w:vAlign w:val="center"/>
            <w:shd w:fill="F5F7FA"/>
          </w:tcPr>
          <w:p>
            <w:pPr>
              <w:spacing w:after="0"/>
            </w:pPr>
            <w:r/>
            <w:r>
              <w:rPr>
                <w:b w:val="0"/>
                <w:sz w:val="18"/>
              </w:rPr>
              <w:t>access method, sample availability, compute cost, cache status</w:t>
            </w:r>
          </w:p>
        </w:tc>
        <w:tc>
          <w:tcPr>
            <w:tcW w:type="dxa" w:w="3096"/>
            <w:vAlign w:val="center"/>
            <w:shd w:fill="F5F7FA"/>
          </w:tcPr>
          <w:p>
            <w:pPr>
              <w:spacing w:after="0"/>
            </w:pPr>
            <w:r/>
            <w:r>
              <w:rPr>
                <w:b w:val="0"/>
                <w:sz w:val="18"/>
              </w:rPr>
              <w:t>System-observed</w:t>
            </w:r>
          </w:p>
        </w:tc>
      </w:tr>
    </w:tbl>
    <w:p>
      <w:pPr>
        <w:spacing w:after="20"/>
      </w:pPr>
    </w:p>
    <w:p>
      <w:pPr>
        <w:pStyle w:val="Heading1"/>
      </w:pPr>
      <w:r>
        <w:t>9. Evidence Ledger and Trust Model</w:t>
      </w:r>
    </w:p>
    <w:p>
      <w:r>
        <w:t>The evidence ledger is a core project component. Each important dataset claim is stored with its source, observation time, evidence type, confidence, and any contradiction. This prevents the final explanation layer from turning uncertain metadata into authoritative-sounding statements.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vAlign w:val="center"/>
            <w:shd w:fill="17365D"/>
          </w:tcPr>
          <w:p>
            <w:pPr>
              <w:spacing w:after="0"/>
            </w:pPr>
            <w:r/>
            <w:r>
              <w:rPr>
                <w:b/>
                <w:color w:val="FFFFFF"/>
                <w:sz w:val="18"/>
              </w:rPr>
              <w:t>Evidence state</w:t>
            </w:r>
          </w:p>
        </w:tc>
        <w:tc>
          <w:tcPr>
            <w:tcW w:type="dxa" w:w="5328"/>
            <w:vAlign w:val="center"/>
            <w:shd w:fill="17365D"/>
          </w:tcPr>
          <w:p>
            <w:pPr>
              <w:spacing w:after="0"/>
            </w:pPr>
            <w:r/>
            <w:r>
              <w:rPr>
                <w:b/>
                <w:color w:val="FFFFFF"/>
                <w:sz w:val="18"/>
              </w:rPr>
              <w:t>Meaning</w:t>
            </w:r>
          </w:p>
        </w:tc>
        <w:tc>
          <w:tcPr>
            <w:tcW w:type="dxa" w:w="2736"/>
            <w:vAlign w:val="center"/>
            <w:shd w:fill="17365D"/>
          </w:tcPr>
          <w:p>
            <w:pPr>
              <w:spacing w:after="0"/>
            </w:pPr>
            <w:r/>
            <w:r>
              <w:rPr>
                <w:b/>
                <w:color w:val="FFFFFF"/>
                <w:sz w:val="18"/>
              </w:rPr>
              <w:t>Ranking behavior</w:t>
            </w:r>
          </w:p>
        </w:tc>
      </w:tr>
      <w:tr>
        <w:trPr>
          <w:cantSplit/>
        </w:trPr>
        <w:tc>
          <w:tcPr>
            <w:tcW w:type="dxa" w:w="2088"/>
            <w:vAlign w:val="center"/>
            <w:shd w:fill="F5F7FA"/>
          </w:tcPr>
          <w:p>
            <w:pPr>
              <w:spacing w:after="0"/>
            </w:pPr>
            <w:r/>
            <w:r>
              <w:rPr>
                <w:b w:val="0"/>
                <w:sz w:val="18"/>
              </w:rPr>
              <w:t>Measured</w:t>
            </w:r>
          </w:p>
        </w:tc>
        <w:tc>
          <w:tcPr>
            <w:tcW w:type="dxa" w:w="5328"/>
            <w:vAlign w:val="center"/>
            <w:shd w:fill="F5F7FA"/>
          </w:tcPr>
          <w:p>
            <w:pPr>
              <w:spacing w:after="0"/>
            </w:pPr>
            <w:r/>
            <w:r>
              <w:rPr>
                <w:b w:val="0"/>
                <w:sz w:val="18"/>
              </w:rPr>
              <w:t>Computed directly from an accessible sample or parsed file.</w:t>
            </w:r>
          </w:p>
        </w:tc>
        <w:tc>
          <w:tcPr>
            <w:tcW w:type="dxa" w:w="2736"/>
            <w:vAlign w:val="center"/>
            <w:shd w:fill="F5F7FA"/>
          </w:tcPr>
          <w:p>
            <w:pPr>
              <w:spacing w:after="0"/>
            </w:pPr>
            <w:r/>
            <w:r>
              <w:rPr>
                <w:b w:val="0"/>
                <w:sz w:val="18"/>
              </w:rPr>
              <w:t>Strong evidence; still scoped to the measurement procedure.</w:t>
            </w:r>
          </w:p>
        </w:tc>
      </w:tr>
      <w:tr>
        <w:trPr>
          <w:cantSplit/>
        </w:trPr>
        <w:tc>
          <w:tcPr>
            <w:tcW w:type="dxa" w:w="2088"/>
            <w:vAlign w:val="center"/>
          </w:tcPr>
          <w:p>
            <w:pPr>
              <w:spacing w:after="0"/>
            </w:pPr>
            <w:r/>
            <w:r>
              <w:rPr>
                <w:b w:val="0"/>
                <w:sz w:val="18"/>
              </w:rPr>
              <w:t>Corroborated</w:t>
            </w:r>
          </w:p>
        </w:tc>
        <w:tc>
          <w:tcPr>
            <w:tcW w:type="dxa" w:w="5328"/>
            <w:vAlign w:val="center"/>
          </w:tcPr>
          <w:p>
            <w:pPr>
              <w:spacing w:after="0"/>
            </w:pPr>
            <w:r/>
            <w:r>
              <w:rPr>
                <w:b w:val="0"/>
                <w:sz w:val="18"/>
              </w:rPr>
              <w:t>Supported by two or more independent sources or by source + computation.</w:t>
            </w:r>
          </w:p>
        </w:tc>
        <w:tc>
          <w:tcPr>
            <w:tcW w:type="dxa" w:w="2736"/>
            <w:vAlign w:val="center"/>
          </w:tcPr>
          <w:p>
            <w:pPr>
              <w:spacing w:after="0"/>
            </w:pPr>
            <w:r/>
            <w:r>
              <w:rPr>
                <w:b w:val="0"/>
                <w:sz w:val="18"/>
              </w:rPr>
              <w:t>High-confidence evidence.</w:t>
            </w:r>
          </w:p>
        </w:tc>
      </w:tr>
      <w:tr>
        <w:trPr>
          <w:cantSplit/>
        </w:trPr>
        <w:tc>
          <w:tcPr>
            <w:tcW w:type="dxa" w:w="2088"/>
            <w:vAlign w:val="center"/>
            <w:shd w:fill="F5F7FA"/>
          </w:tcPr>
          <w:p>
            <w:pPr>
              <w:spacing w:after="0"/>
            </w:pPr>
            <w:r/>
            <w:r>
              <w:rPr>
                <w:b w:val="0"/>
                <w:sz w:val="18"/>
              </w:rPr>
              <w:t>Single-source claim</w:t>
            </w:r>
          </w:p>
        </w:tc>
        <w:tc>
          <w:tcPr>
            <w:tcW w:type="dxa" w:w="5328"/>
            <w:vAlign w:val="center"/>
            <w:shd w:fill="F5F7FA"/>
          </w:tcPr>
          <w:p>
            <w:pPr>
              <w:spacing w:after="0"/>
            </w:pPr>
            <w:r/>
            <w:r>
              <w:rPr>
                <w:b w:val="0"/>
                <w:sz w:val="18"/>
              </w:rPr>
              <w:t>Present on one repository or document without validation.</w:t>
            </w:r>
          </w:p>
        </w:tc>
        <w:tc>
          <w:tcPr>
            <w:tcW w:type="dxa" w:w="2736"/>
            <w:vAlign w:val="center"/>
            <w:shd w:fill="F5F7FA"/>
          </w:tcPr>
          <w:p>
            <w:pPr>
              <w:spacing w:after="0"/>
            </w:pPr>
            <w:r/>
            <w:r>
              <w:rPr>
                <w:b w:val="0"/>
                <w:sz w:val="18"/>
              </w:rPr>
              <w:t>Usable but confidence-limited.</w:t>
            </w:r>
          </w:p>
        </w:tc>
      </w:tr>
      <w:tr>
        <w:trPr>
          <w:cantSplit/>
        </w:trPr>
        <w:tc>
          <w:tcPr>
            <w:tcW w:type="dxa" w:w="2088"/>
            <w:vAlign w:val="center"/>
          </w:tcPr>
          <w:p>
            <w:pPr>
              <w:spacing w:after="0"/>
            </w:pPr>
            <w:r/>
            <w:r>
              <w:rPr>
                <w:b w:val="0"/>
                <w:sz w:val="18"/>
              </w:rPr>
              <w:t>Conflicting</w:t>
            </w:r>
          </w:p>
        </w:tc>
        <w:tc>
          <w:tcPr>
            <w:tcW w:type="dxa" w:w="5328"/>
            <w:vAlign w:val="center"/>
          </w:tcPr>
          <w:p>
            <w:pPr>
              <w:spacing w:after="0"/>
            </w:pPr>
            <w:r/>
            <w:r>
              <w:rPr>
                <w:b w:val="0"/>
                <w:sz w:val="18"/>
              </w:rPr>
              <w:t>Sources disagree or a source conflicts with observed data.</w:t>
            </w:r>
          </w:p>
        </w:tc>
        <w:tc>
          <w:tcPr>
            <w:tcW w:type="dxa" w:w="2736"/>
            <w:vAlign w:val="center"/>
          </w:tcPr>
          <w:p>
            <w:pPr>
              <w:spacing w:after="0"/>
            </w:pPr>
            <w:r/>
            <w:r>
              <w:rPr>
                <w:b w:val="0"/>
                <w:sz w:val="18"/>
              </w:rPr>
              <w:t>Penalize confidence; surface contradiction.</w:t>
            </w:r>
          </w:p>
        </w:tc>
      </w:tr>
      <w:tr>
        <w:trPr>
          <w:cantSplit/>
        </w:trPr>
        <w:tc>
          <w:tcPr>
            <w:tcW w:type="dxa" w:w="2088"/>
            <w:vAlign w:val="center"/>
            <w:shd w:fill="F5F7FA"/>
          </w:tcPr>
          <w:p>
            <w:pPr>
              <w:spacing w:after="0"/>
            </w:pPr>
            <w:r/>
            <w:r>
              <w:rPr>
                <w:b w:val="0"/>
                <w:sz w:val="18"/>
              </w:rPr>
              <w:t>Unknown</w:t>
            </w:r>
          </w:p>
        </w:tc>
        <w:tc>
          <w:tcPr>
            <w:tcW w:type="dxa" w:w="5328"/>
            <w:vAlign w:val="center"/>
            <w:shd w:fill="F5F7FA"/>
          </w:tcPr>
          <w:p>
            <w:pPr>
              <w:spacing w:after="0"/>
            </w:pPr>
            <w:r/>
            <w:r>
              <w:rPr>
                <w:b w:val="0"/>
                <w:sz w:val="18"/>
              </w:rPr>
              <w:t>Information unavailable.</w:t>
            </w:r>
          </w:p>
        </w:tc>
        <w:tc>
          <w:tcPr>
            <w:tcW w:type="dxa" w:w="2736"/>
            <w:vAlign w:val="center"/>
            <w:shd w:fill="F5F7FA"/>
          </w:tcPr>
          <w:p>
            <w:pPr>
              <w:spacing w:after="0"/>
            </w:pPr>
            <w:r/>
            <w:r>
              <w:rPr>
                <w:b w:val="0"/>
                <w:sz w:val="18"/>
              </w:rPr>
              <w:t>Do not infer a positive or negative value; reduce confidence where material.</w:t>
            </w:r>
          </w:p>
        </w:tc>
      </w:tr>
    </w:tbl>
    <w:p>
      <w:pPr>
        <w:spacing w:after="20"/>
      </w:pPr>
    </w:p>
    <w:p>
      <w:pPr>
        <w:pStyle w:val="Callout"/>
      </w:pPr>
      <w:r>
        <w:rPr>
          <w:b/>
        </w:rPr>
        <w:t xml:space="preserve">License principle: </w:t>
      </w:r>
      <w:r>
        <w:t>The system should not present automated license parsing as legal clearance. It can classify, compare, flag conflicts, and expose the evidence path; legal interpretation remains outside the model’s authority.</w:t>
      </w:r>
    </w:p>
    <w:p>
      <w:pPr>
        <w:pStyle w:val="Heading1"/>
      </w:pPr>
      <w:r>
        <w:t>10. Content-Aware Dataset Fingerprinting</w:t>
      </w:r>
    </w:p>
    <w:p>
      <w:r>
        <w:t>When a repository permits lightweight sample access, the system creates a Dataset Fingerprint. The fingerprint is not a single vector claiming to summarize the entire dataset; it is a compact evidence package describing what was actually observed in the inspected sample.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16"/>
            <w:vAlign w:val="center"/>
            <w:shd w:fill="17365D"/>
          </w:tcPr>
          <w:p>
            <w:pPr>
              <w:spacing w:after="0"/>
            </w:pPr>
            <w:r/>
            <w:r>
              <w:rPr>
                <w:b/>
                <w:color w:val="FFFFFF"/>
                <w:sz w:val="18"/>
              </w:rPr>
              <w:t>Modality</w:t>
            </w:r>
          </w:p>
        </w:tc>
        <w:tc>
          <w:tcPr>
            <w:tcW w:type="dxa" w:w="8136"/>
            <w:vAlign w:val="center"/>
            <w:shd w:fill="17365D"/>
          </w:tcPr>
          <w:p>
            <w:pPr>
              <w:spacing w:after="0"/>
            </w:pPr>
            <w:r/>
            <w:r>
              <w:rPr>
                <w:b/>
                <w:color w:val="FFFFFF"/>
                <w:sz w:val="18"/>
              </w:rPr>
              <w:t>Fingerprint evidence</w:t>
            </w:r>
          </w:p>
        </w:tc>
      </w:tr>
      <w:tr>
        <w:trPr>
          <w:cantSplit/>
        </w:trPr>
        <w:tc>
          <w:tcPr>
            <w:tcW w:type="dxa" w:w="2016"/>
            <w:vAlign w:val="center"/>
            <w:shd w:fill="F5F7FA"/>
          </w:tcPr>
          <w:p>
            <w:pPr>
              <w:spacing w:after="0"/>
            </w:pPr>
            <w:r/>
            <w:r>
              <w:rPr>
                <w:b w:val="0"/>
                <w:sz w:val="18"/>
              </w:rPr>
              <w:t>Image</w:t>
            </w:r>
          </w:p>
        </w:tc>
        <w:tc>
          <w:tcPr>
            <w:tcW w:type="dxa" w:w="8136"/>
            <w:vAlign w:val="center"/>
            <w:shd w:fill="F5F7FA"/>
          </w:tcPr>
          <w:p>
            <w:pPr>
              <w:spacing w:after="0"/>
            </w:pPr>
            <w:r/>
            <w:r>
              <w:rPr>
                <w:b w:val="0"/>
                <w:sz w:val="18"/>
              </w:rPr>
              <w:t>sample count; dimensions; unreadable rate; brightness/contrast summaries; blur estimate; exact/near-duplicate estimate; embedding distribution; class balance; cluster coverage.</w:t>
            </w:r>
          </w:p>
        </w:tc>
      </w:tr>
      <w:tr>
        <w:trPr>
          <w:cantSplit/>
        </w:trPr>
        <w:tc>
          <w:tcPr>
            <w:tcW w:type="dxa" w:w="2016"/>
            <w:vAlign w:val="center"/>
          </w:tcPr>
          <w:p>
            <w:pPr>
              <w:spacing w:after="0"/>
            </w:pPr>
            <w:r/>
            <w:r>
              <w:rPr>
                <w:b w:val="0"/>
                <w:sz w:val="18"/>
              </w:rPr>
              <w:t>Tabular</w:t>
            </w:r>
          </w:p>
        </w:tc>
        <w:tc>
          <w:tcPr>
            <w:tcW w:type="dxa" w:w="8136"/>
            <w:vAlign w:val="center"/>
          </w:tcPr>
          <w:p>
            <w:pPr>
              <w:spacing w:after="0"/>
            </w:pPr>
            <w:r/>
            <w:r>
              <w:rPr>
                <w:b w:val="0"/>
                <w:sz w:val="18"/>
              </w:rPr>
              <w:t>row/column counts; missingness; type consistency; duplicate rows; cardinality; numeric distribution summaries; outlier indicators; target distribution.</w:t>
            </w:r>
          </w:p>
        </w:tc>
      </w:tr>
      <w:tr>
        <w:trPr>
          <w:cantSplit/>
        </w:trPr>
        <w:tc>
          <w:tcPr>
            <w:tcW w:type="dxa" w:w="2016"/>
            <w:vAlign w:val="center"/>
            <w:shd w:fill="F5F7FA"/>
          </w:tcPr>
          <w:p>
            <w:pPr>
              <w:spacing w:after="0"/>
            </w:pPr>
            <w:r/>
            <w:r>
              <w:rPr>
                <w:b w:val="0"/>
                <w:sz w:val="18"/>
              </w:rPr>
              <w:t>Text</w:t>
            </w:r>
          </w:p>
        </w:tc>
        <w:tc>
          <w:tcPr>
            <w:tcW w:type="dxa" w:w="8136"/>
            <w:vAlign w:val="center"/>
            <w:shd w:fill="F5F7FA"/>
          </w:tcPr>
          <w:p>
            <w:pPr>
              <w:spacing w:after="0"/>
            </w:pPr>
            <w:r/>
            <w:r>
              <w:rPr>
                <w:b w:val="0"/>
                <w:sz w:val="18"/>
              </w:rPr>
              <w:t>empty/duplicate rate; length distribution; language indicators; label distribution; embedding clusters; vocabulary/task-term overlap.</w:t>
            </w:r>
          </w:p>
        </w:tc>
      </w:tr>
      <w:tr>
        <w:trPr>
          <w:cantSplit/>
        </w:trPr>
        <w:tc>
          <w:tcPr>
            <w:tcW w:type="dxa" w:w="2016"/>
            <w:vAlign w:val="center"/>
          </w:tcPr>
          <w:p>
            <w:pPr>
              <w:spacing w:after="0"/>
            </w:pPr>
            <w:r/>
            <w:r>
              <w:rPr>
                <w:b w:val="0"/>
                <w:sz w:val="18"/>
              </w:rPr>
              <w:t>Object detection</w:t>
            </w:r>
          </w:p>
        </w:tc>
        <w:tc>
          <w:tcPr>
            <w:tcW w:type="dxa" w:w="8136"/>
            <w:vAlign w:val="center"/>
          </w:tcPr>
          <w:p>
            <w:pPr>
              <w:spacing w:after="0"/>
            </w:pPr>
            <w:r/>
            <w:r>
              <w:rPr>
                <w:b w:val="0"/>
                <w:sz w:val="18"/>
              </w:rPr>
              <w:t>annotation count; missing labels; bounding-box validity; class balance; image-level and box-level duplicate indicators.</w:t>
            </w:r>
          </w:p>
        </w:tc>
      </w:tr>
    </w:tbl>
    <w:p>
      <w:pPr>
        <w:spacing w:after="20"/>
      </w:pPr>
    </w:p>
    <w:p>
      <w:r>
        <w:t>The sample size should be adaptive rather than fixed. A small initial sample can establish feasibility; the system can expand the sample only when a signal is unstable and the additional computation is justified.</w:t>
      </w:r>
    </w:p>
    <w:p>
      <w:pPr>
        <w:pStyle w:val="Heading1"/>
      </w:pPr>
      <w:r>
        <w:t>11. Data Quality Analysis</w:t>
      </w:r>
    </w:p>
    <w:p>
      <w:r>
        <w:t>Cleanlab-style model-assisted checks are included as a tool, not as the definition of correctness. Cleanlab’s confident-learning workflow requires suitable out-of-sample model probabilities and can identify examples whose labels are suspicious [3]. Those outputs can be aggregated into evidence features such as estimated label-issue rate or the share of high-risk examples.</w:t>
      </w:r>
    </w:p>
    <w:p>
      <w:pPr>
        <w:ind w:left="173" w:hanging="173"/>
      </w:pPr>
      <w:r>
        <w:rPr>
          <w:b/>
        </w:rPr>
        <w:t xml:space="preserve">1. </w:t>
      </w:r>
      <w:r>
        <w:t>Obtain a task-appropriate sample and preserve the dataset’s original labels.</w:t>
      </w:r>
    </w:p>
    <w:p>
      <w:pPr>
        <w:ind w:left="173" w:hanging="173"/>
      </w:pPr>
      <w:r>
        <w:rPr>
          <w:b/>
        </w:rPr>
        <w:t xml:space="preserve">2. </w:t>
      </w:r>
      <w:r>
        <w:t>Create out-of-sample prediction probabilities using cross-validation or a held-out procedure when feasible.</w:t>
      </w:r>
    </w:p>
    <w:p>
      <w:pPr>
        <w:ind w:left="173" w:hanging="173"/>
      </w:pPr>
      <w:r>
        <w:rPr>
          <w:b/>
        </w:rPr>
        <w:t xml:space="preserve">3. </w:t>
      </w:r>
      <w:r>
        <w:t>Run label-issue detection and record suspicious-example counts rather than silently deleting data.</w:t>
      </w:r>
    </w:p>
    <w:p>
      <w:pPr>
        <w:ind w:left="173" w:hanging="173"/>
      </w:pPr>
      <w:r>
        <w:rPr>
          <w:b/>
        </w:rPr>
        <w:t xml:space="preserve">4. </w:t>
      </w:r>
      <w:r>
        <w:t>Compute duplicate and near-duplicate statistics using hashes and embedding similarity.</w:t>
      </w:r>
    </w:p>
    <w:p>
      <w:pPr>
        <w:ind w:left="173" w:hanging="173"/>
      </w:pPr>
      <w:r>
        <w:rPr>
          <w:b/>
        </w:rPr>
        <w:t xml:space="preserve">5. </w:t>
      </w:r>
      <w:r>
        <w:t>Compute modality-specific structural diagnostics.</w:t>
      </w:r>
    </w:p>
    <w:p>
      <w:pPr>
        <w:ind w:left="173" w:hanging="173"/>
      </w:pPr>
      <w:r>
        <w:rPr>
          <w:b/>
        </w:rPr>
        <w:t xml:space="preserve">6. </w:t>
      </w:r>
      <w:r>
        <w:t>Store all measurements in the evidence ledger with the sample size and procedure.</w:t>
      </w:r>
    </w:p>
    <w:p>
      <w:pPr>
        <w:ind w:left="173" w:hanging="173"/>
      </w:pPr>
      <w:r>
        <w:rPr>
          <w:b/>
        </w:rPr>
        <w:t xml:space="preserve">7. </w:t>
      </w:r>
      <w:r>
        <w:t>Use the resulting features as quality evidence with uncertainty bounds, not as ground truth.</w:t>
      </w:r>
    </w:p>
    <w:p>
      <w:pPr>
        <w:pStyle w:val="Heading1"/>
      </w:pPr>
      <w:r>
        <w:t>12. Task-Specific Utility Estimation</w:t>
      </w:r>
    </w:p>
    <w:p>
      <w:r>
        <w:t>The key extension beyond conventional dataset recommendation is a lightweight estimate of whether a dataset appears useful for the stated ML task. DataPerf demonstrates the value of evaluating data selection through downstream task performance [2]. The proposed system adapts that principle under local-compute constraints.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76"/>
            <w:vAlign w:val="center"/>
            <w:shd w:fill="17365D"/>
          </w:tcPr>
          <w:p>
            <w:pPr>
              <w:spacing w:after="0"/>
            </w:pPr>
            <w:r/>
            <w:r>
              <w:rPr>
                <w:b/>
                <w:color w:val="FFFFFF"/>
                <w:sz w:val="18"/>
              </w:rPr>
              <w:t>Probe type</w:t>
            </w:r>
          </w:p>
        </w:tc>
        <w:tc>
          <w:tcPr>
            <w:tcW w:type="dxa" w:w="4896"/>
            <w:vAlign w:val="center"/>
            <w:shd w:fill="17365D"/>
          </w:tcPr>
          <w:p>
            <w:pPr>
              <w:spacing w:after="0"/>
            </w:pPr>
            <w:r/>
            <w:r>
              <w:rPr>
                <w:b/>
                <w:color w:val="FFFFFF"/>
                <w:sz w:val="18"/>
              </w:rPr>
              <w:t>Purpose</w:t>
            </w:r>
          </w:p>
        </w:tc>
        <w:tc>
          <w:tcPr>
            <w:tcW w:type="dxa" w:w="2880"/>
            <w:vAlign w:val="center"/>
            <w:shd w:fill="17365D"/>
          </w:tcPr>
          <w:p>
            <w:pPr>
              <w:spacing w:after="0"/>
            </w:pPr>
            <w:r/>
            <w:r>
              <w:rPr>
                <w:b/>
                <w:color w:val="FFFFFF"/>
                <w:sz w:val="18"/>
              </w:rPr>
              <w:t>Local implementation</w:t>
            </w:r>
          </w:p>
        </w:tc>
      </w:tr>
      <w:tr>
        <w:trPr>
          <w:cantSplit/>
        </w:trPr>
        <w:tc>
          <w:tcPr>
            <w:tcW w:type="dxa" w:w="2376"/>
            <w:vAlign w:val="center"/>
            <w:shd w:fill="F5F7FA"/>
          </w:tcPr>
          <w:p>
            <w:pPr>
              <w:spacing w:after="0"/>
            </w:pPr>
            <w:r/>
            <w:r>
              <w:rPr>
                <w:b w:val="0"/>
                <w:sz w:val="18"/>
              </w:rPr>
              <w:t>Linear / logistic probe</w:t>
            </w:r>
          </w:p>
        </w:tc>
        <w:tc>
          <w:tcPr>
            <w:tcW w:type="dxa" w:w="4896"/>
            <w:vAlign w:val="center"/>
            <w:shd w:fill="F5F7FA"/>
          </w:tcPr>
          <w:p>
            <w:pPr>
              <w:spacing w:after="0"/>
            </w:pPr>
            <w:r/>
            <w:r>
              <w:rPr>
                <w:b w:val="0"/>
                <w:sz w:val="18"/>
              </w:rPr>
              <w:t>Measure whether a frozen embedding representation separates target classes.</w:t>
            </w:r>
          </w:p>
        </w:tc>
        <w:tc>
          <w:tcPr>
            <w:tcW w:type="dxa" w:w="2880"/>
            <w:vAlign w:val="center"/>
            <w:shd w:fill="F5F7FA"/>
          </w:tcPr>
          <w:p>
            <w:pPr>
              <w:spacing w:after="0"/>
            </w:pPr>
            <w:r/>
            <w:r>
              <w:rPr>
                <w:b w:val="0"/>
                <w:sz w:val="18"/>
              </w:rPr>
              <w:t>Extract compact embeddings, train a small classifier, use stratified validation.</w:t>
            </w:r>
          </w:p>
        </w:tc>
      </w:tr>
      <w:tr>
        <w:trPr>
          <w:cantSplit/>
        </w:trPr>
        <w:tc>
          <w:tcPr>
            <w:tcW w:type="dxa" w:w="2376"/>
            <w:vAlign w:val="center"/>
          </w:tcPr>
          <w:p>
            <w:pPr>
              <w:spacing w:after="0"/>
            </w:pPr>
            <w:r/>
            <w:r>
              <w:rPr>
                <w:b w:val="0"/>
                <w:sz w:val="18"/>
              </w:rPr>
              <w:t>Small tree / linear model</w:t>
            </w:r>
          </w:p>
        </w:tc>
        <w:tc>
          <w:tcPr>
            <w:tcW w:type="dxa" w:w="4896"/>
            <w:vAlign w:val="center"/>
          </w:tcPr>
          <w:p>
            <w:pPr>
              <w:spacing w:after="0"/>
            </w:pPr>
            <w:r/>
            <w:r>
              <w:rPr>
                <w:b w:val="0"/>
                <w:sz w:val="18"/>
              </w:rPr>
              <w:t>Quick tabular utility estimate.</w:t>
            </w:r>
          </w:p>
        </w:tc>
        <w:tc>
          <w:tcPr>
            <w:tcW w:type="dxa" w:w="2880"/>
            <w:vAlign w:val="center"/>
          </w:tcPr>
          <w:p>
            <w:pPr>
              <w:spacing w:after="0"/>
            </w:pPr>
            <w:r/>
            <w:r>
              <w:rPr>
                <w:b w:val="0"/>
                <w:sz w:val="18"/>
              </w:rPr>
              <w:t>Train on sampled features; measure cross-validated F1, RMSE, or R² as appropriate.</w:t>
            </w:r>
          </w:p>
        </w:tc>
      </w:tr>
      <w:tr>
        <w:trPr>
          <w:cantSplit/>
        </w:trPr>
        <w:tc>
          <w:tcPr>
            <w:tcW w:type="dxa" w:w="2376"/>
            <w:vAlign w:val="center"/>
            <w:shd w:fill="F5F7FA"/>
          </w:tcPr>
          <w:p>
            <w:pPr>
              <w:spacing w:after="0"/>
            </w:pPr>
            <w:r/>
            <w:r>
              <w:rPr>
                <w:b w:val="0"/>
                <w:sz w:val="18"/>
              </w:rPr>
              <w:t>Frozen-model nearest-neighbor probe</w:t>
            </w:r>
          </w:p>
        </w:tc>
        <w:tc>
          <w:tcPr>
            <w:tcW w:type="dxa" w:w="4896"/>
            <w:vAlign w:val="center"/>
            <w:shd w:fill="F5F7FA"/>
          </w:tcPr>
          <w:p>
            <w:pPr>
              <w:spacing w:after="0"/>
            </w:pPr>
            <w:r/>
            <w:r>
              <w:rPr>
                <w:b w:val="0"/>
                <w:sz w:val="18"/>
              </w:rPr>
              <w:t>Estimate semantic coverage without full model training.</w:t>
            </w:r>
          </w:p>
        </w:tc>
        <w:tc>
          <w:tcPr>
            <w:tcW w:type="dxa" w:w="2880"/>
            <w:vAlign w:val="center"/>
            <w:shd w:fill="F5F7FA"/>
          </w:tcPr>
          <w:p>
            <w:pPr>
              <w:spacing w:after="0"/>
            </w:pPr>
            <w:r/>
            <w:r>
              <w:rPr>
                <w:b w:val="0"/>
                <w:sz w:val="18"/>
              </w:rPr>
              <w:t>Compare class/target clusters in embedding space.</w:t>
            </w:r>
          </w:p>
        </w:tc>
      </w:tr>
      <w:tr>
        <w:trPr>
          <w:cantSplit/>
        </w:trPr>
        <w:tc>
          <w:tcPr>
            <w:tcW w:type="dxa" w:w="2376"/>
            <w:vAlign w:val="center"/>
          </w:tcPr>
          <w:p>
            <w:pPr>
              <w:spacing w:after="0"/>
            </w:pPr>
            <w:r/>
            <w:r>
              <w:rPr>
                <w:b w:val="0"/>
                <w:sz w:val="18"/>
              </w:rPr>
              <w:t>Subset utility test</w:t>
            </w:r>
          </w:p>
        </w:tc>
        <w:tc>
          <w:tcPr>
            <w:tcW w:type="dxa" w:w="4896"/>
            <w:vAlign w:val="center"/>
          </w:tcPr>
          <w:p>
            <w:pPr>
              <w:spacing w:after="0"/>
            </w:pPr>
            <w:r/>
            <w:r>
              <w:rPr>
                <w:b w:val="0"/>
                <w:sz w:val="18"/>
              </w:rPr>
              <w:t>Estimate whether a candidate provides complementary data.</w:t>
            </w:r>
          </w:p>
        </w:tc>
        <w:tc>
          <w:tcPr>
            <w:tcW w:type="dxa" w:w="2880"/>
            <w:vAlign w:val="center"/>
          </w:tcPr>
          <w:p>
            <w:pPr>
              <w:spacing w:after="0"/>
            </w:pPr>
            <w:r/>
            <w:r>
              <w:rPr>
                <w:b w:val="0"/>
                <w:sz w:val="18"/>
              </w:rPr>
              <w:t>Combine small candidate samples with a fixed reference set and measure validation change where a reference set exists.</w:t>
            </w:r>
          </w:p>
        </w:tc>
      </w:tr>
      <w:tr>
        <w:trPr>
          <w:cantSplit/>
        </w:trPr>
        <w:tc>
          <w:tcPr>
            <w:tcW w:type="dxa" w:w="2376"/>
            <w:vAlign w:val="center"/>
            <w:shd w:fill="F5F7FA"/>
          </w:tcPr>
          <w:p>
            <w:pPr>
              <w:spacing w:after="0"/>
            </w:pPr>
            <w:r/>
            <w:r>
              <w:rPr>
                <w:b w:val="0"/>
                <w:sz w:val="18"/>
              </w:rPr>
              <w:t>Coverage alignment</w:t>
            </w:r>
          </w:p>
        </w:tc>
        <w:tc>
          <w:tcPr>
            <w:tcW w:type="dxa" w:w="4896"/>
            <w:vAlign w:val="center"/>
            <w:shd w:fill="F5F7FA"/>
          </w:tcPr>
          <w:p>
            <w:pPr>
              <w:spacing w:after="0"/>
            </w:pPr>
            <w:r/>
            <w:r>
              <w:rPr>
                <w:b w:val="0"/>
                <w:sz w:val="18"/>
              </w:rPr>
              <w:t>Check whether observed samples cover requested concepts.</w:t>
            </w:r>
          </w:p>
        </w:tc>
        <w:tc>
          <w:tcPr>
            <w:tcW w:type="dxa" w:w="2880"/>
            <w:vAlign w:val="center"/>
            <w:shd w:fill="F5F7FA"/>
          </w:tcPr>
          <w:p>
            <w:pPr>
              <w:spacing w:after="0"/>
            </w:pPr>
            <w:r/>
            <w:r>
              <w:rPr>
                <w:b w:val="0"/>
                <w:sz w:val="18"/>
              </w:rPr>
              <w:t>Compare task ontology terms against labels, embeddings, and cluster summaries.</w:t>
            </w:r>
          </w:p>
        </w:tc>
      </w:tr>
    </w:tbl>
    <w:p>
      <w:pPr>
        <w:spacing w:after="20"/>
      </w:pPr>
    </w:p>
    <w:p>
      <w:pPr>
        <w:pStyle w:val="Callout"/>
      </w:pPr>
      <w:r>
        <w:rPr>
          <w:b/>
        </w:rPr>
        <w:t xml:space="preserve">Important limitation: </w:t>
      </w:r>
      <w:r>
        <w:t>A probe score is an estimate under a chosen probe model, sample, and evaluation split. It is not a guarantee that the full dataset will produce the same downstream performance.</w:t>
      </w:r>
    </w:p>
    <w:p>
      <w:pPr>
        <w:pStyle w:val="Heading1"/>
      </w:pPr>
      <w:r>
        <w:t>13. Popularity Bias and Long-Tail Discovery</w:t>
      </w:r>
    </w:p>
    <w:p>
      <w:r>
        <w:t>Popularity is separated from suitability. The retrieval stage creates a dedicated exploration pool by reserving some candidate slots for datasets that meet the task requirements but are not dominant on repository popularity signals. This pool is then evaluated by the same evidence and utility criteria as mainstream candidates.</w:t>
      </w:r>
    </w:p>
    <w:p>
      <w:r>
        <w:t>The objective is not to reward obscurity. A lesser-known dataset should reach the final recommendation only when its evidence supports utility, diversity, efficiency, specialization, or another user-relevant advantage.</w:t>
      </w:r>
    </w:p>
    <w:p>
      <w:pPr>
        <w:spacing w:after="0"/>
        <w:ind w:left="259"/>
      </w:pPr>
      <w:r>
        <w:rPr>
          <w:rFonts w:ascii="Consolas" w:hAnsi="Consolas"/>
          <w:sz w:val="16"/>
        </w:rPr>
        <w:t>candidate_score = task_fit + evidence_quality + content_utility + feasibility</w:t>
      </w:r>
    </w:p>
    <w:p>
      <w:pPr>
        <w:spacing w:after="0"/>
        <w:ind w:left="259"/>
      </w:pPr>
      <w:r>
        <w:rPr>
          <w:rFonts w:ascii="Consolas" w:hAnsi="Consolas"/>
          <w:sz w:val="16"/>
        </w:rPr>
        <w:t xml:space="preserve">long_tail_pool = relevant_candidates </w:t>
      </w:r>
    </w:p>
    <w:p>
      <w:pPr>
        <w:spacing w:after="0"/>
        <w:ind w:left="259"/>
      </w:pPr>
      <w:r>
        <w:rPr>
          <w:rFonts w:ascii="Consolas" w:hAnsi="Consolas"/>
          <w:sz w:val="16"/>
        </w:rPr>
        <w:t xml:space="preserve">                 filtered to non-dominant popularity percentiles</w:t>
      </w:r>
    </w:p>
    <w:p>
      <w:pPr>
        <w:spacing w:after="0"/>
        <w:ind w:left="259"/>
      </w:pPr>
      <w:r>
        <w:rPr>
          <w:rFonts w:ascii="Consolas" w:hAnsi="Consolas"/>
          <w:sz w:val="16"/>
        </w:rPr>
        <w:t xml:space="preserve">                 while preserving hard constraints</w:t>
      </w:r>
    </w:p>
    <w:p>
      <w:pPr>
        <w:spacing w:after="0"/>
        <w:ind w:left="259"/>
      </w:pPr>
      <w:r>
        <w:rPr>
          <w:rFonts w:ascii="Consolas" w:hAnsi="Consolas"/>
          <w:sz w:val="16"/>
        </w:rPr>
        <w:t>final_set = diversified_selection(main_pool + long_tail_pool)</w:t>
      </w:r>
    </w:p>
    <w:p>
      <w:pPr>
        <w:pStyle w:val="Heading1"/>
      </w:pPr>
      <w:r>
        <w:t>14. Diversified Recommendation with Utility + Diversity</w:t>
      </w:r>
    </w:p>
    <w:p>
      <w:r>
        <w:t>GIST formulates a max-min diversification problem that balances submodular utility with diversity and provides a 1/2-approximation guarantee for the stated optimization problem [5]. The project adopts the principle rather than requiring full-scale implementation over millions of items. After candidate analysis, the system operates on a bounded pool and can use a GIST-inspired greedy procedure or a computationally lighter farthest-first/submodular alternative.</w:t>
      </w:r>
    </w:p>
    <w:p>
      <w:r>
        <w:t>Dataset-family similarity is considered in diversification. Mirrors, versions, and closely derived datasets should not occupy multiple final slots when they offer effectively the same evidence and coverage.</w:t>
      </w:r>
    </w:p>
    <w:p>
      <w:pPr>
        <w:pStyle w:val="Heading1"/>
      </w:pPr>
      <w:r>
        <w:t>15. Final Multi-Objective Recommendation Model</w:t>
      </w:r>
    </w:p>
    <w:p>
      <w:r>
        <w:t>The final recommendation model is multi-objective rather than a single metadata weighted average. A conceptual form is:</w:t>
      </w:r>
    </w:p>
    <w:p>
      <w:pPr>
        <w:jc w:val="center"/>
      </w:pPr>
      <w:r>
        <w:rPr>
          <w:b/>
        </w:rPr>
        <w:t>R(D|Q) = α·Fit + β·Utility + γ·Evidence + δ·Coverage + ε·Novelty − λ·Risk</w:t>
      </w:r>
    </w:p>
    <w:p>
      <w:r>
        <w:t>Where: Fit captures explicit requirements; Utility captures content-aware task evidence; Evidence captures provenance/documentation consistency and measurement support; Coverage captures diversity and representativeness; Novelty rewards useful long-tail discovery; Risk captures uncertainty, contradiction, missing governance information, or operational problems.</w:t>
      </w:r>
    </w:p>
    <w:p>
      <w:r>
        <w:t>The coefficients are not assumed to be universally correct. Initial values can be hand-designed for the prototype and subsequently tuned on a benchmark using human relevance judgments or a learned ranking model. Popularity is intentionally excluded from the core suitability term; it may enter only as contextual evidence, long-tail stratification, or a controlled bias-audit variable.</w:t>
      </w:r>
    </w:p>
    <w:p>
      <w:pPr>
        <w:pStyle w:val="Heading1"/>
      </w:pPr>
      <w:r>
        <w:t>16. Explanation and Recommendation Output</w:t>
      </w:r>
    </w:p>
    <w:p>
      <w:r>
        <w:t>Each recommended dataset should produce an evidence-backed recommendation card rather than a single score.</w:t>
      </w:r>
    </w:p>
    <w:p>
      <w:pPr>
        <w:spacing w:after="0"/>
        <w:ind w:left="259"/>
      </w:pPr>
      <w:r>
        <w:rPr>
          <w:rFonts w:ascii="Consolas" w:hAnsi="Consolas"/>
          <w:sz w:val="16"/>
        </w:rPr>
        <w:t>Dataset: &lt;name&gt;</w:t>
      </w:r>
    </w:p>
    <w:p>
      <w:pPr>
        <w:spacing w:after="0"/>
        <w:ind w:left="259"/>
      </w:pPr>
      <w:r>
        <w:rPr>
          <w:rFonts w:ascii="Consolas" w:hAnsi="Consolas"/>
          <w:sz w:val="16"/>
        </w:rPr>
        <w:t>Overall recommendation: 91/100 (illustrative structure)</w:t>
      </w:r>
    </w:p>
    <w:p>
      <w:pPr>
        <w:spacing w:after="0"/>
        <w:ind w:left="259"/>
      </w:pPr>
      <w:r>
        <w:rPr>
          <w:rFonts w:ascii="Consolas" w:hAnsi="Consolas"/>
          <w:sz w:val="16"/>
        </w:rPr>
        <w:t>Best for: &lt;task/domain/modality&gt;</w:t>
      </w:r>
    </w:p>
    <w:p>
      <w:pPr>
        <w:spacing w:after="0"/>
        <w:ind w:left="259"/>
      </w:pPr>
      <w:r>
        <w:rPr>
          <w:rFonts w:ascii="Consolas" w:hAnsi="Consolas"/>
          <w:sz w:val="16"/>
        </w:rPr>
        <w:t>Evidence strength: High / Medium / Low</w:t>
      </w:r>
    </w:p>
    <w:p>
      <w:pPr>
        <w:spacing w:after="0"/>
        <w:ind w:left="259"/>
      </w:pPr>
      <w:r>
        <w:rPr>
          <w:rFonts w:ascii="Consolas" w:hAnsi="Consolas"/>
          <w:sz w:val="16"/>
        </w:rPr>
      </w:r>
    </w:p>
    <w:p>
      <w:pPr>
        <w:spacing w:after="0"/>
        <w:ind w:left="259"/>
      </w:pPr>
      <w:r>
        <w:rPr>
          <w:rFonts w:ascii="Consolas" w:hAnsi="Consolas"/>
          <w:sz w:val="16"/>
        </w:rPr>
        <w:t>Why it fits</w:t>
      </w:r>
    </w:p>
    <w:p>
      <w:pPr>
        <w:spacing w:after="0"/>
        <w:ind w:left="259"/>
      </w:pPr>
      <w:r>
        <w:rPr>
          <w:rFonts w:ascii="Consolas" w:hAnsi="Consolas"/>
          <w:sz w:val="16"/>
        </w:rPr>
        <w:t>- Task: measured / corroborated / source claim</w:t>
      </w:r>
    </w:p>
    <w:p>
      <w:pPr>
        <w:spacing w:after="0"/>
        <w:ind w:left="259"/>
      </w:pPr>
      <w:r>
        <w:rPr>
          <w:rFonts w:ascii="Consolas" w:hAnsi="Consolas"/>
          <w:sz w:val="16"/>
        </w:rPr>
        <w:t>- Domain: ...</w:t>
      </w:r>
    </w:p>
    <w:p>
      <w:pPr>
        <w:spacing w:after="0"/>
        <w:ind w:left="259"/>
      </w:pPr>
      <w:r>
        <w:rPr>
          <w:rFonts w:ascii="Consolas" w:hAnsi="Consolas"/>
          <w:sz w:val="16"/>
        </w:rPr>
        <w:t>- Modality: ...</w:t>
      </w:r>
    </w:p>
    <w:p>
      <w:pPr>
        <w:spacing w:after="0"/>
        <w:ind w:left="259"/>
      </w:pPr>
      <w:r>
        <w:rPr>
          <w:rFonts w:ascii="Consolas" w:hAnsi="Consolas"/>
          <w:sz w:val="16"/>
        </w:rPr>
        <w:t>- Labels: ...</w:t>
      </w:r>
    </w:p>
    <w:p>
      <w:pPr>
        <w:spacing w:after="0"/>
        <w:ind w:left="259"/>
      </w:pPr>
      <w:r>
        <w:rPr>
          <w:rFonts w:ascii="Consolas" w:hAnsi="Consolas"/>
          <w:sz w:val="16"/>
        </w:rPr>
        <w:t>- Observed sample quality: ...</w:t>
      </w:r>
    </w:p>
    <w:p>
      <w:pPr>
        <w:spacing w:after="0"/>
        <w:ind w:left="259"/>
      </w:pPr>
      <w:r>
        <w:rPr>
          <w:rFonts w:ascii="Consolas" w:hAnsi="Consolas"/>
          <w:sz w:val="16"/>
        </w:rPr>
      </w:r>
    </w:p>
    <w:p>
      <w:pPr>
        <w:spacing w:after="0"/>
        <w:ind w:left="259"/>
      </w:pPr>
      <w:r>
        <w:rPr>
          <w:rFonts w:ascii="Consolas" w:hAnsi="Consolas"/>
          <w:sz w:val="16"/>
        </w:rPr>
        <w:t>Why it is not perfect</w:t>
      </w:r>
    </w:p>
    <w:p>
      <w:pPr>
        <w:spacing w:after="0"/>
        <w:ind w:left="259"/>
      </w:pPr>
      <w:r>
        <w:rPr>
          <w:rFonts w:ascii="Consolas" w:hAnsi="Consolas"/>
          <w:sz w:val="16"/>
        </w:rPr>
        <w:t>- Unknown or conflicting evidence: ...</w:t>
      </w:r>
    </w:p>
    <w:p>
      <w:pPr>
        <w:spacing w:after="0"/>
        <w:ind w:left="259"/>
      </w:pPr>
      <w:r>
        <w:rPr>
          <w:rFonts w:ascii="Consolas" w:hAnsi="Consolas"/>
          <w:sz w:val="16"/>
        </w:rPr>
        <w:t>- Operational limitations: ...</w:t>
      </w:r>
    </w:p>
    <w:p>
      <w:pPr>
        <w:spacing w:after="0"/>
        <w:ind w:left="259"/>
      </w:pPr>
      <w:r>
        <w:rPr>
          <w:rFonts w:ascii="Consolas" w:hAnsi="Consolas"/>
          <w:sz w:val="16"/>
        </w:rPr>
      </w:r>
    </w:p>
    <w:p>
      <w:pPr>
        <w:spacing w:after="0"/>
        <w:ind w:left="259"/>
      </w:pPr>
      <w:r>
        <w:rPr>
          <w:rFonts w:ascii="Consolas" w:hAnsi="Consolas"/>
          <w:sz w:val="16"/>
        </w:rPr>
        <w:t>Why it appears here</w:t>
      </w:r>
    </w:p>
    <w:p>
      <w:pPr>
        <w:spacing w:after="0"/>
        <w:ind w:left="259"/>
      </w:pPr>
      <w:r>
        <w:rPr>
          <w:rFonts w:ascii="Consolas" w:hAnsi="Consolas"/>
          <w:sz w:val="16"/>
        </w:rPr>
        <w:t>- More diverse than the top popular alternatives</w:t>
      </w:r>
    </w:p>
    <w:p>
      <w:pPr>
        <w:spacing w:after="0"/>
        <w:ind w:left="259"/>
      </w:pPr>
      <w:r>
        <w:rPr>
          <w:rFonts w:ascii="Consolas" w:hAnsi="Consolas"/>
          <w:sz w:val="16"/>
        </w:rPr>
        <w:t>- Smaller but cleaner / better balanced</w:t>
      </w:r>
    </w:p>
    <w:p>
      <w:pPr>
        <w:spacing w:after="0"/>
        <w:ind w:left="259"/>
      </w:pPr>
      <w:r>
        <w:rPr>
          <w:rFonts w:ascii="Consolas" w:hAnsi="Consolas"/>
          <w:sz w:val="16"/>
        </w:rPr>
      </w:r>
    </w:p>
    <w:p>
      <w:pPr>
        <w:spacing w:after="0"/>
        <w:ind w:left="259"/>
      </w:pPr>
      <w:r>
        <w:rPr>
          <w:rFonts w:ascii="Consolas" w:hAnsi="Consolas"/>
          <w:sz w:val="16"/>
        </w:rPr>
        <w:t>Sources and timestamps</w:t>
      </w:r>
    </w:p>
    <w:p>
      <w:pPr>
        <w:spacing w:after="0"/>
        <w:ind w:left="259"/>
      </w:pPr>
      <w:r>
        <w:rPr>
          <w:rFonts w:ascii="Consolas" w:hAnsi="Consolas"/>
          <w:sz w:val="16"/>
        </w:rPr>
        <w:t>- Repository metadata</w:t>
      </w:r>
    </w:p>
    <w:p>
      <w:pPr>
        <w:spacing w:after="0"/>
        <w:ind w:left="259"/>
      </w:pPr>
      <w:r>
        <w:rPr>
          <w:rFonts w:ascii="Consolas" w:hAnsi="Consolas"/>
          <w:sz w:val="16"/>
        </w:rPr>
        <w:t>- Dataset documentation / paper</w:t>
      </w:r>
    </w:p>
    <w:p>
      <w:pPr>
        <w:spacing w:after="0"/>
        <w:ind w:left="259"/>
      </w:pPr>
      <w:r>
        <w:rPr>
          <w:rFonts w:ascii="Consolas" w:hAnsi="Consolas"/>
          <w:sz w:val="16"/>
        </w:rPr>
        <w:t>- Sample analysis</w:t>
      </w:r>
    </w:p>
    <w:p>
      <w:pPr>
        <w:pStyle w:val="Heading1"/>
      </w:pPr>
      <w:r>
        <w:t>17. Local Implementation Strategy</w:t>
      </w:r>
    </w:p>
    <w:p>
      <w:r>
        <w:t>The core implementation is designed for ordinary personal computers. The system should be CPU-first, memory-conscious, cache-heavy, and modular. Optional acceleration can be enabled when a supported local device provides it. The project does not depend on proprietary APIs for its central pipeline.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vAlign w:val="center"/>
            <w:shd w:fill="17365D"/>
          </w:tcPr>
          <w:p>
            <w:pPr>
              <w:spacing w:after="0"/>
            </w:pPr>
            <w:r/>
            <w:r>
              <w:rPr>
                <w:b/>
                <w:color w:val="FFFFFF"/>
                <w:sz w:val="18"/>
              </w:rPr>
              <w:t>Layer</w:t>
            </w:r>
          </w:p>
        </w:tc>
        <w:tc>
          <w:tcPr>
            <w:tcW w:type="dxa" w:w="4536"/>
            <w:vAlign w:val="center"/>
            <w:shd w:fill="17365D"/>
          </w:tcPr>
          <w:p>
            <w:pPr>
              <w:spacing w:after="0"/>
            </w:pPr>
            <w:r/>
            <w:r>
              <w:rPr>
                <w:b/>
                <w:color w:val="FFFFFF"/>
                <w:sz w:val="18"/>
              </w:rPr>
              <w:t>Recommended implementation</w:t>
            </w:r>
          </w:p>
        </w:tc>
        <w:tc>
          <w:tcPr>
            <w:tcW w:type="dxa" w:w="3888"/>
            <w:vAlign w:val="center"/>
            <w:shd w:fill="17365D"/>
          </w:tcPr>
          <w:p>
            <w:pPr>
              <w:spacing w:after="0"/>
            </w:pPr>
            <w:r/>
            <w:r>
              <w:rPr>
                <w:b/>
                <w:color w:val="FFFFFF"/>
                <w:sz w:val="18"/>
              </w:rPr>
              <w:t>Reason</w:t>
            </w:r>
          </w:p>
        </w:tc>
      </w:tr>
      <w:tr>
        <w:trPr>
          <w:cantSplit/>
        </w:trPr>
        <w:tc>
          <w:tcPr>
            <w:tcW w:type="dxa" w:w="2088"/>
            <w:vAlign w:val="center"/>
            <w:shd w:fill="F5F7FA"/>
          </w:tcPr>
          <w:p>
            <w:pPr>
              <w:spacing w:after="0"/>
            </w:pPr>
            <w:r/>
            <w:r>
              <w:rPr>
                <w:b w:val="0"/>
                <w:sz w:val="18"/>
              </w:rPr>
              <w:t>Language understanding</w:t>
            </w:r>
          </w:p>
        </w:tc>
        <w:tc>
          <w:tcPr>
            <w:tcW w:type="dxa" w:w="4536"/>
            <w:vAlign w:val="center"/>
            <w:shd w:fill="F5F7FA"/>
          </w:tcPr>
          <w:p>
            <w:pPr>
              <w:spacing w:after="0"/>
            </w:pPr>
            <w:r/>
            <w:r>
              <w:rPr>
                <w:b w:val="0"/>
                <w:sz w:val="18"/>
              </w:rPr>
              <w:t>Small open-source instruction model or constrained parser; JSON-schema output.</w:t>
            </w:r>
          </w:p>
        </w:tc>
        <w:tc>
          <w:tcPr>
            <w:tcW w:type="dxa" w:w="3888"/>
            <w:vAlign w:val="center"/>
            <w:shd w:fill="F5F7FA"/>
          </w:tcPr>
          <w:p>
            <w:pPr>
              <w:spacing w:after="0"/>
            </w:pPr>
            <w:r/>
            <w:r>
              <w:rPr>
                <w:b w:val="0"/>
                <w:sz w:val="18"/>
              </w:rPr>
              <w:t>Requirement extraction is structured and relatively short; avoid running a large model unnecessarily.</w:t>
            </w:r>
          </w:p>
        </w:tc>
      </w:tr>
      <w:tr>
        <w:trPr>
          <w:cantSplit/>
        </w:trPr>
        <w:tc>
          <w:tcPr>
            <w:tcW w:type="dxa" w:w="2088"/>
            <w:vAlign w:val="center"/>
          </w:tcPr>
          <w:p>
            <w:pPr>
              <w:spacing w:after="0"/>
            </w:pPr>
            <w:r/>
            <w:r>
              <w:rPr>
                <w:b w:val="0"/>
                <w:sz w:val="18"/>
              </w:rPr>
              <w:t>Dense embeddings</w:t>
            </w:r>
          </w:p>
        </w:tc>
        <w:tc>
          <w:tcPr>
            <w:tcW w:type="dxa" w:w="4536"/>
            <w:vAlign w:val="center"/>
          </w:tcPr>
          <w:p>
            <w:pPr>
              <w:spacing w:after="0"/>
            </w:pPr>
            <w:r/>
            <w:r>
              <w:rPr>
                <w:b w:val="0"/>
                <w:sz w:val="18"/>
              </w:rPr>
              <w:t>Sentence-transformer style encoder selected for compact size and local inference.</w:t>
            </w:r>
          </w:p>
        </w:tc>
        <w:tc>
          <w:tcPr>
            <w:tcW w:type="dxa" w:w="3888"/>
            <w:vAlign w:val="center"/>
          </w:tcPr>
          <w:p>
            <w:pPr>
              <w:spacing w:after="0"/>
            </w:pPr>
            <w:r/>
            <w:r>
              <w:rPr>
                <w:b w:val="0"/>
                <w:sz w:val="18"/>
              </w:rPr>
              <w:t>Precompute dataset embeddings once; query inference is cheap.</w:t>
            </w:r>
          </w:p>
        </w:tc>
      </w:tr>
      <w:tr>
        <w:trPr>
          <w:cantSplit/>
        </w:trPr>
        <w:tc>
          <w:tcPr>
            <w:tcW w:type="dxa" w:w="2088"/>
            <w:vAlign w:val="center"/>
            <w:shd w:fill="F5F7FA"/>
          </w:tcPr>
          <w:p>
            <w:pPr>
              <w:spacing w:after="0"/>
            </w:pPr>
            <w:r/>
            <w:r>
              <w:rPr>
                <w:b w:val="0"/>
                <w:sz w:val="18"/>
              </w:rPr>
              <w:t>Sparse retrieval</w:t>
            </w:r>
          </w:p>
        </w:tc>
        <w:tc>
          <w:tcPr>
            <w:tcW w:type="dxa" w:w="4536"/>
            <w:vAlign w:val="center"/>
            <w:shd w:fill="F5F7FA"/>
          </w:tcPr>
          <w:p>
            <w:pPr>
              <w:spacing w:after="0"/>
            </w:pPr>
            <w:r/>
            <w:r>
              <w:rPr>
                <w:b w:val="0"/>
                <w:sz w:val="18"/>
              </w:rPr>
              <w:t>Lucene/Pyserini or an equivalent BM25 implementation.</w:t>
            </w:r>
          </w:p>
        </w:tc>
        <w:tc>
          <w:tcPr>
            <w:tcW w:type="dxa" w:w="3888"/>
            <w:vAlign w:val="center"/>
            <w:shd w:fill="F5F7FA"/>
          </w:tcPr>
          <w:p>
            <w:pPr>
              <w:spacing w:after="0"/>
            </w:pPr>
            <w:r/>
            <w:r>
              <w:rPr>
                <w:b w:val="0"/>
                <w:sz w:val="18"/>
              </w:rPr>
              <w:t>Strong lexical recall and interpretability.</w:t>
            </w:r>
          </w:p>
        </w:tc>
      </w:tr>
      <w:tr>
        <w:trPr>
          <w:cantSplit/>
        </w:trPr>
        <w:tc>
          <w:tcPr>
            <w:tcW w:type="dxa" w:w="2088"/>
            <w:vAlign w:val="center"/>
          </w:tcPr>
          <w:p>
            <w:pPr>
              <w:spacing w:after="0"/>
            </w:pPr>
            <w:r/>
            <w:r>
              <w:rPr>
                <w:b w:val="0"/>
                <w:sz w:val="18"/>
              </w:rPr>
              <w:t>Vector index</w:t>
            </w:r>
          </w:p>
        </w:tc>
        <w:tc>
          <w:tcPr>
            <w:tcW w:type="dxa" w:w="4536"/>
            <w:vAlign w:val="center"/>
          </w:tcPr>
          <w:p>
            <w:pPr>
              <w:spacing w:after="0"/>
            </w:pPr>
            <w:r/>
            <w:r>
              <w:rPr>
                <w:b w:val="0"/>
                <w:sz w:val="18"/>
              </w:rPr>
              <w:t>FAISS CPU or equivalent local ANN index.</w:t>
            </w:r>
          </w:p>
        </w:tc>
        <w:tc>
          <w:tcPr>
            <w:tcW w:type="dxa" w:w="3888"/>
            <w:vAlign w:val="center"/>
          </w:tcPr>
          <w:p>
            <w:pPr>
              <w:spacing w:after="0"/>
            </w:pPr>
            <w:r/>
            <w:r>
              <w:rPr>
                <w:b w:val="0"/>
                <w:sz w:val="18"/>
              </w:rPr>
              <w:t>Fast local similarity search with no service dependency.</w:t>
            </w:r>
          </w:p>
        </w:tc>
      </w:tr>
      <w:tr>
        <w:trPr>
          <w:cantSplit/>
        </w:trPr>
        <w:tc>
          <w:tcPr>
            <w:tcW w:type="dxa" w:w="2088"/>
            <w:vAlign w:val="center"/>
            <w:shd w:fill="F5F7FA"/>
          </w:tcPr>
          <w:p>
            <w:pPr>
              <w:spacing w:after="0"/>
            </w:pPr>
            <w:r/>
            <w:r>
              <w:rPr>
                <w:b w:val="0"/>
                <w:sz w:val="18"/>
              </w:rPr>
              <w:t>Metadata store</w:t>
            </w:r>
          </w:p>
        </w:tc>
        <w:tc>
          <w:tcPr>
            <w:tcW w:type="dxa" w:w="4536"/>
            <w:vAlign w:val="center"/>
            <w:shd w:fill="F5F7FA"/>
          </w:tcPr>
          <w:p>
            <w:pPr>
              <w:spacing w:after="0"/>
            </w:pPr>
            <w:r/>
            <w:r>
              <w:rPr>
                <w:b w:val="0"/>
                <w:sz w:val="18"/>
              </w:rPr>
              <w:t>SQLite / DuckDB + Parquet.</w:t>
            </w:r>
          </w:p>
        </w:tc>
        <w:tc>
          <w:tcPr>
            <w:tcW w:type="dxa" w:w="3888"/>
            <w:vAlign w:val="center"/>
            <w:shd w:fill="F5F7FA"/>
          </w:tcPr>
          <w:p>
            <w:pPr>
              <w:spacing w:after="0"/>
            </w:pPr>
            <w:r/>
            <w:r>
              <w:rPr>
                <w:b w:val="0"/>
                <w:sz w:val="18"/>
              </w:rPr>
              <w:t>Simple, reproducible, queryable, and portable.</w:t>
            </w:r>
          </w:p>
        </w:tc>
      </w:tr>
      <w:tr>
        <w:trPr>
          <w:cantSplit/>
        </w:trPr>
        <w:tc>
          <w:tcPr>
            <w:tcW w:type="dxa" w:w="2088"/>
            <w:vAlign w:val="center"/>
          </w:tcPr>
          <w:p>
            <w:pPr>
              <w:spacing w:after="0"/>
            </w:pPr>
            <w:r/>
            <w:r>
              <w:rPr>
                <w:b w:val="0"/>
                <w:sz w:val="18"/>
              </w:rPr>
              <w:t>Dataset normalization</w:t>
            </w:r>
          </w:p>
        </w:tc>
        <w:tc>
          <w:tcPr>
            <w:tcW w:type="dxa" w:w="4536"/>
            <w:vAlign w:val="center"/>
          </w:tcPr>
          <w:p>
            <w:pPr>
              <w:spacing w:after="0"/>
            </w:pPr>
            <w:r/>
            <w:r>
              <w:rPr>
                <w:b w:val="0"/>
                <w:sz w:val="18"/>
              </w:rPr>
              <w:t>Custom Python pipeline + mlcroissant when Croissant metadata exists.</w:t>
            </w:r>
          </w:p>
        </w:tc>
        <w:tc>
          <w:tcPr>
            <w:tcW w:type="dxa" w:w="3888"/>
            <w:vAlign w:val="center"/>
          </w:tcPr>
          <w:p>
            <w:pPr>
              <w:spacing w:after="0"/>
            </w:pPr>
            <w:r/>
            <w:r>
              <w:rPr>
                <w:b w:val="0"/>
                <w:sz w:val="18"/>
              </w:rPr>
              <w:t>Preserve source provenance while building one canonical schema.</w:t>
            </w:r>
          </w:p>
        </w:tc>
      </w:tr>
      <w:tr>
        <w:trPr>
          <w:cantSplit/>
        </w:trPr>
        <w:tc>
          <w:tcPr>
            <w:tcW w:type="dxa" w:w="2088"/>
            <w:vAlign w:val="center"/>
            <w:shd w:fill="F5F7FA"/>
          </w:tcPr>
          <w:p>
            <w:pPr>
              <w:spacing w:after="0"/>
            </w:pPr>
            <w:r/>
            <w:r>
              <w:rPr>
                <w:b w:val="0"/>
                <w:sz w:val="18"/>
              </w:rPr>
              <w:t>Quality analysis</w:t>
            </w:r>
          </w:p>
        </w:tc>
        <w:tc>
          <w:tcPr>
            <w:tcW w:type="dxa" w:w="4536"/>
            <w:vAlign w:val="center"/>
            <w:shd w:fill="F5F7FA"/>
          </w:tcPr>
          <w:p>
            <w:pPr>
              <w:spacing w:after="0"/>
            </w:pPr>
            <w:r/>
            <w:r>
              <w:rPr>
                <w:b w:val="0"/>
                <w:sz w:val="18"/>
              </w:rPr>
              <w:t>Pandas, NumPy, scikit-learn, Cleanlab where applicable.</w:t>
            </w:r>
          </w:p>
        </w:tc>
        <w:tc>
          <w:tcPr>
            <w:tcW w:type="dxa" w:w="3888"/>
            <w:vAlign w:val="center"/>
            <w:shd w:fill="F5F7FA"/>
          </w:tcPr>
          <w:p>
            <w:pPr>
              <w:spacing w:after="0"/>
            </w:pPr>
            <w:r/>
            <w:r>
              <w:rPr>
                <w:b w:val="0"/>
                <w:sz w:val="18"/>
              </w:rPr>
              <w:t>Lightweight and composable.</w:t>
            </w:r>
          </w:p>
        </w:tc>
      </w:tr>
      <w:tr>
        <w:trPr>
          <w:cantSplit/>
        </w:trPr>
        <w:tc>
          <w:tcPr>
            <w:tcW w:type="dxa" w:w="2088"/>
            <w:vAlign w:val="center"/>
          </w:tcPr>
          <w:p>
            <w:pPr>
              <w:spacing w:after="0"/>
            </w:pPr>
            <w:r/>
            <w:r>
              <w:rPr>
                <w:b w:val="0"/>
                <w:sz w:val="18"/>
              </w:rPr>
              <w:t>Image diagnostics</w:t>
            </w:r>
          </w:p>
        </w:tc>
        <w:tc>
          <w:tcPr>
            <w:tcW w:type="dxa" w:w="4536"/>
            <w:vAlign w:val="center"/>
          </w:tcPr>
          <w:p>
            <w:pPr>
              <w:spacing w:after="0"/>
            </w:pPr>
            <w:r/>
            <w:r>
              <w:rPr>
                <w:b w:val="0"/>
                <w:sz w:val="18"/>
              </w:rPr>
              <w:t>Pillow/OpenCV.</w:t>
            </w:r>
          </w:p>
        </w:tc>
        <w:tc>
          <w:tcPr>
            <w:tcW w:type="dxa" w:w="3888"/>
            <w:vAlign w:val="center"/>
          </w:tcPr>
          <w:p>
            <w:pPr>
              <w:spacing w:after="0"/>
            </w:pPr>
            <w:r/>
            <w:r>
              <w:rPr>
                <w:b w:val="0"/>
                <w:sz w:val="18"/>
              </w:rPr>
              <w:t>Low-cost sample inspection.</w:t>
            </w:r>
          </w:p>
        </w:tc>
      </w:tr>
      <w:tr>
        <w:trPr>
          <w:cantSplit/>
        </w:trPr>
        <w:tc>
          <w:tcPr>
            <w:tcW w:type="dxa" w:w="2088"/>
            <w:vAlign w:val="center"/>
            <w:shd w:fill="F5F7FA"/>
          </w:tcPr>
          <w:p>
            <w:pPr>
              <w:spacing w:after="0"/>
            </w:pPr>
            <w:r/>
            <w:r>
              <w:rPr>
                <w:b w:val="0"/>
                <w:sz w:val="18"/>
              </w:rPr>
              <w:t>Diversification</w:t>
            </w:r>
          </w:p>
        </w:tc>
        <w:tc>
          <w:tcPr>
            <w:tcW w:type="dxa" w:w="4536"/>
            <w:vAlign w:val="center"/>
            <w:shd w:fill="F5F7FA"/>
          </w:tcPr>
          <w:p>
            <w:pPr>
              <w:spacing w:after="0"/>
            </w:pPr>
            <w:r/>
            <w:r>
              <w:rPr>
                <w:b w:val="0"/>
                <w:sz w:val="18"/>
              </w:rPr>
              <w:t>NumPy + custom greedy/GIST-inspired selector; optional submodular library.</w:t>
            </w:r>
          </w:p>
        </w:tc>
        <w:tc>
          <w:tcPr>
            <w:tcW w:type="dxa" w:w="3888"/>
            <w:vAlign w:val="center"/>
            <w:shd w:fill="F5F7FA"/>
          </w:tcPr>
          <w:p>
            <w:pPr>
              <w:spacing w:after="0"/>
            </w:pPr>
            <w:r/>
            <w:r>
              <w:rPr>
                <w:b w:val="0"/>
                <w:sz w:val="18"/>
              </w:rPr>
              <w:t>Keeps core optimization local and transparent.</w:t>
            </w:r>
          </w:p>
        </w:tc>
      </w:tr>
      <w:tr>
        <w:trPr>
          <w:cantSplit/>
        </w:trPr>
        <w:tc>
          <w:tcPr>
            <w:tcW w:type="dxa" w:w="2088"/>
            <w:vAlign w:val="center"/>
          </w:tcPr>
          <w:p>
            <w:pPr>
              <w:spacing w:after="0"/>
            </w:pPr>
            <w:r/>
            <w:r>
              <w:rPr>
                <w:b w:val="0"/>
                <w:sz w:val="18"/>
              </w:rPr>
              <w:t>Experiment tracking</w:t>
            </w:r>
          </w:p>
        </w:tc>
        <w:tc>
          <w:tcPr>
            <w:tcW w:type="dxa" w:w="4536"/>
            <w:vAlign w:val="center"/>
          </w:tcPr>
          <w:p>
            <w:pPr>
              <w:spacing w:after="0"/>
            </w:pPr>
            <w:r/>
            <w:r>
              <w:rPr>
                <w:b w:val="0"/>
                <w:sz w:val="18"/>
              </w:rPr>
              <w:t>JSONL/CSV + reproducible configuration files.</w:t>
            </w:r>
          </w:p>
        </w:tc>
        <w:tc>
          <w:tcPr>
            <w:tcW w:type="dxa" w:w="3888"/>
            <w:vAlign w:val="center"/>
          </w:tcPr>
          <w:p>
            <w:pPr>
              <w:spacing w:after="0"/>
            </w:pPr>
            <w:r/>
            <w:r>
              <w:rPr>
                <w:b w:val="0"/>
                <w:sz w:val="18"/>
              </w:rPr>
              <w:t>Avoid dependency on heavy experiment platforms.</w:t>
            </w:r>
          </w:p>
        </w:tc>
      </w:tr>
    </w:tbl>
    <w:p>
      <w:pPr>
        <w:spacing w:after="20"/>
      </w:pPr>
    </w:p>
    <w:p>
      <w:pPr>
        <w:pStyle w:val="Heading2"/>
      </w:pPr>
      <w:r>
        <w:t>17.1 Environment setup procedure</w:t>
      </w:r>
    </w:p>
    <w:p>
      <w:pPr>
        <w:spacing w:after="0"/>
        <w:ind w:left="259"/>
      </w:pPr>
      <w:r>
        <w:rPr>
          <w:rFonts w:ascii="Consolas" w:hAnsi="Consolas"/>
          <w:sz w:val="16"/>
        </w:rPr>
        <w:t>python3 -m venv .venv</w:t>
      </w:r>
    </w:p>
    <w:p>
      <w:pPr>
        <w:spacing w:after="0"/>
        <w:ind w:left="259"/>
      </w:pPr>
      <w:r>
        <w:rPr>
          <w:rFonts w:ascii="Consolas" w:hAnsi="Consolas"/>
          <w:sz w:val="16"/>
        </w:rPr>
        <w:t>source .venv/bin/activate</w:t>
      </w:r>
    </w:p>
    <w:p>
      <w:pPr>
        <w:spacing w:after="0"/>
        <w:ind w:left="259"/>
      </w:pPr>
      <w:r>
        <w:rPr>
          <w:rFonts w:ascii="Consolas" w:hAnsi="Consolas"/>
          <w:sz w:val="16"/>
        </w:rPr>
        <w:t>python -m pip install --upgrade pip</w:t>
      </w:r>
    </w:p>
    <w:p>
      <w:pPr>
        <w:spacing w:after="0"/>
        <w:ind w:left="259"/>
      </w:pPr>
      <w:r>
        <w:rPr>
          <w:rFonts w:ascii="Consolas" w:hAnsi="Consolas"/>
          <w:sz w:val="16"/>
        </w:rPr>
      </w:r>
    </w:p>
    <w:p>
      <w:pPr>
        <w:spacing w:after="0"/>
        <w:ind w:left="259"/>
      </w:pPr>
      <w:r>
        <w:rPr>
          <w:rFonts w:ascii="Consolas" w:hAnsi="Consolas"/>
          <w:sz w:val="16"/>
        </w:rPr>
        <w:t>pip install pandas numpy scipy scikit-learn</w:t>
      </w:r>
    </w:p>
    <w:p>
      <w:pPr>
        <w:spacing w:after="0"/>
        <w:ind w:left="259"/>
      </w:pPr>
      <w:r>
        <w:rPr>
          <w:rFonts w:ascii="Consolas" w:hAnsi="Consolas"/>
          <w:sz w:val="16"/>
        </w:rPr>
        <w:t>pip install sentence-transformers</w:t>
      </w:r>
    </w:p>
    <w:p>
      <w:pPr>
        <w:spacing w:after="0"/>
        <w:ind w:left="259"/>
      </w:pPr>
      <w:r>
        <w:rPr>
          <w:rFonts w:ascii="Consolas" w:hAnsi="Consolas"/>
          <w:sz w:val="16"/>
        </w:rPr>
        <w:t>pip install faiss-cpu</w:t>
      </w:r>
    </w:p>
    <w:p>
      <w:pPr>
        <w:spacing w:after="0"/>
        <w:ind w:left="259"/>
      </w:pPr>
      <w:r>
        <w:rPr>
          <w:rFonts w:ascii="Consolas" w:hAnsi="Consolas"/>
          <w:sz w:val="16"/>
        </w:rPr>
        <w:t>pip install cleanlab</w:t>
      </w:r>
    </w:p>
    <w:p>
      <w:pPr>
        <w:spacing w:after="0"/>
        <w:ind w:left="259"/>
      </w:pPr>
      <w:r>
        <w:rPr>
          <w:rFonts w:ascii="Consolas" w:hAnsi="Consolas"/>
          <w:sz w:val="16"/>
        </w:rPr>
        <w:t>pip install mlcroissant</w:t>
      </w:r>
    </w:p>
    <w:p>
      <w:pPr>
        <w:spacing w:after="0"/>
        <w:ind w:left="259"/>
      </w:pPr>
      <w:r>
        <w:rPr>
          <w:rFonts w:ascii="Consolas" w:hAnsi="Consolas"/>
          <w:sz w:val="16"/>
        </w:rPr>
        <w:t># Optional retrieval / diversification components</w:t>
      </w:r>
    </w:p>
    <w:p>
      <w:pPr>
        <w:spacing w:after="0"/>
        <w:ind w:left="259"/>
      </w:pPr>
      <w:r>
        <w:rPr>
          <w:rFonts w:ascii="Consolas" w:hAnsi="Consolas"/>
          <w:sz w:val="16"/>
        </w:rPr>
        <w:t>pip install pyserini</w:t>
      </w:r>
    </w:p>
    <w:p>
      <w:pPr>
        <w:spacing w:after="0"/>
        <w:ind w:left="259"/>
      </w:pPr>
      <w:r>
        <w:rPr>
          <w:rFonts w:ascii="Consolas" w:hAnsi="Consolas"/>
          <w:sz w:val="16"/>
        </w:rPr>
        <w:t>pip install submodlib</w:t>
      </w:r>
    </w:p>
    <w:p>
      <w:r>
        <w:t>Package versions should be pinned after the first successful environment build. The final repository should contain a requirements file or lock file and a small environment-validation script.</w:t>
      </w:r>
    </w:p>
    <w:p>
      <w:pPr>
        <w:pStyle w:val="Heading2"/>
      </w:pPr>
      <w:r>
        <w:t>17.2 Repository ingestion procedure</w:t>
      </w:r>
    </w:p>
    <w:p>
      <w:pPr>
        <w:ind w:left="173" w:hanging="173"/>
      </w:pPr>
      <w:r>
        <w:rPr>
          <w:b/>
        </w:rPr>
        <w:t xml:space="preserve">1. </w:t>
      </w:r>
      <w:r>
        <w:t>Create one source adapter per repository; never let repository-specific JSON fields leak directly into downstream ranking logic.</w:t>
      </w:r>
    </w:p>
    <w:p>
      <w:pPr>
        <w:ind w:left="173" w:hanging="173"/>
      </w:pPr>
      <w:r>
        <w:rPr>
          <w:b/>
        </w:rPr>
        <w:t xml:space="preserve">2. </w:t>
      </w:r>
      <w:r>
        <w:t>Assign a stable internal dataset identifier and retain the native source identifier.</w:t>
      </w:r>
    </w:p>
    <w:p>
      <w:pPr>
        <w:ind w:left="173" w:hanging="173"/>
      </w:pPr>
      <w:r>
        <w:rPr>
          <w:b/>
        </w:rPr>
        <w:t xml:space="preserve">3. </w:t>
      </w:r>
      <w:r>
        <w:t>Normalize task, modality, format, class count, sample count, license claim, documentation links, timestamps, and popularity signals into the canonical schema.</w:t>
      </w:r>
    </w:p>
    <w:p>
      <w:pPr>
        <w:ind w:left="173" w:hanging="173"/>
      </w:pPr>
      <w:r>
        <w:rPr>
          <w:b/>
        </w:rPr>
        <w:t xml:space="preserve">4. </w:t>
      </w:r>
      <w:r>
        <w:t>Retain raw source snapshots or request/response files for reproducibility where licensing and storage terms permit.</w:t>
      </w:r>
    </w:p>
    <w:p>
      <w:pPr>
        <w:ind w:left="173" w:hanging="173"/>
      </w:pPr>
      <w:r>
        <w:rPr>
          <w:b/>
        </w:rPr>
        <w:t xml:space="preserve">5. </w:t>
      </w:r>
      <w:r>
        <w:t>Attempt Croissant parsing when a valid record is available; retain provenance links and validation results.</w:t>
      </w:r>
    </w:p>
    <w:p>
      <w:pPr>
        <w:ind w:left="173" w:hanging="173"/>
      </w:pPr>
      <w:r>
        <w:rPr>
          <w:b/>
        </w:rPr>
        <w:t xml:space="preserve">6. </w:t>
      </w:r>
      <w:r>
        <w:t>Generate the retrieval document from a controlled concatenation of name, description, tags, task semantics, and structured textual fields.</w:t>
      </w:r>
    </w:p>
    <w:p>
      <w:pPr>
        <w:ind w:left="173" w:hanging="173"/>
      </w:pPr>
      <w:r>
        <w:rPr>
          <w:b/>
        </w:rPr>
        <w:t xml:space="preserve">7. </w:t>
      </w:r>
      <w:r>
        <w:t>Precompute dense embeddings and store them in the local vector index.</w:t>
      </w:r>
    </w:p>
    <w:p>
      <w:pPr>
        <w:ind w:left="173" w:hanging="173"/>
      </w:pPr>
      <w:r>
        <w:rPr>
          <w:b/>
        </w:rPr>
        <w:t xml:space="preserve">8. </w:t>
      </w:r>
      <w:r>
        <w:t>Build a BM25 index over the same normalized textual representation.</w:t>
      </w:r>
    </w:p>
    <w:p>
      <w:pPr>
        <w:ind w:left="173" w:hanging="173"/>
      </w:pPr>
      <w:r>
        <w:rPr>
          <w:b/>
        </w:rPr>
        <w:t xml:space="preserve">9. </w:t>
      </w:r>
      <w:r>
        <w:t>Cache every source fetch so experiments do not repeatedly hit external services.</w:t>
      </w:r>
    </w:p>
    <w:p>
      <w:pPr>
        <w:pStyle w:val="Heading2"/>
      </w:pPr>
      <w:r>
        <w:t>17.3 Requirement extraction procedure</w:t>
      </w:r>
    </w:p>
    <w:p>
      <w:pPr>
        <w:spacing w:after="0"/>
        <w:ind w:left="259"/>
      </w:pPr>
      <w:r>
        <w:rPr>
          <w:rFonts w:ascii="Consolas" w:hAnsi="Consolas"/>
          <w:sz w:val="16"/>
        </w:rPr>
        <w:t>{</w:t>
      </w:r>
    </w:p>
    <w:p>
      <w:pPr>
        <w:spacing w:after="0"/>
        <w:ind w:left="259"/>
      </w:pPr>
      <w:r>
        <w:rPr>
          <w:rFonts w:ascii="Consolas" w:hAnsi="Consolas"/>
          <w:sz w:val="16"/>
        </w:rPr>
        <w:t xml:space="preserve">  "task": "image classification",</w:t>
      </w:r>
    </w:p>
    <w:p>
      <w:pPr>
        <w:spacing w:after="0"/>
        <w:ind w:left="259"/>
      </w:pPr>
      <w:r>
        <w:rPr>
          <w:rFonts w:ascii="Consolas" w:hAnsi="Consolas"/>
          <w:sz w:val="16"/>
        </w:rPr>
        <w:t xml:space="preserve">  "domain": "plant disease",</w:t>
      </w:r>
    </w:p>
    <w:p>
      <w:pPr>
        <w:spacing w:after="0"/>
        <w:ind w:left="259"/>
      </w:pPr>
      <w:r>
        <w:rPr>
          <w:rFonts w:ascii="Consolas" w:hAnsi="Consolas"/>
          <w:sz w:val="16"/>
        </w:rPr>
        <w:t xml:space="preserve">  "modality": "image",</w:t>
      </w:r>
    </w:p>
    <w:p>
      <w:pPr>
        <w:spacing w:after="0"/>
        <w:ind w:left="259"/>
      </w:pPr>
      <w:r>
        <w:rPr>
          <w:rFonts w:ascii="Consolas" w:hAnsi="Consolas"/>
          <w:sz w:val="16"/>
        </w:rPr>
        <w:t xml:space="preserve">  "learning_type": "supervised",</w:t>
      </w:r>
    </w:p>
    <w:p>
      <w:pPr>
        <w:spacing w:after="0"/>
        <w:ind w:left="259"/>
      </w:pPr>
      <w:r>
        <w:rPr>
          <w:rFonts w:ascii="Consolas" w:hAnsi="Consolas"/>
          <w:sz w:val="16"/>
        </w:rPr>
        <w:t xml:space="preserve">  "label_type": "multiclass",</w:t>
      </w:r>
    </w:p>
    <w:p>
      <w:pPr>
        <w:spacing w:after="0"/>
        <w:ind w:left="259"/>
      </w:pPr>
      <w:r>
        <w:rPr>
          <w:rFonts w:ascii="Consolas" w:hAnsi="Consolas"/>
          <w:sz w:val="16"/>
        </w:rPr>
        <w:t xml:space="preserve">  "min_samples": 5000,</w:t>
      </w:r>
    </w:p>
    <w:p>
      <w:pPr>
        <w:spacing w:after="0"/>
        <w:ind w:left="259"/>
      </w:pPr>
      <w:r>
        <w:rPr>
          <w:rFonts w:ascii="Consolas" w:hAnsi="Consolas"/>
          <w:sz w:val="16"/>
        </w:rPr>
        <w:t xml:space="preserve">  "required_classes": null,</w:t>
      </w:r>
    </w:p>
    <w:p>
      <w:pPr>
        <w:spacing w:after="0"/>
        <w:ind w:left="259"/>
      </w:pPr>
      <w:r>
        <w:rPr>
          <w:rFonts w:ascii="Consolas" w:hAnsi="Consolas"/>
          <w:sz w:val="16"/>
        </w:rPr>
        <w:t xml:space="preserve">  "license_requirement": "academic_use",</w:t>
      </w:r>
    </w:p>
    <w:p>
      <w:pPr>
        <w:spacing w:after="0"/>
        <w:ind w:left="259"/>
      </w:pPr>
      <w:r>
        <w:rPr>
          <w:rFonts w:ascii="Consolas" w:hAnsi="Consolas"/>
          <w:sz w:val="16"/>
        </w:rPr>
        <w:t xml:space="preserve">  "hard_constraints": [],</w:t>
      </w:r>
    </w:p>
    <w:p>
      <w:pPr>
        <w:spacing w:after="0"/>
        <w:ind w:left="259"/>
      </w:pPr>
      <w:r>
        <w:rPr>
          <w:rFonts w:ascii="Consolas" w:hAnsi="Consolas"/>
          <w:sz w:val="16"/>
        </w:rPr>
        <w:t xml:space="preserve">  "soft_preferences": []</w:t>
      </w:r>
    </w:p>
    <w:p>
      <w:pPr>
        <w:spacing w:after="0"/>
        <w:ind w:left="259"/>
      </w:pPr>
      <w:r>
        <w:rPr>
          <w:rFonts w:ascii="Consolas" w:hAnsi="Consolas"/>
          <w:sz w:val="16"/>
        </w:rPr>
        <w:t>}</w:t>
      </w:r>
    </w:p>
    <w:p>
      <w:r>
        <w:t>The schema should reject unknown fields or place them into an explicit “unresolved constraints” field. This makes requirement-extraction errors measurable rather than invisible.</w:t>
      </w:r>
    </w:p>
    <w:p>
      <w:pPr>
        <w:pStyle w:val="Heading2"/>
      </w:pPr>
      <w:r>
        <w:t>17.4 Hybrid retrieval procedure</w:t>
      </w:r>
    </w:p>
    <w:p>
      <w:pPr>
        <w:ind w:left="173" w:hanging="173"/>
      </w:pPr>
      <w:r>
        <w:rPr>
          <w:b/>
        </w:rPr>
        <w:t xml:space="preserve">1. </w:t>
      </w:r>
      <w:r>
        <w:t>Run BM25 for exact terms such as disease names, modalities, target variables, file formats, or domain-specific vocabulary.</w:t>
      </w:r>
    </w:p>
    <w:p>
      <w:pPr>
        <w:ind w:left="173" w:hanging="173"/>
      </w:pPr>
      <w:r>
        <w:rPr>
          <w:b/>
        </w:rPr>
        <w:t xml:space="preserve">2. </w:t>
      </w:r>
      <w:r>
        <w:t>Run dense retrieval on the full natural-language and structured query representation.</w:t>
      </w:r>
    </w:p>
    <w:p>
      <w:pPr>
        <w:ind w:left="173" w:hanging="173"/>
      </w:pPr>
      <w:r>
        <w:rPr>
          <w:b/>
        </w:rPr>
        <w:t xml:space="preserve">3. </w:t>
      </w:r>
      <w:r>
        <w:t>Fuse the candidate lists using reciprocal-rank fusion or calibrated score normalization.</w:t>
      </w:r>
    </w:p>
    <w:p>
      <w:pPr>
        <w:ind w:left="173" w:hanging="173"/>
      </w:pPr>
      <w:r>
        <w:rPr>
          <w:b/>
        </w:rPr>
        <w:t xml:space="preserve">4. </w:t>
      </w:r>
      <w:r>
        <w:t>Apply hard constraints after candidate generation so that recall is not unnecessarily lost during the first lexical/dense pass.</w:t>
      </w:r>
    </w:p>
    <w:p>
      <w:pPr>
        <w:ind w:left="173" w:hanging="173"/>
      </w:pPr>
      <w:r>
        <w:rPr>
          <w:b/>
        </w:rPr>
        <w:t xml:space="preserve">5. </w:t>
      </w:r>
      <w:r>
        <w:t>Deduplicate mirrors and obvious dataset-family duplicates before deeper analysis.</w:t>
      </w:r>
    </w:p>
    <w:p>
      <w:pPr>
        <w:ind w:left="173" w:hanging="173"/>
      </w:pPr>
      <w:r>
        <w:rPr>
          <w:b/>
        </w:rPr>
        <w:t xml:space="preserve">6. </w:t>
      </w:r>
      <w:r>
        <w:t>Retain 30–100 candidates for the evidence stage and log the retrieval source that contributed each candidate.</w:t>
      </w:r>
    </w:p>
    <w:p>
      <w:pPr>
        <w:pStyle w:val="Heading2"/>
      </w:pPr>
      <w:r>
        <w:t>17.5 Sample acquisition procedure</w:t>
      </w:r>
    </w:p>
    <w:p>
      <w:r>
        <w:t>The system should avoid indiscriminate full downloads. Preferred order: direct streaming or repository viewer APIs; small file/range requests where supported; public sample endpoints; repository-provided previews; finally, limited manual acquisition for benchmark datasets. Every sample-analysis record must state the number of observations inspected and the acquisition method.</w:t>
      </w:r>
    </w:p>
    <w:p>
      <w:pPr>
        <w:pStyle w:val="Heading2"/>
      </w:pPr>
      <w:r>
        <w:t>17.6 Probe computation procedure</w:t>
      </w:r>
    </w:p>
    <w:p>
      <w:pPr>
        <w:ind w:left="173" w:hanging="173"/>
      </w:pPr>
      <w:r>
        <w:rPr>
          <w:b/>
        </w:rPr>
        <w:t xml:space="preserve">1. </w:t>
      </w:r>
      <w:r>
        <w:t>Perform an initial feasibility check: can the candidate be sampled within a bounded size and time budget?</w:t>
      </w:r>
    </w:p>
    <w:p>
      <w:pPr>
        <w:ind w:left="173" w:hanging="173"/>
      </w:pPr>
      <w:r>
        <w:rPr>
          <w:b/>
        </w:rPr>
        <w:t xml:space="preserve">2. </w:t>
      </w:r>
      <w:r>
        <w:t>Create a task-appropriate representation: image embeddings, text embeddings, or normalized tabular features.</w:t>
      </w:r>
    </w:p>
    <w:p>
      <w:pPr>
        <w:ind w:left="173" w:hanging="173"/>
      </w:pPr>
      <w:r>
        <w:rPr>
          <w:b/>
        </w:rPr>
        <w:t xml:space="preserve">3. </w:t>
      </w:r>
      <w:r>
        <w:t>Compute structural and distributional diagnostics.</w:t>
      </w:r>
    </w:p>
    <w:p>
      <w:pPr>
        <w:ind w:left="173" w:hanging="173"/>
      </w:pPr>
      <w:r>
        <w:rPr>
          <w:b/>
        </w:rPr>
        <w:t xml:space="preserve">4. </w:t>
      </w:r>
      <w:r>
        <w:t>If labels are available, train a small probe model with stratified validation and obtain out-of-sample predictions.</w:t>
      </w:r>
    </w:p>
    <w:p>
      <w:pPr>
        <w:ind w:left="173" w:hanging="173"/>
      </w:pPr>
      <w:r>
        <w:rPr>
          <w:b/>
        </w:rPr>
        <w:t xml:space="preserve">5. </w:t>
      </w:r>
      <w:r>
        <w:t>Run Cleanlab-style label issue estimation where assumptions are satisfied.</w:t>
      </w:r>
    </w:p>
    <w:p>
      <w:pPr>
        <w:ind w:left="173" w:hanging="173"/>
      </w:pPr>
      <w:r>
        <w:rPr>
          <w:b/>
        </w:rPr>
        <w:t xml:space="preserve">6. </w:t>
      </w:r>
      <w:r>
        <w:t>Compute class coverage and representation diversity.</w:t>
      </w:r>
    </w:p>
    <w:p>
      <w:pPr>
        <w:ind w:left="173" w:hanging="173"/>
      </w:pPr>
      <w:r>
        <w:rPr>
          <w:b/>
        </w:rPr>
        <w:t xml:space="preserve">7. </w:t>
      </w:r>
      <w:r>
        <w:t>Persist all intermediate metrics so ranking can be rerun without recomputing samples.</w:t>
      </w:r>
    </w:p>
    <w:p>
      <w:pPr>
        <w:pStyle w:val="Heading2"/>
      </w:pPr>
      <w:r>
        <w:t>17.7 Provenance and license workflow</w:t>
      </w:r>
    </w:p>
    <w:p>
      <w:pPr>
        <w:spacing w:after="0"/>
        <w:ind w:left="259"/>
      </w:pPr>
      <w:r>
        <w:rPr>
          <w:rFonts w:ascii="Consolas" w:hAnsi="Consolas"/>
          <w:sz w:val="16"/>
        </w:rPr>
        <w:t>Repository claim ----+</w:t>
      </w:r>
    </w:p>
    <w:p>
      <w:pPr>
        <w:spacing w:after="0"/>
        <w:ind w:left="259"/>
      </w:pPr>
      <w:r>
        <w:rPr>
          <w:rFonts w:ascii="Consolas" w:hAnsi="Consolas"/>
          <w:sz w:val="16"/>
        </w:rPr>
        <w:t>Dataset card -------+--&gt; Evidence resolver --&gt; state: verified / corroborated / conflict / unknown</w:t>
      </w:r>
    </w:p>
    <w:p>
      <w:pPr>
        <w:spacing w:after="0"/>
        <w:ind w:left="259"/>
      </w:pPr>
      <w:r>
        <w:rPr>
          <w:rFonts w:ascii="Consolas" w:hAnsi="Consolas"/>
          <w:sz w:val="16"/>
        </w:rPr>
        <w:t>Paper / source -----+</w:t>
      </w:r>
    </w:p>
    <w:p>
      <w:pPr>
        <w:spacing w:after="0"/>
        <w:ind w:left="259"/>
      </w:pPr>
      <w:r>
        <w:rPr>
          <w:rFonts w:ascii="Consolas" w:hAnsi="Consolas"/>
          <w:sz w:val="16"/>
        </w:rPr>
        <w:t>Croissant ----------+</w:t>
      </w:r>
    </w:p>
    <w:p>
      <w:pPr>
        <w:spacing w:after="0"/>
        <w:ind w:left="259"/>
      </w:pPr>
      <w:r>
        <w:rPr>
          <w:rFonts w:ascii="Consolas" w:hAnsi="Consolas"/>
          <w:sz w:val="16"/>
        </w:rPr>
      </w:r>
    </w:p>
    <w:p>
      <w:pPr>
        <w:spacing w:after="0"/>
        <w:ind w:left="259"/>
      </w:pPr>
      <w:r>
        <w:rPr>
          <w:rFonts w:ascii="Consolas" w:hAnsi="Consolas"/>
          <w:sz w:val="16"/>
        </w:rPr>
        <w:t>Important: automated license parsing is a classification aid, not legal advice.</w:t>
      </w:r>
    </w:p>
    <w:p>
      <w:r>
        <w:t>Croissant 1.1 is particularly relevant because it adds machine-actionable provenance concepts, vocabulary links, and usage-policy mechanisms [4]. The implementation should adopt those structures where present and retain raw provenance references rather than flattening everything into a single “reliability score.”</w:t>
      </w:r>
    </w:p>
    <w:p>
      <w:pPr>
        <w:pStyle w:val="Heading1"/>
      </w:pPr>
      <w:r>
        <w:t>18. End-to-End Recommendation Algorithm</w:t>
      </w:r>
    </w:p>
    <w:p>
      <w:pPr>
        <w:spacing w:after="0"/>
        <w:ind w:left="259"/>
      </w:pPr>
      <w:r>
        <w:rPr>
          <w:rFonts w:ascii="Consolas" w:hAnsi="Consolas"/>
          <w:sz w:val="16"/>
        </w:rPr>
        <w:t>def recommend(query, k=5):</w:t>
      </w:r>
    </w:p>
    <w:p>
      <w:pPr>
        <w:spacing w:after="0"/>
        <w:ind w:left="259"/>
      </w:pPr>
      <w:r>
        <w:rPr>
          <w:rFonts w:ascii="Consolas" w:hAnsi="Consolas"/>
          <w:sz w:val="16"/>
        </w:rPr>
        <w:t xml:space="preserve">    spec = extract_requirements(query)</w:t>
      </w:r>
    </w:p>
    <w:p>
      <w:pPr>
        <w:spacing w:after="0"/>
        <w:ind w:left="259"/>
      </w:pPr>
      <w:r>
        <w:rPr>
          <w:rFonts w:ascii="Consolas" w:hAnsi="Consolas"/>
          <w:sz w:val="16"/>
        </w:rPr>
      </w:r>
    </w:p>
    <w:p>
      <w:pPr>
        <w:spacing w:after="0"/>
        <w:ind w:left="259"/>
      </w:pPr>
      <w:r>
        <w:rPr>
          <w:rFonts w:ascii="Consolas" w:hAnsi="Consolas"/>
          <w:sz w:val="16"/>
        </w:rPr>
        <w:t xml:space="preserve">    lexical = bm25_retrieve(spec.text_query, top_n=100)</w:t>
      </w:r>
    </w:p>
    <w:p>
      <w:pPr>
        <w:spacing w:after="0"/>
        <w:ind w:left="259"/>
      </w:pPr>
      <w:r>
        <w:rPr>
          <w:rFonts w:ascii="Consolas" w:hAnsi="Consolas"/>
          <w:sz w:val="16"/>
        </w:rPr>
        <w:t xml:space="preserve">    dense = dense_retrieve(spec.embedding_query, top_n=100)</w:t>
      </w:r>
    </w:p>
    <w:p>
      <w:pPr>
        <w:spacing w:after="0"/>
        <w:ind w:left="259"/>
      </w:pPr>
      <w:r>
        <w:rPr>
          <w:rFonts w:ascii="Consolas" w:hAnsi="Consolas"/>
          <w:sz w:val="16"/>
        </w:rPr>
        <w:t xml:space="preserve">    candidates = fuse_and_deduplicate(lexical, dense)</w:t>
      </w:r>
    </w:p>
    <w:p>
      <w:pPr>
        <w:spacing w:after="0"/>
        <w:ind w:left="259"/>
      </w:pPr>
      <w:r>
        <w:rPr>
          <w:rFonts w:ascii="Consolas" w:hAnsi="Consolas"/>
          <w:sz w:val="16"/>
        </w:rPr>
        <w:t xml:space="preserve">    candidates = hard_filter(candidates, spec.hard_constraints)</w:t>
      </w:r>
    </w:p>
    <w:p>
      <w:pPr>
        <w:spacing w:after="0"/>
        <w:ind w:left="259"/>
      </w:pPr>
      <w:r>
        <w:rPr>
          <w:rFonts w:ascii="Consolas" w:hAnsi="Consolas"/>
          <w:sz w:val="16"/>
        </w:rPr>
      </w:r>
    </w:p>
    <w:p>
      <w:pPr>
        <w:spacing w:after="0"/>
        <w:ind w:left="259"/>
      </w:pPr>
      <w:r>
        <w:rPr>
          <w:rFonts w:ascii="Consolas" w:hAnsi="Consolas"/>
          <w:sz w:val="16"/>
        </w:rPr>
        <w:t xml:space="preserve">    evidence = collect_evidence(candidates)</w:t>
      </w:r>
    </w:p>
    <w:p>
      <w:pPr>
        <w:spacing w:after="0"/>
        <w:ind w:left="259"/>
      </w:pPr>
      <w:r>
        <w:rPr>
          <w:rFonts w:ascii="Consolas" w:hAnsi="Consolas"/>
          <w:sz w:val="16"/>
        </w:rPr>
        <w:t xml:space="preserve">    feasible = select_sample_accessible(candidates, budget=probe_budget)</w:t>
      </w:r>
    </w:p>
    <w:p>
      <w:pPr>
        <w:spacing w:after="0"/>
        <w:ind w:left="259"/>
      </w:pPr>
      <w:r>
        <w:rPr>
          <w:rFonts w:ascii="Consolas" w:hAnsi="Consolas"/>
          <w:sz w:val="16"/>
        </w:rPr>
        <w:t xml:space="preserve">    content = analyze_samples(feasible, spec)</w:t>
      </w:r>
    </w:p>
    <w:p>
      <w:pPr>
        <w:spacing w:after="0"/>
        <w:ind w:left="259"/>
      </w:pPr>
      <w:r>
        <w:rPr>
          <w:rFonts w:ascii="Consolas" w:hAnsi="Consolas"/>
          <w:sz w:val="16"/>
        </w:rPr>
      </w:r>
    </w:p>
    <w:p>
      <w:pPr>
        <w:spacing w:after="0"/>
        <w:ind w:left="259"/>
      </w:pPr>
      <w:r>
        <w:rPr>
          <w:rFonts w:ascii="Consolas" w:hAnsi="Consolas"/>
          <w:sz w:val="16"/>
        </w:rPr>
        <w:t xml:space="preserve">    for d in candidates:</w:t>
      </w:r>
    </w:p>
    <w:p>
      <w:pPr>
        <w:spacing w:after="0"/>
        <w:ind w:left="259"/>
      </w:pPr>
      <w:r>
        <w:rPr>
          <w:rFonts w:ascii="Consolas" w:hAnsi="Consolas"/>
          <w:sz w:val="16"/>
        </w:rPr>
        <w:t xml:space="preserve">        d.fit = requirement_fit(d, spec)</w:t>
      </w:r>
    </w:p>
    <w:p>
      <w:pPr>
        <w:spacing w:after="0"/>
        <w:ind w:left="259"/>
      </w:pPr>
      <w:r>
        <w:rPr>
          <w:rFonts w:ascii="Consolas" w:hAnsi="Consolas"/>
          <w:sz w:val="16"/>
        </w:rPr>
        <w:t xml:space="preserve">        d.utility = estimate_task_utility(d, content.get(d.id))</w:t>
      </w:r>
    </w:p>
    <w:p>
      <w:pPr>
        <w:spacing w:after="0"/>
        <w:ind w:left="259"/>
      </w:pPr>
      <w:r>
        <w:rPr>
          <w:rFonts w:ascii="Consolas" w:hAnsi="Consolas"/>
          <w:sz w:val="16"/>
        </w:rPr>
        <w:t xml:space="preserve">        d.evidence = evidence_score(evidence[d.id])</w:t>
      </w:r>
    </w:p>
    <w:p>
      <w:pPr>
        <w:spacing w:after="0"/>
        <w:ind w:left="259"/>
      </w:pPr>
      <w:r>
        <w:rPr>
          <w:rFonts w:ascii="Consolas" w:hAnsi="Consolas"/>
          <w:sz w:val="16"/>
        </w:rPr>
        <w:t xml:space="preserve">        d.risk = uncertainty_and_conflict(evidence[d.id])</w:t>
      </w:r>
    </w:p>
    <w:p>
      <w:pPr>
        <w:spacing w:after="0"/>
        <w:ind w:left="259"/>
      </w:pPr>
      <w:r>
        <w:rPr>
          <w:rFonts w:ascii="Consolas" w:hAnsi="Consolas"/>
          <w:sz w:val="16"/>
        </w:rPr>
        <w:t xml:space="preserve">        d.novelty = long_tail_value(d)</w:t>
      </w:r>
    </w:p>
    <w:p>
      <w:pPr>
        <w:spacing w:after="0"/>
        <w:ind w:left="259"/>
      </w:pPr>
      <w:r>
        <w:rPr>
          <w:rFonts w:ascii="Consolas" w:hAnsi="Consolas"/>
          <w:sz w:val="16"/>
        </w:rPr>
        <w:t xml:space="preserve">        d.coverage = coverage_value(d, spec)</w:t>
      </w:r>
    </w:p>
    <w:p>
      <w:pPr>
        <w:spacing w:after="0"/>
        <w:ind w:left="259"/>
      </w:pPr>
      <w:r>
        <w:rPr>
          <w:rFonts w:ascii="Consolas" w:hAnsi="Consolas"/>
          <w:sz w:val="16"/>
        </w:rPr>
      </w:r>
    </w:p>
    <w:p>
      <w:pPr>
        <w:spacing w:after="0"/>
        <w:ind w:left="259"/>
      </w:pPr>
      <w:r>
        <w:rPr>
          <w:rFonts w:ascii="Consolas" w:hAnsi="Consolas"/>
          <w:sz w:val="16"/>
        </w:rPr>
        <w:t xml:space="preserve">    pool = multi_objective_rank(candidates)</w:t>
      </w:r>
    </w:p>
    <w:p>
      <w:pPr>
        <w:spacing w:after="0"/>
        <w:ind w:left="259"/>
      </w:pPr>
      <w:r>
        <w:rPr>
          <w:rFonts w:ascii="Consolas" w:hAnsi="Consolas"/>
          <w:sz w:val="16"/>
        </w:rPr>
        <w:t xml:space="preserve">    main, long_tail = split_exploration_pool(pool)</w:t>
      </w:r>
    </w:p>
    <w:p>
      <w:pPr>
        <w:spacing w:after="0"/>
        <w:ind w:left="259"/>
      </w:pPr>
      <w:r>
        <w:rPr>
          <w:rFonts w:ascii="Consolas" w:hAnsi="Consolas"/>
          <w:sz w:val="16"/>
        </w:rPr>
        <w:t xml:space="preserve">    final = diversified_select(main + long_tail, k=k)</w:t>
      </w:r>
    </w:p>
    <w:p>
      <w:pPr>
        <w:spacing w:after="0"/>
        <w:ind w:left="259"/>
      </w:pPr>
      <w:r>
        <w:rPr>
          <w:rFonts w:ascii="Consolas" w:hAnsi="Consolas"/>
          <w:sz w:val="16"/>
        </w:rPr>
        <w:t xml:space="preserve">    return explain_with_evidence(final, evidence, content)</w:t>
      </w:r>
    </w:p>
    <w:p>
      <w:pPr>
        <w:pStyle w:val="Heading1"/>
      </w:pPr>
      <w:r>
        <w:t>19. Evaluation Framework</w:t>
      </w:r>
    </w:p>
    <w:p>
      <w:r>
        <w:t>Evaluation is treated as a first-class research artifact. The system is not considered successful merely because recommendations appear plausible. It must demonstrate where each additional component changes retrieval, ranking, discovery, or trustworthiness.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vAlign w:val="center"/>
            <w:shd w:fill="17365D"/>
          </w:tcPr>
          <w:p>
            <w:pPr>
              <w:spacing w:after="0"/>
            </w:pPr>
            <w:r/>
            <w:r>
              <w:rPr>
                <w:b/>
                <w:color w:val="FFFFFF"/>
                <w:sz w:val="18"/>
              </w:rPr>
              <w:t>Experiment</w:t>
            </w:r>
          </w:p>
        </w:tc>
        <w:tc>
          <w:tcPr>
            <w:tcW w:type="dxa" w:w="4608"/>
            <w:vAlign w:val="center"/>
            <w:shd w:fill="17365D"/>
          </w:tcPr>
          <w:p>
            <w:pPr>
              <w:spacing w:after="0"/>
            </w:pPr>
            <w:r/>
            <w:r>
              <w:rPr>
                <w:b/>
                <w:color w:val="FFFFFF"/>
                <w:sz w:val="18"/>
              </w:rPr>
              <w:t>Comparison</w:t>
            </w:r>
          </w:p>
        </w:tc>
        <w:tc>
          <w:tcPr>
            <w:tcW w:type="dxa" w:w="3168"/>
            <w:vAlign w:val="center"/>
            <w:shd w:fill="17365D"/>
          </w:tcPr>
          <w:p>
            <w:pPr>
              <w:spacing w:after="0"/>
            </w:pPr>
            <w:r/>
            <w:r>
              <w:rPr>
                <w:b/>
                <w:color w:val="FFFFFF"/>
                <w:sz w:val="18"/>
              </w:rPr>
              <w:t>Primary metrics</w:t>
            </w:r>
          </w:p>
        </w:tc>
      </w:tr>
      <w:tr>
        <w:trPr>
          <w:cantSplit/>
        </w:trPr>
        <w:tc>
          <w:tcPr>
            <w:tcW w:type="dxa" w:w="2232"/>
            <w:vAlign w:val="center"/>
            <w:shd w:fill="F5F7FA"/>
          </w:tcPr>
          <w:p>
            <w:pPr>
              <w:spacing w:after="0"/>
            </w:pPr>
            <w:r/>
            <w:r>
              <w:rPr>
                <w:b w:val="0"/>
                <w:sz w:val="18"/>
              </w:rPr>
              <w:t>E1 Retrieval</w:t>
            </w:r>
          </w:p>
        </w:tc>
        <w:tc>
          <w:tcPr>
            <w:tcW w:type="dxa" w:w="4608"/>
            <w:vAlign w:val="center"/>
            <w:shd w:fill="F5F7FA"/>
          </w:tcPr>
          <w:p>
            <w:pPr>
              <w:spacing w:after="0"/>
            </w:pPr>
            <w:r/>
            <w:r>
              <w:rPr>
                <w:b w:val="0"/>
                <w:sz w:val="18"/>
              </w:rPr>
              <w:t>BM25 vs dense vs DataFinder-style bi-encoder vs hybrid</w:t>
            </w:r>
          </w:p>
        </w:tc>
        <w:tc>
          <w:tcPr>
            <w:tcW w:type="dxa" w:w="3168"/>
            <w:vAlign w:val="center"/>
            <w:shd w:fill="F5F7FA"/>
          </w:tcPr>
          <w:p>
            <w:pPr>
              <w:spacing w:after="0"/>
            </w:pPr>
            <w:r/>
            <w:r>
              <w:rPr>
                <w:b w:val="0"/>
                <w:sz w:val="18"/>
              </w:rPr>
              <w:t>Recall@K, Precision@K, MRR, NDCG@K</w:t>
            </w:r>
          </w:p>
        </w:tc>
      </w:tr>
      <w:tr>
        <w:trPr>
          <w:cantSplit/>
        </w:trPr>
        <w:tc>
          <w:tcPr>
            <w:tcW w:type="dxa" w:w="2232"/>
            <w:vAlign w:val="center"/>
          </w:tcPr>
          <w:p>
            <w:pPr>
              <w:spacing w:after="0"/>
            </w:pPr>
            <w:r/>
            <w:r>
              <w:rPr>
                <w:b w:val="0"/>
                <w:sz w:val="18"/>
              </w:rPr>
              <w:t>E2 Suitability</w:t>
            </w:r>
          </w:p>
        </w:tc>
        <w:tc>
          <w:tcPr>
            <w:tcW w:type="dxa" w:w="4608"/>
            <w:vAlign w:val="center"/>
          </w:tcPr>
          <w:p>
            <w:pPr>
              <w:spacing w:after="0"/>
            </w:pPr>
            <w:r/>
            <w:r>
              <w:rPr>
                <w:b w:val="0"/>
                <w:sz w:val="18"/>
              </w:rPr>
              <w:t>Metadata-only vs evidence-aware ranking</w:t>
            </w:r>
          </w:p>
        </w:tc>
        <w:tc>
          <w:tcPr>
            <w:tcW w:type="dxa" w:w="3168"/>
            <w:vAlign w:val="center"/>
          </w:tcPr>
          <w:p>
            <w:pPr>
              <w:spacing w:after="0"/>
            </w:pPr>
            <w:r/>
            <w:r>
              <w:rPr>
                <w:b w:val="0"/>
                <w:sz w:val="18"/>
              </w:rPr>
              <w:t>NDCG@K, human relevance, calibration</w:t>
            </w:r>
          </w:p>
        </w:tc>
      </w:tr>
      <w:tr>
        <w:trPr>
          <w:cantSplit/>
        </w:trPr>
        <w:tc>
          <w:tcPr>
            <w:tcW w:type="dxa" w:w="2232"/>
            <w:vAlign w:val="center"/>
            <w:shd w:fill="F5F7FA"/>
          </w:tcPr>
          <w:p>
            <w:pPr>
              <w:spacing w:after="0"/>
            </w:pPr>
            <w:r/>
            <w:r>
              <w:rPr>
                <w:b w:val="0"/>
                <w:sz w:val="18"/>
              </w:rPr>
              <w:t>E3 Content utility</w:t>
            </w:r>
          </w:p>
        </w:tc>
        <w:tc>
          <w:tcPr>
            <w:tcW w:type="dxa" w:w="4608"/>
            <w:vAlign w:val="center"/>
            <w:shd w:fill="F5F7FA"/>
          </w:tcPr>
          <w:p>
            <w:pPr>
              <w:spacing w:after="0"/>
            </w:pPr>
            <w:r/>
            <w:r>
              <w:rPr>
                <w:b w:val="0"/>
                <w:sz w:val="18"/>
              </w:rPr>
              <w:t>Without vs with sample-aware probes</w:t>
            </w:r>
          </w:p>
        </w:tc>
        <w:tc>
          <w:tcPr>
            <w:tcW w:type="dxa" w:w="3168"/>
            <w:vAlign w:val="center"/>
            <w:shd w:fill="F5F7FA"/>
          </w:tcPr>
          <w:p>
            <w:pPr>
              <w:spacing w:after="0"/>
            </w:pPr>
            <w:r/>
            <w:r>
              <w:rPr>
                <w:b w:val="0"/>
                <w:sz w:val="18"/>
              </w:rPr>
              <w:t>NDCG@K, downstream/probe improvement, utility correlation</w:t>
            </w:r>
          </w:p>
        </w:tc>
      </w:tr>
      <w:tr>
        <w:trPr>
          <w:cantSplit/>
        </w:trPr>
        <w:tc>
          <w:tcPr>
            <w:tcW w:type="dxa" w:w="2232"/>
            <w:vAlign w:val="center"/>
          </w:tcPr>
          <w:p>
            <w:pPr>
              <w:spacing w:after="0"/>
            </w:pPr>
            <w:r/>
            <w:r>
              <w:rPr>
                <w:b w:val="0"/>
                <w:sz w:val="18"/>
              </w:rPr>
              <w:t>E4 Quality evidence</w:t>
            </w:r>
          </w:p>
        </w:tc>
        <w:tc>
          <w:tcPr>
            <w:tcW w:type="dxa" w:w="4608"/>
            <w:vAlign w:val="center"/>
          </w:tcPr>
          <w:p>
            <w:pPr>
              <w:spacing w:after="0"/>
            </w:pPr>
            <w:r/>
            <w:r>
              <w:rPr>
                <w:b w:val="0"/>
                <w:sz w:val="18"/>
              </w:rPr>
              <w:t>Without vs with Cleanlab-style checks</w:t>
            </w:r>
          </w:p>
        </w:tc>
        <w:tc>
          <w:tcPr>
            <w:tcW w:type="dxa" w:w="3168"/>
            <w:vAlign w:val="center"/>
          </w:tcPr>
          <w:p>
            <w:pPr>
              <w:spacing w:after="0"/>
            </w:pPr>
            <w:r/>
            <w:r>
              <w:rPr>
                <w:b w:val="0"/>
                <w:sz w:val="18"/>
              </w:rPr>
              <w:t>Quality-risk separation, human verification rate</w:t>
            </w:r>
          </w:p>
        </w:tc>
      </w:tr>
      <w:tr>
        <w:trPr>
          <w:cantSplit/>
        </w:trPr>
        <w:tc>
          <w:tcPr>
            <w:tcW w:type="dxa" w:w="2232"/>
            <w:vAlign w:val="center"/>
            <w:shd w:fill="F5F7FA"/>
          </w:tcPr>
          <w:p>
            <w:pPr>
              <w:spacing w:after="0"/>
            </w:pPr>
            <w:r/>
            <w:r>
              <w:rPr>
                <w:b w:val="0"/>
                <w:sz w:val="18"/>
              </w:rPr>
              <w:t>E5 Long-tail discovery</w:t>
            </w:r>
          </w:p>
        </w:tc>
        <w:tc>
          <w:tcPr>
            <w:tcW w:type="dxa" w:w="4608"/>
            <w:vAlign w:val="center"/>
            <w:shd w:fill="F5F7FA"/>
          </w:tcPr>
          <w:p>
            <w:pPr>
              <w:spacing w:after="0"/>
            </w:pPr>
            <w:r/>
            <w:r>
              <w:rPr>
                <w:b w:val="0"/>
                <w:sz w:val="18"/>
              </w:rPr>
              <w:t>Popularity-aware baseline vs long-tail exploration</w:t>
            </w:r>
          </w:p>
        </w:tc>
        <w:tc>
          <w:tcPr>
            <w:tcW w:type="dxa" w:w="3168"/>
            <w:vAlign w:val="center"/>
            <w:shd w:fill="F5F7FA"/>
          </w:tcPr>
          <w:p>
            <w:pPr>
              <w:spacing w:after="0"/>
            </w:pPr>
            <w:r/>
            <w:r>
              <w:rPr>
                <w:b w:val="0"/>
                <w:sz w:val="18"/>
              </w:rPr>
              <w:t>Long-Tail Recall@K, useful-long-tail rate, popularity rank</w:t>
            </w:r>
          </w:p>
        </w:tc>
      </w:tr>
      <w:tr>
        <w:trPr>
          <w:cantSplit/>
        </w:trPr>
        <w:tc>
          <w:tcPr>
            <w:tcW w:type="dxa" w:w="2232"/>
            <w:vAlign w:val="center"/>
          </w:tcPr>
          <w:p>
            <w:pPr>
              <w:spacing w:after="0"/>
            </w:pPr>
            <w:r/>
            <w:r>
              <w:rPr>
                <w:b w:val="0"/>
                <w:sz w:val="18"/>
              </w:rPr>
              <w:t>E6 Diversity</w:t>
            </w:r>
          </w:p>
        </w:tc>
        <w:tc>
          <w:tcPr>
            <w:tcW w:type="dxa" w:w="4608"/>
            <w:vAlign w:val="center"/>
          </w:tcPr>
          <w:p>
            <w:pPr>
              <w:spacing w:after="0"/>
            </w:pPr>
            <w:r/>
            <w:r>
              <w:rPr>
                <w:b w:val="0"/>
                <w:sz w:val="18"/>
              </w:rPr>
              <w:t>Top-k utility ranking vs diversified selection</w:t>
            </w:r>
          </w:p>
        </w:tc>
        <w:tc>
          <w:tcPr>
            <w:tcW w:type="dxa" w:w="3168"/>
            <w:vAlign w:val="center"/>
          </w:tcPr>
          <w:p>
            <w:pPr>
              <w:spacing w:after="0"/>
            </w:pPr>
            <w:r/>
            <w:r>
              <w:rPr>
                <w:b w:val="0"/>
                <w:sz w:val="18"/>
              </w:rPr>
              <w:t>Pairwise embedding distance, intra-list diversity, family diversity</w:t>
            </w:r>
          </w:p>
        </w:tc>
      </w:tr>
      <w:tr>
        <w:trPr>
          <w:cantSplit/>
        </w:trPr>
        <w:tc>
          <w:tcPr>
            <w:tcW w:type="dxa" w:w="2232"/>
            <w:vAlign w:val="center"/>
            <w:shd w:fill="F5F7FA"/>
          </w:tcPr>
          <w:p>
            <w:pPr>
              <w:spacing w:after="0"/>
            </w:pPr>
            <w:r/>
            <w:r>
              <w:rPr>
                <w:b w:val="0"/>
                <w:sz w:val="18"/>
              </w:rPr>
              <w:t>E7 Robustness</w:t>
            </w:r>
          </w:p>
        </w:tc>
        <w:tc>
          <w:tcPr>
            <w:tcW w:type="dxa" w:w="4608"/>
            <w:vAlign w:val="center"/>
            <w:shd w:fill="F5F7FA"/>
          </w:tcPr>
          <w:p>
            <w:pPr>
              <w:spacing w:after="0"/>
            </w:pPr>
            <w:r/>
            <w:r>
              <w:rPr>
                <w:b w:val="0"/>
                <w:sz w:val="18"/>
              </w:rPr>
              <w:t>Complete vs missing/conflicting metadata</w:t>
            </w:r>
          </w:p>
        </w:tc>
        <w:tc>
          <w:tcPr>
            <w:tcW w:type="dxa" w:w="3168"/>
            <w:vAlign w:val="center"/>
            <w:shd w:fill="F5F7FA"/>
          </w:tcPr>
          <w:p>
            <w:pPr>
              <w:spacing w:after="0"/>
            </w:pPr>
            <w:r/>
            <w:r>
              <w:rPr>
                <w:b w:val="0"/>
                <w:sz w:val="18"/>
              </w:rPr>
              <w:t>Performance degradation, confidence calibration, abstention/flag rate</w:t>
            </w:r>
          </w:p>
        </w:tc>
      </w:tr>
      <w:tr>
        <w:trPr>
          <w:cantSplit/>
        </w:trPr>
        <w:tc>
          <w:tcPr>
            <w:tcW w:type="dxa" w:w="2232"/>
            <w:vAlign w:val="center"/>
          </w:tcPr>
          <w:p>
            <w:pPr>
              <w:spacing w:after="0"/>
            </w:pPr>
            <w:r/>
            <w:r>
              <w:rPr>
                <w:b w:val="0"/>
                <w:sz w:val="18"/>
              </w:rPr>
              <w:t>E8 Efficiency</w:t>
            </w:r>
          </w:p>
        </w:tc>
        <w:tc>
          <w:tcPr>
            <w:tcW w:type="dxa" w:w="4608"/>
            <w:vAlign w:val="center"/>
          </w:tcPr>
          <w:p>
            <w:pPr>
              <w:spacing w:after="0"/>
            </w:pPr>
            <w:r/>
            <w:r>
              <w:rPr>
                <w:b w:val="0"/>
                <w:sz w:val="18"/>
              </w:rPr>
              <w:t>Full pipeline vs cached / reduced candidate budgets</w:t>
            </w:r>
          </w:p>
        </w:tc>
        <w:tc>
          <w:tcPr>
            <w:tcW w:type="dxa" w:w="3168"/>
            <w:vAlign w:val="center"/>
          </w:tcPr>
          <w:p>
            <w:pPr>
              <w:spacing w:after="0"/>
            </w:pPr>
            <w:r/>
            <w:r>
              <w:rPr>
                <w:b w:val="0"/>
                <w:sz w:val="18"/>
              </w:rPr>
              <w:t>Latency, memory, sample count, CPU time</w:t>
            </w:r>
          </w:p>
        </w:tc>
      </w:tr>
    </w:tbl>
    <w:p>
      <w:pPr>
        <w:spacing w:after="20"/>
      </w:pPr>
    </w:p>
    <w:p>
      <w:pPr>
        <w:pStyle w:val="Heading2"/>
      </w:pPr>
      <w:r>
        <w:t>19.1 Hidden-Gem benchmark</w:t>
      </w:r>
    </w:p>
    <w:p>
      <w:r>
        <w:t>A dedicated benchmark should contain queries for which expert-approved datasets include at least one lesser-known candidate. The benchmark should record relevance judgments and popularity strata before the final system is run. A hidden gem is not defined as “low downloads”; it is a dataset with useful relevance or task evidence whose visibility is lower than dominant alternatives.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20"/>
            <w:vAlign w:val="center"/>
            <w:shd w:fill="17365D"/>
          </w:tcPr>
          <w:p>
            <w:pPr>
              <w:spacing w:after="0"/>
            </w:pPr>
            <w:r/>
            <w:r>
              <w:rPr>
                <w:b/>
                <w:color w:val="FFFFFF"/>
                <w:sz w:val="18"/>
              </w:rPr>
              <w:t>Metric</w:t>
            </w:r>
          </w:p>
        </w:tc>
        <w:tc>
          <w:tcPr>
            <w:tcW w:type="dxa" w:w="7488"/>
            <w:vAlign w:val="center"/>
            <w:shd w:fill="17365D"/>
          </w:tcPr>
          <w:p>
            <w:pPr>
              <w:spacing w:after="0"/>
            </w:pPr>
            <w:r/>
            <w:r>
              <w:rPr>
                <w:b/>
                <w:color w:val="FFFFFF"/>
                <w:sz w:val="18"/>
              </w:rPr>
              <w:t>Definition</w:t>
            </w:r>
          </w:p>
        </w:tc>
      </w:tr>
      <w:tr>
        <w:trPr>
          <w:cantSplit/>
        </w:trPr>
        <w:tc>
          <w:tcPr>
            <w:tcW w:type="dxa" w:w="2520"/>
            <w:vAlign w:val="center"/>
            <w:shd w:fill="F5F7FA"/>
          </w:tcPr>
          <w:p>
            <w:pPr>
              <w:spacing w:after="0"/>
            </w:pPr>
            <w:r/>
            <w:r>
              <w:rPr>
                <w:b w:val="0"/>
                <w:sz w:val="18"/>
              </w:rPr>
              <w:t>Long-Tail Recall@K</w:t>
            </w:r>
          </w:p>
        </w:tc>
        <w:tc>
          <w:tcPr>
            <w:tcW w:type="dxa" w:w="7488"/>
            <w:vAlign w:val="center"/>
            <w:shd w:fill="F5F7FA"/>
          </w:tcPr>
          <w:p>
            <w:pPr>
              <w:spacing w:after="0"/>
            </w:pPr>
            <w:r/>
            <w:r>
              <w:rPr>
                <w:b w:val="0"/>
                <w:sz w:val="18"/>
              </w:rPr>
              <w:t>Whether at least one expert-approved lower-popularity dataset appears in the top K.</w:t>
            </w:r>
          </w:p>
        </w:tc>
      </w:tr>
      <w:tr>
        <w:trPr>
          <w:cantSplit/>
        </w:trPr>
        <w:tc>
          <w:tcPr>
            <w:tcW w:type="dxa" w:w="2520"/>
            <w:vAlign w:val="center"/>
          </w:tcPr>
          <w:p>
            <w:pPr>
              <w:spacing w:after="0"/>
            </w:pPr>
            <w:r/>
            <w:r>
              <w:rPr>
                <w:b w:val="0"/>
                <w:sz w:val="18"/>
              </w:rPr>
              <w:t>Useful Long-Tail Rate</w:t>
            </w:r>
          </w:p>
        </w:tc>
        <w:tc>
          <w:tcPr>
            <w:tcW w:type="dxa" w:w="7488"/>
            <w:vAlign w:val="center"/>
          </w:tcPr>
          <w:p>
            <w:pPr>
              <w:spacing w:after="0"/>
            </w:pPr>
            <w:r/>
            <w:r>
              <w:rPr>
                <w:b w:val="0"/>
                <w:sz w:val="18"/>
              </w:rPr>
              <w:t>Fraction of long-tail recommendations judged relevant/useful by evaluators.</w:t>
            </w:r>
          </w:p>
        </w:tc>
      </w:tr>
      <w:tr>
        <w:trPr>
          <w:cantSplit/>
        </w:trPr>
        <w:tc>
          <w:tcPr>
            <w:tcW w:type="dxa" w:w="2520"/>
            <w:vAlign w:val="center"/>
            <w:shd w:fill="F5F7FA"/>
          </w:tcPr>
          <w:p>
            <w:pPr>
              <w:spacing w:after="0"/>
            </w:pPr>
            <w:r/>
            <w:r>
              <w:rPr>
                <w:b w:val="0"/>
                <w:sz w:val="18"/>
              </w:rPr>
              <w:t>Novelty@K</w:t>
            </w:r>
          </w:p>
        </w:tc>
        <w:tc>
          <w:tcPr>
            <w:tcW w:type="dxa" w:w="7488"/>
            <w:vAlign w:val="center"/>
            <w:shd w:fill="F5F7FA"/>
          </w:tcPr>
          <w:p>
            <w:pPr>
              <w:spacing w:after="0"/>
            </w:pPr>
            <w:r/>
            <w:r>
              <w:rPr>
                <w:b w:val="0"/>
                <w:sz w:val="18"/>
              </w:rPr>
              <w:t>Degree to which recommendations differ from the most common/popular candidate set.</w:t>
            </w:r>
          </w:p>
        </w:tc>
      </w:tr>
      <w:tr>
        <w:trPr>
          <w:cantSplit/>
        </w:trPr>
        <w:tc>
          <w:tcPr>
            <w:tcW w:type="dxa" w:w="2520"/>
            <w:vAlign w:val="center"/>
          </w:tcPr>
          <w:p>
            <w:pPr>
              <w:spacing w:after="0"/>
            </w:pPr>
            <w:r/>
            <w:r>
              <w:rPr>
                <w:b w:val="0"/>
                <w:sz w:val="18"/>
              </w:rPr>
              <w:t>Intra-list diversity</w:t>
            </w:r>
          </w:p>
        </w:tc>
        <w:tc>
          <w:tcPr>
            <w:tcW w:type="dxa" w:w="7488"/>
            <w:vAlign w:val="center"/>
          </w:tcPr>
          <w:p>
            <w:pPr>
              <w:spacing w:after="0"/>
            </w:pPr>
            <w:r/>
            <w:r>
              <w:rPr>
                <w:b w:val="0"/>
                <w:sz w:val="18"/>
              </w:rPr>
              <w:t>Average pairwise distance between recommended dataset representations.</w:t>
            </w:r>
          </w:p>
        </w:tc>
      </w:tr>
      <w:tr>
        <w:trPr>
          <w:cantSplit/>
        </w:trPr>
        <w:tc>
          <w:tcPr>
            <w:tcW w:type="dxa" w:w="2520"/>
            <w:vAlign w:val="center"/>
            <w:shd w:fill="F5F7FA"/>
          </w:tcPr>
          <w:p>
            <w:pPr>
              <w:spacing w:after="0"/>
            </w:pPr>
            <w:r/>
            <w:r>
              <w:rPr>
                <w:b w:val="0"/>
                <w:sz w:val="18"/>
              </w:rPr>
              <w:t>Family diversity</w:t>
            </w:r>
          </w:p>
        </w:tc>
        <w:tc>
          <w:tcPr>
            <w:tcW w:type="dxa" w:w="7488"/>
            <w:vAlign w:val="center"/>
            <w:shd w:fill="F5F7FA"/>
          </w:tcPr>
          <w:p>
            <w:pPr>
              <w:spacing w:after="0"/>
            </w:pPr>
            <w:r/>
            <w:r>
              <w:rPr>
                <w:b w:val="0"/>
                <w:sz w:val="18"/>
              </w:rPr>
              <w:t>Number of distinct dataset lineages/families represented in the final set.</w:t>
            </w:r>
          </w:p>
        </w:tc>
      </w:tr>
      <w:tr>
        <w:trPr>
          <w:cantSplit/>
        </w:trPr>
        <w:tc>
          <w:tcPr>
            <w:tcW w:type="dxa" w:w="2520"/>
            <w:vAlign w:val="center"/>
          </w:tcPr>
          <w:p>
            <w:pPr>
              <w:spacing w:after="0"/>
            </w:pPr>
            <w:r/>
            <w:r>
              <w:rPr>
                <w:b w:val="0"/>
                <w:sz w:val="18"/>
              </w:rPr>
              <w:t>Evidence coverage</w:t>
            </w:r>
          </w:p>
        </w:tc>
        <w:tc>
          <w:tcPr>
            <w:tcW w:type="dxa" w:w="7488"/>
            <w:vAlign w:val="center"/>
          </w:tcPr>
          <w:p>
            <w:pPr>
              <w:spacing w:after="0"/>
            </w:pPr>
            <w:r/>
            <w:r>
              <w:rPr>
                <w:b w:val="0"/>
                <w:sz w:val="18"/>
              </w:rPr>
              <w:t>Fraction of recommendation claims backed by explicit evidence records.</w:t>
            </w:r>
          </w:p>
        </w:tc>
      </w:tr>
      <w:tr>
        <w:trPr>
          <w:cantSplit/>
        </w:trPr>
        <w:tc>
          <w:tcPr>
            <w:tcW w:type="dxa" w:w="2520"/>
            <w:vAlign w:val="center"/>
            <w:shd w:fill="F5F7FA"/>
          </w:tcPr>
          <w:p>
            <w:pPr>
              <w:spacing w:after="0"/>
            </w:pPr>
            <w:r/>
            <w:r>
              <w:rPr>
                <w:b w:val="0"/>
                <w:sz w:val="18"/>
              </w:rPr>
              <w:t>Confidence calibration</w:t>
            </w:r>
          </w:p>
        </w:tc>
        <w:tc>
          <w:tcPr>
            <w:tcW w:type="dxa" w:w="7488"/>
            <w:vAlign w:val="center"/>
            <w:shd w:fill="F5F7FA"/>
          </w:tcPr>
          <w:p>
            <w:pPr>
              <w:spacing w:after="0"/>
            </w:pPr>
            <w:r/>
            <w:r>
              <w:rPr>
                <w:b w:val="0"/>
                <w:sz w:val="18"/>
              </w:rPr>
              <w:t>Whether confidence levels correspond to observed correctness/reliability on benchmark judgments.</w:t>
            </w:r>
          </w:p>
        </w:tc>
      </w:tr>
    </w:tbl>
    <w:p>
      <w:pPr>
        <w:spacing w:after="20"/>
      </w:pPr>
    </w:p>
    <w:p>
      <w:pPr>
        <w:pStyle w:val="Heading2"/>
      </w:pPr>
      <w:r>
        <w:t>19.2 Robustness benchmark</w:t>
      </w:r>
    </w:p>
    <w:p>
      <w:r>
        <w:t>Synthetic corruption tests will remove or contradict selected metadata fields. For example, class counts can be removed, licenses can be marked unknown, and descriptions can be weakened. The system should not collapse because one metadata source is incomplete; it should lower confidence, rely on other evidence where available, and expose uncertainty.</w:t>
      </w:r>
    </w:p>
    <w:p>
      <w:pPr>
        <w:pStyle w:val="Heading2"/>
      </w:pPr>
      <w:r>
        <w:t>19.3 Avoiding fabricated result claims</w:t>
      </w:r>
    </w:p>
    <w:p>
      <w:r>
        <w:t>No performance values are assumed in advance. Any target such as a percentage gain is a research hypothesis, not a result. Final tables will be populated only after experiments are run. The project will report confidence intervals or repeated-run variability where appropriate.</w:t>
      </w:r>
    </w:p>
    <w:p>
      <w:pPr>
        <w:pStyle w:val="Heading1"/>
      </w:pPr>
      <w:r>
        <w:t>20. Baselines and Ablation Plan</w:t>
      </w:r>
    </w:p>
    <w:p>
      <w:pPr>
        <w:ind w:left="173" w:hanging="173"/>
      </w:pPr>
      <w:r>
        <w:rPr>
          <w:b/>
        </w:rPr>
        <w:t xml:space="preserve">1. </w:t>
      </w:r>
      <w:r>
        <w:t>BM25-only retrieval.</w:t>
      </w:r>
    </w:p>
    <w:p>
      <w:pPr>
        <w:ind w:left="173" w:hanging="173"/>
      </w:pPr>
      <w:r>
        <w:rPr>
          <w:b/>
        </w:rPr>
        <w:t xml:space="preserve">2. </w:t>
      </w:r>
      <w:r>
        <w:t>Dense embedding-only retrieval.</w:t>
      </w:r>
    </w:p>
    <w:p>
      <w:pPr>
        <w:ind w:left="173" w:hanging="173"/>
      </w:pPr>
      <w:r>
        <w:rPr>
          <w:b/>
        </w:rPr>
        <w:t xml:space="preserve">3. </w:t>
      </w:r>
      <w:r>
        <w:t>DataFinder-style trained bi-encoder retrieval.</w:t>
      </w:r>
    </w:p>
    <w:p>
      <w:pPr>
        <w:ind w:left="173" w:hanging="173"/>
      </w:pPr>
      <w:r>
        <w:rPr>
          <w:b/>
        </w:rPr>
        <w:t xml:space="preserve">4. </w:t>
      </w:r>
      <w:r>
        <w:t>Hybrid retrieval without evidence scoring.</w:t>
      </w:r>
    </w:p>
    <w:p>
      <w:pPr>
        <w:ind w:left="173" w:hanging="173"/>
      </w:pPr>
      <w:r>
        <w:rPr>
          <w:b/>
        </w:rPr>
        <w:t xml:space="preserve">5. </w:t>
      </w:r>
      <w:r>
        <w:t>Hybrid + metadata suitability scoring.</w:t>
      </w:r>
    </w:p>
    <w:p>
      <w:pPr>
        <w:ind w:left="173" w:hanging="173"/>
      </w:pPr>
      <w:r>
        <w:rPr>
          <w:b/>
        </w:rPr>
        <w:t xml:space="preserve">6. </w:t>
      </w:r>
      <w:r>
        <w:t>Hybrid + evidence ledger + uncertainty.</w:t>
      </w:r>
    </w:p>
    <w:p>
      <w:pPr>
        <w:ind w:left="173" w:hanging="173"/>
      </w:pPr>
      <w:r>
        <w:rPr>
          <w:b/>
        </w:rPr>
        <w:t xml:space="preserve">7. </w:t>
      </w:r>
      <w:r>
        <w:t>Hybrid + content-aware utility estimation.</w:t>
      </w:r>
    </w:p>
    <w:p>
      <w:pPr>
        <w:ind w:left="173" w:hanging="173"/>
      </w:pPr>
      <w:r>
        <w:rPr>
          <w:b/>
        </w:rPr>
        <w:t xml:space="preserve">8. </w:t>
      </w:r>
      <w:r>
        <w:t>Full system without diversification.</w:t>
      </w:r>
    </w:p>
    <w:p>
      <w:pPr>
        <w:ind w:left="173" w:hanging="173"/>
      </w:pPr>
      <w:r>
        <w:rPr>
          <w:b/>
        </w:rPr>
        <w:t xml:space="preserve">9. </w:t>
      </w:r>
      <w:r>
        <w:t>Full system with long-tail exploration and diversified reranking.</w:t>
      </w:r>
    </w:p>
    <w:p>
      <w:r>
        <w:t>This sequence isolates whether each design layer contributes independently and prevents the final system from being presented as a monolithic black box.</w:t>
      </w:r>
    </w:p>
    <w:p>
      <w:pPr>
        <w:pStyle w:val="Heading1"/>
      </w:pPr>
      <w:r>
        <w:t>21. Scope and Development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vAlign w:val="center"/>
            <w:shd w:fill="17365D"/>
          </w:tcPr>
          <w:p>
            <w:pPr>
              <w:spacing w:after="0"/>
            </w:pPr>
            <w:r/>
            <w:r>
              <w:rPr>
                <w:b/>
                <w:color w:val="FFFFFF"/>
                <w:sz w:val="18"/>
              </w:rPr>
              <w:t>Phase</w:t>
            </w:r>
          </w:p>
        </w:tc>
        <w:tc>
          <w:tcPr>
            <w:tcW w:type="dxa" w:w="6048"/>
            <w:vAlign w:val="center"/>
            <w:shd w:fill="17365D"/>
          </w:tcPr>
          <w:p>
            <w:pPr>
              <w:spacing w:after="0"/>
            </w:pPr>
            <w:r/>
            <w:r>
              <w:rPr>
                <w:b/>
                <w:color w:val="FFFFFF"/>
                <w:sz w:val="18"/>
              </w:rPr>
              <w:t>Scope</w:t>
            </w:r>
          </w:p>
        </w:tc>
        <w:tc>
          <w:tcPr>
            <w:tcW w:type="dxa" w:w="2448"/>
            <w:vAlign w:val="center"/>
            <w:shd w:fill="17365D"/>
          </w:tcPr>
          <w:p>
            <w:pPr>
              <w:spacing w:after="0"/>
            </w:pPr>
            <w:r/>
            <w:r>
              <w:rPr>
                <w:b/>
                <w:color w:val="FFFFFF"/>
                <w:sz w:val="18"/>
              </w:rPr>
              <w:t>Exit condition</w:t>
            </w:r>
          </w:p>
        </w:tc>
      </w:tr>
      <w:tr>
        <w:trPr>
          <w:cantSplit/>
        </w:trPr>
        <w:tc>
          <w:tcPr>
            <w:tcW w:type="dxa" w:w="2160"/>
            <w:vAlign w:val="center"/>
            <w:shd w:fill="F5F7FA"/>
          </w:tcPr>
          <w:p>
            <w:pPr>
              <w:spacing w:after="0"/>
            </w:pPr>
            <w:r/>
            <w:r>
              <w:rPr>
                <w:b w:val="0"/>
                <w:sz w:val="18"/>
              </w:rPr>
              <w:t>Phase A — Foundation</w:t>
            </w:r>
          </w:p>
        </w:tc>
        <w:tc>
          <w:tcPr>
            <w:tcW w:type="dxa" w:w="6048"/>
            <w:vAlign w:val="center"/>
            <w:shd w:fill="F5F7FA"/>
          </w:tcPr>
          <w:p>
            <w:pPr>
              <w:spacing w:after="0"/>
            </w:pPr>
            <w:r/>
            <w:r>
              <w:rPr>
                <w:b w:val="0"/>
                <w:sz w:val="18"/>
              </w:rPr>
              <w:t>Repository adapters, canonical schema, local metadata store, BM25 + dense retrieval.</w:t>
            </w:r>
          </w:p>
        </w:tc>
        <w:tc>
          <w:tcPr>
            <w:tcW w:type="dxa" w:w="2448"/>
            <w:vAlign w:val="center"/>
            <w:shd w:fill="F5F7FA"/>
          </w:tcPr>
          <w:p>
            <w:pPr>
              <w:spacing w:after="0"/>
            </w:pPr>
            <w:r/>
            <w:r>
              <w:rPr>
                <w:b w:val="0"/>
                <w:sz w:val="18"/>
              </w:rPr>
              <w:t>Stable candidate retrieval and reproducible corpus snapshot.</w:t>
            </w:r>
          </w:p>
        </w:tc>
      </w:tr>
      <w:tr>
        <w:trPr>
          <w:cantSplit/>
        </w:trPr>
        <w:tc>
          <w:tcPr>
            <w:tcW w:type="dxa" w:w="2160"/>
            <w:vAlign w:val="center"/>
          </w:tcPr>
          <w:p>
            <w:pPr>
              <w:spacing w:after="0"/>
            </w:pPr>
            <w:r/>
            <w:r>
              <w:rPr>
                <w:b w:val="0"/>
                <w:sz w:val="18"/>
              </w:rPr>
              <w:t>Phase B — Baseline research</w:t>
            </w:r>
          </w:p>
        </w:tc>
        <w:tc>
          <w:tcPr>
            <w:tcW w:type="dxa" w:w="6048"/>
            <w:vAlign w:val="center"/>
          </w:tcPr>
          <w:p>
            <w:pPr>
              <w:spacing w:after="0"/>
            </w:pPr>
            <w:r/>
            <w:r>
              <w:rPr>
                <w:b w:val="0"/>
                <w:sz w:val="18"/>
              </w:rPr>
              <w:t>DataFinder-style retrieval baseline, benchmark queries, P@K/R@K/NDCG/MRR.</w:t>
            </w:r>
          </w:p>
        </w:tc>
        <w:tc>
          <w:tcPr>
            <w:tcW w:type="dxa" w:w="2448"/>
            <w:vAlign w:val="center"/>
          </w:tcPr>
          <w:p>
            <w:pPr>
              <w:spacing w:after="0"/>
            </w:pPr>
            <w:r/>
            <w:r>
              <w:rPr>
                <w:b w:val="0"/>
                <w:sz w:val="18"/>
              </w:rPr>
              <w:t>Retrieval baseline results reproducible.</w:t>
            </w:r>
          </w:p>
        </w:tc>
      </w:tr>
      <w:tr>
        <w:trPr>
          <w:cantSplit/>
        </w:trPr>
        <w:tc>
          <w:tcPr>
            <w:tcW w:type="dxa" w:w="2160"/>
            <w:vAlign w:val="center"/>
            <w:shd w:fill="F5F7FA"/>
          </w:tcPr>
          <w:p>
            <w:pPr>
              <w:spacing w:after="0"/>
            </w:pPr>
            <w:r/>
            <w:r>
              <w:rPr>
                <w:b w:val="0"/>
                <w:sz w:val="18"/>
              </w:rPr>
              <w:t>Phase C — Evidence system</w:t>
            </w:r>
          </w:p>
        </w:tc>
        <w:tc>
          <w:tcPr>
            <w:tcW w:type="dxa" w:w="6048"/>
            <w:vAlign w:val="center"/>
            <w:shd w:fill="F5F7FA"/>
          </w:tcPr>
          <w:p>
            <w:pPr>
              <w:spacing w:after="0"/>
            </w:pPr>
            <w:r/>
            <w:r>
              <w:rPr>
                <w:b w:val="0"/>
                <w:sz w:val="18"/>
              </w:rPr>
              <w:t>Evidence ledger, Croissant parsing, documentation/provenance extraction, license conflict states.</w:t>
            </w:r>
          </w:p>
        </w:tc>
        <w:tc>
          <w:tcPr>
            <w:tcW w:type="dxa" w:w="2448"/>
            <w:vAlign w:val="center"/>
            <w:shd w:fill="F5F7FA"/>
          </w:tcPr>
          <w:p>
            <w:pPr>
              <w:spacing w:after="0"/>
            </w:pPr>
            <w:r/>
            <w:r>
              <w:rPr>
                <w:b w:val="0"/>
                <w:sz w:val="18"/>
              </w:rPr>
              <w:t>Every ranked candidate has auditable evidence records.</w:t>
            </w:r>
          </w:p>
        </w:tc>
      </w:tr>
      <w:tr>
        <w:trPr>
          <w:cantSplit/>
        </w:trPr>
        <w:tc>
          <w:tcPr>
            <w:tcW w:type="dxa" w:w="2160"/>
            <w:vAlign w:val="center"/>
          </w:tcPr>
          <w:p>
            <w:pPr>
              <w:spacing w:after="0"/>
            </w:pPr>
            <w:r/>
            <w:r>
              <w:rPr>
                <w:b w:val="0"/>
                <w:sz w:val="18"/>
              </w:rPr>
              <w:t>Phase D — Content-aware analysis</w:t>
            </w:r>
          </w:p>
        </w:tc>
        <w:tc>
          <w:tcPr>
            <w:tcW w:type="dxa" w:w="6048"/>
            <w:vAlign w:val="center"/>
          </w:tcPr>
          <w:p>
            <w:pPr>
              <w:spacing w:after="0"/>
            </w:pPr>
            <w:r/>
            <w:r>
              <w:rPr>
                <w:b w:val="0"/>
                <w:sz w:val="18"/>
              </w:rPr>
              <w:t>Sample acquisition, Dataset Fingerprint, modality-specific diagnostics, quality analysis.</w:t>
            </w:r>
          </w:p>
        </w:tc>
        <w:tc>
          <w:tcPr>
            <w:tcW w:type="dxa" w:w="2448"/>
            <w:vAlign w:val="center"/>
          </w:tcPr>
          <w:p>
            <w:pPr>
              <w:spacing w:after="0"/>
            </w:pPr>
            <w:r/>
            <w:r>
              <w:rPr>
                <w:b w:val="0"/>
                <w:sz w:val="18"/>
              </w:rPr>
              <w:t>Content evidence works on at least two modalities.</w:t>
            </w:r>
          </w:p>
        </w:tc>
      </w:tr>
      <w:tr>
        <w:trPr>
          <w:cantSplit/>
        </w:trPr>
        <w:tc>
          <w:tcPr>
            <w:tcW w:type="dxa" w:w="2160"/>
            <w:vAlign w:val="center"/>
            <w:shd w:fill="F5F7FA"/>
          </w:tcPr>
          <w:p>
            <w:pPr>
              <w:spacing w:after="0"/>
            </w:pPr>
            <w:r/>
            <w:r>
              <w:rPr>
                <w:b w:val="0"/>
                <w:sz w:val="18"/>
              </w:rPr>
              <w:t>Phase E — Utility + long-tail</w:t>
            </w:r>
          </w:p>
        </w:tc>
        <w:tc>
          <w:tcPr>
            <w:tcW w:type="dxa" w:w="6048"/>
            <w:vAlign w:val="center"/>
            <w:shd w:fill="F5F7FA"/>
          </w:tcPr>
          <w:p>
            <w:pPr>
              <w:spacing w:after="0"/>
            </w:pPr>
            <w:r/>
            <w:r>
              <w:rPr>
                <w:b w:val="0"/>
                <w:sz w:val="18"/>
              </w:rPr>
              <w:t>Task probes, long-tail exploration, dataset-family deduplication, diversified selection.</w:t>
            </w:r>
          </w:p>
        </w:tc>
        <w:tc>
          <w:tcPr>
            <w:tcW w:type="dxa" w:w="2448"/>
            <w:vAlign w:val="center"/>
            <w:shd w:fill="F5F7FA"/>
          </w:tcPr>
          <w:p>
            <w:pPr>
              <w:spacing w:after="0"/>
            </w:pPr>
            <w:r/>
            <w:r>
              <w:rPr>
                <w:b w:val="0"/>
                <w:sz w:val="18"/>
              </w:rPr>
              <w:t>Hidden-gem benchmark and diversity metrics can be computed.</w:t>
            </w:r>
          </w:p>
        </w:tc>
      </w:tr>
      <w:tr>
        <w:trPr>
          <w:cantSplit/>
        </w:trPr>
        <w:tc>
          <w:tcPr>
            <w:tcW w:type="dxa" w:w="2160"/>
            <w:vAlign w:val="center"/>
          </w:tcPr>
          <w:p>
            <w:pPr>
              <w:spacing w:after="0"/>
            </w:pPr>
            <w:r/>
            <w:r>
              <w:rPr>
                <w:b w:val="0"/>
                <w:sz w:val="18"/>
              </w:rPr>
              <w:t>Phase F — Full evaluation</w:t>
            </w:r>
          </w:p>
        </w:tc>
        <w:tc>
          <w:tcPr>
            <w:tcW w:type="dxa" w:w="6048"/>
            <w:vAlign w:val="center"/>
          </w:tcPr>
          <w:p>
            <w:pPr>
              <w:spacing w:after="0"/>
            </w:pPr>
            <w:r/>
            <w:r>
              <w:rPr>
                <w:b w:val="0"/>
                <w:sz w:val="18"/>
              </w:rPr>
              <w:t>Ablations, robustness, calibration, efficiency, final report.</w:t>
            </w:r>
          </w:p>
        </w:tc>
        <w:tc>
          <w:tcPr>
            <w:tcW w:type="dxa" w:w="2448"/>
            <w:vAlign w:val="center"/>
          </w:tcPr>
          <w:p>
            <w:pPr>
              <w:spacing w:after="0"/>
            </w:pPr>
            <w:r/>
            <w:r>
              <w:rPr>
                <w:b w:val="0"/>
                <w:sz w:val="18"/>
              </w:rPr>
              <w:t>All research questions answered with measured results.</w:t>
            </w:r>
          </w:p>
        </w:tc>
      </w:tr>
    </w:tbl>
    <w:p>
      <w:pPr>
        <w:spacing w:after="20"/>
      </w:pPr>
    </w:p>
    <w:p>
      <w:pPr>
        <w:pStyle w:val="Heading2"/>
      </w:pPr>
      <w:r>
        <w:t>21.1 Scope control</w:t>
      </w:r>
    </w:p>
    <w:p>
      <w:pPr>
        <w:pStyle w:val="ListBullet"/>
      </w:pPr>
      <w:r>
        <w:t>The core MVP does not require training a large language model.</w:t>
      </w:r>
    </w:p>
    <w:p>
      <w:pPr>
        <w:pStyle w:val="ListBullet"/>
      </w:pPr>
      <w:r>
        <w:t>The core MVP does not require complete downloads of every candidate dataset.</w:t>
      </w:r>
    </w:p>
    <w:p>
      <w:pPr>
        <w:pStyle w:val="ListBullet"/>
      </w:pPr>
      <w:r>
        <w:t>Bi-encoder fine-tuning is optional until baseline retrieval is established.</w:t>
      </w:r>
    </w:p>
    <w:p>
      <w:pPr>
        <w:pStyle w:val="ListBullet"/>
      </w:pPr>
      <w:r>
        <w:t>Full GIST reproduction at web-scale is not required; the project can use a bounded implementation or an efficient approximation.</w:t>
      </w:r>
    </w:p>
    <w:p>
      <w:pPr>
        <w:pStyle w:val="ListBullet"/>
      </w:pPr>
      <w:r>
        <w:t>A single modality can be used for initial content-probing validation, then extended to a second modality for research completeness.</w:t>
      </w:r>
    </w:p>
    <w:p>
      <w:pPr>
        <w:pStyle w:val="ListBullet"/>
      </w:pPr>
      <w:r>
        <w:t>The final system should prefer reproducibility and measurable gains over adding many loosely integrated features.</w:t>
      </w:r>
    </w:p>
    <w:p>
      <w:pPr>
        <w:pStyle w:val="Heading1"/>
      </w:pPr>
      <w:r>
        <w:t>22. Risks, Limitations, and Safeguards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vAlign w:val="center"/>
            <w:shd w:fill="17365D"/>
          </w:tcPr>
          <w:p>
            <w:pPr>
              <w:spacing w:after="0"/>
            </w:pPr>
            <w:r/>
            <w:r>
              <w:rPr>
                <w:b/>
                <w:color w:val="FFFFFF"/>
                <w:sz w:val="18"/>
              </w:rPr>
              <w:t>Risk</w:t>
            </w:r>
          </w:p>
        </w:tc>
        <w:tc>
          <w:tcPr>
            <w:tcW w:type="dxa" w:w="4248"/>
            <w:vAlign w:val="center"/>
            <w:shd w:fill="17365D"/>
          </w:tcPr>
          <w:p>
            <w:pPr>
              <w:spacing w:after="0"/>
            </w:pPr>
            <w:r/>
            <w:r>
              <w:rPr>
                <w:b/>
                <w:color w:val="FFFFFF"/>
                <w:sz w:val="18"/>
              </w:rPr>
              <w:t>Why it matters</w:t>
            </w:r>
          </w:p>
        </w:tc>
        <w:tc>
          <w:tcPr>
            <w:tcW w:type="dxa" w:w="4320"/>
            <w:vAlign w:val="center"/>
            <w:shd w:fill="17365D"/>
          </w:tcPr>
          <w:p>
            <w:pPr>
              <w:spacing w:after="0"/>
            </w:pPr>
            <w:r/>
            <w:r>
              <w:rPr>
                <w:b/>
                <w:color w:val="FFFFFF"/>
                <w:sz w:val="18"/>
              </w:rPr>
              <w:t>Safeguard</w:t>
            </w:r>
          </w:p>
        </w:tc>
      </w:tr>
      <w:tr>
        <w:trPr>
          <w:cantSplit/>
        </w:trPr>
        <w:tc>
          <w:tcPr>
            <w:tcW w:type="dxa" w:w="2088"/>
            <w:vAlign w:val="center"/>
            <w:shd w:fill="F5F7FA"/>
          </w:tcPr>
          <w:p>
            <w:pPr>
              <w:spacing w:after="0"/>
            </w:pPr>
            <w:r/>
            <w:r>
              <w:rPr>
                <w:b w:val="0"/>
                <w:sz w:val="18"/>
              </w:rPr>
              <w:t>Incomplete metadata</w:t>
            </w:r>
          </w:p>
        </w:tc>
        <w:tc>
          <w:tcPr>
            <w:tcW w:type="dxa" w:w="4248"/>
            <w:vAlign w:val="center"/>
            <w:shd w:fill="F5F7FA"/>
          </w:tcPr>
          <w:p>
            <w:pPr>
              <w:spacing w:after="0"/>
            </w:pPr>
            <w:r/>
            <w:r>
              <w:rPr>
                <w:b w:val="0"/>
                <w:sz w:val="18"/>
              </w:rPr>
              <w:t>Good datasets may be under-described.</w:t>
            </w:r>
          </w:p>
        </w:tc>
        <w:tc>
          <w:tcPr>
            <w:tcW w:type="dxa" w:w="4320"/>
            <w:vAlign w:val="center"/>
            <w:shd w:fill="F5F7FA"/>
          </w:tcPr>
          <w:p>
            <w:pPr>
              <w:spacing w:after="0"/>
            </w:pPr>
            <w:r/>
            <w:r>
              <w:rPr>
                <w:b w:val="0"/>
                <w:sz w:val="18"/>
              </w:rPr>
              <w:t>Use multiple evidence channels; unknown state; content sampling.</w:t>
            </w:r>
          </w:p>
        </w:tc>
      </w:tr>
      <w:tr>
        <w:trPr>
          <w:cantSplit/>
        </w:trPr>
        <w:tc>
          <w:tcPr>
            <w:tcW w:type="dxa" w:w="2088"/>
            <w:vAlign w:val="center"/>
          </w:tcPr>
          <w:p>
            <w:pPr>
              <w:spacing w:after="0"/>
            </w:pPr>
            <w:r/>
            <w:r>
              <w:rPr>
                <w:b w:val="0"/>
                <w:sz w:val="18"/>
              </w:rPr>
              <w:t>Incorrect metadata</w:t>
            </w:r>
          </w:p>
        </w:tc>
        <w:tc>
          <w:tcPr>
            <w:tcW w:type="dxa" w:w="4248"/>
            <w:vAlign w:val="center"/>
          </w:tcPr>
          <w:p>
            <w:pPr>
              <w:spacing w:after="0"/>
            </w:pPr>
            <w:r/>
            <w:r>
              <w:rPr>
                <w:b w:val="0"/>
                <w:sz w:val="18"/>
              </w:rPr>
              <w:t>Repository claims may be stale or wrong.</w:t>
            </w:r>
          </w:p>
        </w:tc>
        <w:tc>
          <w:tcPr>
            <w:tcW w:type="dxa" w:w="4320"/>
            <w:vAlign w:val="center"/>
          </w:tcPr>
          <w:p>
            <w:pPr>
              <w:spacing w:after="0"/>
            </w:pPr>
            <w:r/>
            <w:r>
              <w:rPr>
                <w:b w:val="0"/>
                <w:sz w:val="18"/>
              </w:rPr>
              <w:t>Evidence ledger, cross-source comparison, contradiction flags.</w:t>
            </w:r>
          </w:p>
        </w:tc>
      </w:tr>
      <w:tr>
        <w:trPr>
          <w:cantSplit/>
        </w:trPr>
        <w:tc>
          <w:tcPr>
            <w:tcW w:type="dxa" w:w="2088"/>
            <w:vAlign w:val="center"/>
            <w:shd w:fill="F5F7FA"/>
          </w:tcPr>
          <w:p>
            <w:pPr>
              <w:spacing w:after="0"/>
            </w:pPr>
            <w:r/>
            <w:r>
              <w:rPr>
                <w:b w:val="0"/>
                <w:sz w:val="18"/>
              </w:rPr>
              <w:t>License ambiguity</w:t>
            </w:r>
          </w:p>
        </w:tc>
        <w:tc>
          <w:tcPr>
            <w:tcW w:type="dxa" w:w="4248"/>
            <w:vAlign w:val="center"/>
            <w:shd w:fill="F5F7FA"/>
          </w:tcPr>
          <w:p>
            <w:pPr>
              <w:spacing w:after="0"/>
            </w:pPr>
            <w:r/>
            <w:r>
              <w:rPr>
                <w:b w:val="0"/>
                <w:sz w:val="18"/>
              </w:rPr>
              <w:t>Machine-readable licenses can be absent or inconsistent.</w:t>
            </w:r>
          </w:p>
        </w:tc>
        <w:tc>
          <w:tcPr>
            <w:tcW w:type="dxa" w:w="4320"/>
            <w:vAlign w:val="center"/>
            <w:shd w:fill="F5F7FA"/>
          </w:tcPr>
          <w:p>
            <w:pPr>
              <w:spacing w:after="0"/>
            </w:pPr>
            <w:r/>
            <w:r>
              <w:rPr>
                <w:b w:val="0"/>
                <w:sz w:val="18"/>
              </w:rPr>
              <w:t>Never present parsing as legal clearance; surface conflicts and source links.</w:t>
            </w:r>
          </w:p>
        </w:tc>
      </w:tr>
      <w:tr>
        <w:trPr>
          <w:cantSplit/>
        </w:trPr>
        <w:tc>
          <w:tcPr>
            <w:tcW w:type="dxa" w:w="2088"/>
            <w:vAlign w:val="center"/>
          </w:tcPr>
          <w:p>
            <w:pPr>
              <w:spacing w:after="0"/>
            </w:pPr>
            <w:r/>
            <w:r>
              <w:rPr>
                <w:b w:val="0"/>
                <w:sz w:val="18"/>
              </w:rPr>
              <w:t>Popularity bias</w:t>
            </w:r>
          </w:p>
        </w:tc>
        <w:tc>
          <w:tcPr>
            <w:tcW w:type="dxa" w:w="4248"/>
            <w:vAlign w:val="center"/>
          </w:tcPr>
          <w:p>
            <w:pPr>
              <w:spacing w:after="0"/>
            </w:pPr>
            <w:r/>
            <w:r>
              <w:rPr>
                <w:b w:val="0"/>
                <w:sz w:val="18"/>
              </w:rPr>
              <w:t>High-visibility datasets dominate retrieval.</w:t>
            </w:r>
          </w:p>
        </w:tc>
        <w:tc>
          <w:tcPr>
            <w:tcW w:type="dxa" w:w="4320"/>
            <w:vAlign w:val="center"/>
          </w:tcPr>
          <w:p>
            <w:pPr>
              <w:spacing w:after="0"/>
            </w:pPr>
            <w:r/>
            <w:r>
              <w:rPr>
                <w:b w:val="0"/>
                <w:sz w:val="18"/>
              </w:rPr>
              <w:t>Separate popularity from utility; long-tail exploration and diversity.</w:t>
            </w:r>
          </w:p>
        </w:tc>
      </w:tr>
      <w:tr>
        <w:trPr>
          <w:cantSplit/>
        </w:trPr>
        <w:tc>
          <w:tcPr>
            <w:tcW w:type="dxa" w:w="2088"/>
            <w:vAlign w:val="center"/>
            <w:shd w:fill="F5F7FA"/>
          </w:tcPr>
          <w:p>
            <w:pPr>
              <w:spacing w:after="0"/>
            </w:pPr>
            <w:r/>
            <w:r>
              <w:rPr>
                <w:b w:val="0"/>
                <w:sz w:val="18"/>
              </w:rPr>
              <w:t>Probe bias</w:t>
            </w:r>
          </w:p>
        </w:tc>
        <w:tc>
          <w:tcPr>
            <w:tcW w:type="dxa" w:w="4248"/>
            <w:vAlign w:val="center"/>
            <w:shd w:fill="F5F7FA"/>
          </w:tcPr>
          <w:p>
            <w:pPr>
              <w:spacing w:after="0"/>
            </w:pPr>
            <w:r/>
            <w:r>
              <w:rPr>
                <w:b w:val="0"/>
                <w:sz w:val="18"/>
              </w:rPr>
              <w:t>A small probe model may favor its own representation.</w:t>
            </w:r>
          </w:p>
        </w:tc>
        <w:tc>
          <w:tcPr>
            <w:tcW w:type="dxa" w:w="4320"/>
            <w:vAlign w:val="center"/>
            <w:shd w:fill="F5F7FA"/>
          </w:tcPr>
          <w:p>
            <w:pPr>
              <w:spacing w:after="0"/>
            </w:pPr>
            <w:r/>
            <w:r>
              <w:rPr>
                <w:b w:val="0"/>
                <w:sz w:val="18"/>
              </w:rPr>
              <w:t>Use multiple probe types where practical; report probe assumptions.</w:t>
            </w:r>
          </w:p>
        </w:tc>
      </w:tr>
      <w:tr>
        <w:trPr>
          <w:cantSplit/>
        </w:trPr>
        <w:tc>
          <w:tcPr>
            <w:tcW w:type="dxa" w:w="2088"/>
            <w:vAlign w:val="center"/>
          </w:tcPr>
          <w:p>
            <w:pPr>
              <w:spacing w:after="0"/>
            </w:pPr>
            <w:r/>
            <w:r>
              <w:rPr>
                <w:b w:val="0"/>
                <w:sz w:val="18"/>
              </w:rPr>
              <w:t>Sampling bias</w:t>
            </w:r>
          </w:p>
        </w:tc>
        <w:tc>
          <w:tcPr>
            <w:tcW w:type="dxa" w:w="4248"/>
            <w:vAlign w:val="center"/>
          </w:tcPr>
          <w:p>
            <w:pPr>
              <w:spacing w:after="0"/>
            </w:pPr>
            <w:r/>
            <w:r>
              <w:rPr>
                <w:b w:val="0"/>
                <w:sz w:val="18"/>
              </w:rPr>
              <w:t>A sample may not represent the entire dataset.</w:t>
            </w:r>
          </w:p>
        </w:tc>
        <w:tc>
          <w:tcPr>
            <w:tcW w:type="dxa" w:w="4320"/>
            <w:vAlign w:val="center"/>
          </w:tcPr>
          <w:p>
            <w:pPr>
              <w:spacing w:after="0"/>
            </w:pPr>
            <w:r/>
            <w:r>
              <w:rPr>
                <w:b w:val="0"/>
                <w:sz w:val="18"/>
              </w:rPr>
              <w:t>Record sample size/procedure; label conclusions as estimates.</w:t>
            </w:r>
          </w:p>
        </w:tc>
      </w:tr>
      <w:tr>
        <w:trPr>
          <w:cantSplit/>
        </w:trPr>
        <w:tc>
          <w:tcPr>
            <w:tcW w:type="dxa" w:w="2088"/>
            <w:vAlign w:val="center"/>
            <w:shd w:fill="F5F7FA"/>
          </w:tcPr>
          <w:p>
            <w:pPr>
              <w:spacing w:after="0"/>
            </w:pPr>
            <w:r/>
            <w:r>
              <w:rPr>
                <w:b w:val="0"/>
                <w:sz w:val="18"/>
              </w:rPr>
              <w:t>Compute cost</w:t>
            </w:r>
          </w:p>
        </w:tc>
        <w:tc>
          <w:tcPr>
            <w:tcW w:type="dxa" w:w="4248"/>
            <w:vAlign w:val="center"/>
            <w:shd w:fill="F5F7FA"/>
          </w:tcPr>
          <w:p>
            <w:pPr>
              <w:spacing w:after="0"/>
            </w:pPr>
            <w:r/>
            <w:r>
              <w:rPr>
                <w:b w:val="0"/>
                <w:sz w:val="18"/>
              </w:rPr>
              <w:t>Content analysis can become expensive.</w:t>
            </w:r>
          </w:p>
        </w:tc>
        <w:tc>
          <w:tcPr>
            <w:tcW w:type="dxa" w:w="4320"/>
            <w:vAlign w:val="center"/>
            <w:shd w:fill="F5F7FA"/>
          </w:tcPr>
          <w:p>
            <w:pPr>
              <w:spacing w:after="0"/>
            </w:pPr>
            <w:r/>
            <w:r>
              <w:rPr>
                <w:b w:val="0"/>
                <w:sz w:val="18"/>
              </w:rPr>
              <w:t>Adaptive sampling, caching, bounded candidate pools, CPU-friendly models.</w:t>
            </w:r>
          </w:p>
        </w:tc>
      </w:tr>
      <w:tr>
        <w:trPr>
          <w:cantSplit/>
        </w:trPr>
        <w:tc>
          <w:tcPr>
            <w:tcW w:type="dxa" w:w="2088"/>
            <w:vAlign w:val="center"/>
          </w:tcPr>
          <w:p>
            <w:pPr>
              <w:spacing w:after="0"/>
            </w:pPr>
            <w:r/>
            <w:r>
              <w:rPr>
                <w:b w:val="0"/>
                <w:sz w:val="18"/>
              </w:rPr>
              <w:t>Dataset lineage duplication</w:t>
            </w:r>
          </w:p>
        </w:tc>
        <w:tc>
          <w:tcPr>
            <w:tcW w:type="dxa" w:w="4248"/>
            <w:vAlign w:val="center"/>
          </w:tcPr>
          <w:p>
            <w:pPr>
              <w:spacing w:after="0"/>
            </w:pPr>
            <w:r/>
            <w:r>
              <w:rPr>
                <w:b w:val="0"/>
                <w:sz w:val="18"/>
              </w:rPr>
              <w:t>Mirrors and derived datasets may occupy multiple slots.</w:t>
            </w:r>
          </w:p>
        </w:tc>
        <w:tc>
          <w:tcPr>
            <w:tcW w:type="dxa" w:w="4320"/>
            <w:vAlign w:val="center"/>
          </w:tcPr>
          <w:p>
            <w:pPr>
              <w:spacing w:after="0"/>
            </w:pPr>
            <w:r/>
            <w:r>
              <w:rPr>
                <w:b w:val="0"/>
                <w:sz w:val="18"/>
              </w:rPr>
              <w:t>Canonical IDs and lineage/family clustering.</w:t>
            </w:r>
          </w:p>
        </w:tc>
      </w:tr>
      <w:tr>
        <w:trPr>
          <w:cantSplit/>
        </w:trPr>
        <w:tc>
          <w:tcPr>
            <w:tcW w:type="dxa" w:w="2088"/>
            <w:vAlign w:val="center"/>
            <w:shd w:fill="F5F7FA"/>
          </w:tcPr>
          <w:p>
            <w:pPr>
              <w:spacing w:after="0"/>
            </w:pPr>
            <w:r/>
            <w:r>
              <w:rPr>
                <w:b w:val="0"/>
                <w:sz w:val="18"/>
              </w:rPr>
              <w:t>Overclaiming</w:t>
            </w:r>
          </w:p>
        </w:tc>
        <w:tc>
          <w:tcPr>
            <w:tcW w:type="dxa" w:w="4248"/>
            <w:vAlign w:val="center"/>
            <w:shd w:fill="F5F7FA"/>
          </w:tcPr>
          <w:p>
            <w:pPr>
              <w:spacing w:after="0"/>
            </w:pPr>
            <w:r/>
            <w:r>
              <w:rPr>
                <w:b w:val="0"/>
                <w:sz w:val="18"/>
              </w:rPr>
              <w:t>A score can appear more certain than the evidence allows.</w:t>
            </w:r>
          </w:p>
        </w:tc>
        <w:tc>
          <w:tcPr>
            <w:tcW w:type="dxa" w:w="4320"/>
            <w:vAlign w:val="center"/>
            <w:shd w:fill="F5F7FA"/>
          </w:tcPr>
          <w:p>
            <w:pPr>
              <w:spacing w:after="0"/>
            </w:pPr>
            <w:r/>
            <w:r>
              <w:rPr>
                <w:b w:val="0"/>
                <w:sz w:val="18"/>
              </w:rPr>
              <w:t>Confidence, evidence coverage, explicit unknowns, and cautious explanation templates.</w:t>
            </w:r>
          </w:p>
        </w:tc>
      </w:tr>
    </w:tbl>
    <w:p>
      <w:pPr>
        <w:spacing w:after="20"/>
      </w:pPr>
    </w:p>
    <w:p>
      <w:pPr>
        <w:pStyle w:val="Heading1"/>
      </w:pPr>
      <w:r>
        <w:t>23. Expected Project Contribution</w:t>
      </w:r>
    </w:p>
    <w:p>
      <w:r>
        <w:t>The project contribution is not a new language model or a generic RAG interface. It is an integrated methodology for moving from dataset retrieval toward evidence-driven dataset selection.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vAlign w:val="center"/>
            <w:shd w:fill="17365D"/>
          </w:tcPr>
          <w:p>
            <w:pPr>
              <w:spacing w:after="0"/>
            </w:pPr>
            <w:r/>
            <w:r>
              <w:rPr>
                <w:b/>
                <w:color w:val="FFFFFF"/>
                <w:sz w:val="18"/>
              </w:rPr>
              <w:t>Contribution</w:t>
            </w:r>
          </w:p>
        </w:tc>
        <w:tc>
          <w:tcPr>
            <w:tcW w:type="dxa" w:w="7776"/>
            <w:vAlign w:val="center"/>
            <w:shd w:fill="17365D"/>
          </w:tcPr>
          <w:p>
            <w:pPr>
              <w:spacing w:after="0"/>
            </w:pPr>
            <w:r/>
            <w:r>
              <w:rPr>
                <w:b/>
                <w:color w:val="FFFFFF"/>
                <w:sz w:val="18"/>
              </w:rPr>
              <w:t>Description</w:t>
            </w:r>
          </w:p>
        </w:tc>
      </w:tr>
      <w:tr>
        <w:trPr>
          <w:cantSplit/>
        </w:trPr>
        <w:tc>
          <w:tcPr>
            <w:tcW w:type="dxa" w:w="2880"/>
            <w:vAlign w:val="center"/>
            <w:shd w:fill="F5F7FA"/>
          </w:tcPr>
          <w:p>
            <w:pPr>
              <w:spacing w:after="0"/>
            </w:pPr>
            <w:r/>
            <w:r>
              <w:rPr>
                <w:b w:val="0"/>
                <w:sz w:val="18"/>
              </w:rPr>
              <w:t>Evidence-driven dataset recommendation</w:t>
            </w:r>
          </w:p>
        </w:tc>
        <w:tc>
          <w:tcPr>
            <w:tcW w:type="dxa" w:w="7776"/>
            <w:vAlign w:val="center"/>
            <w:shd w:fill="F5F7FA"/>
          </w:tcPr>
          <w:p>
            <w:pPr>
              <w:spacing w:after="0"/>
            </w:pPr>
            <w:r/>
            <w:r>
              <w:rPr>
                <w:b w:val="0"/>
                <w:sz w:val="18"/>
              </w:rPr>
              <w:t>Combines repository evidence, provenance, documentation, and measured sample evidence in one ranking pipeline.</w:t>
            </w:r>
          </w:p>
        </w:tc>
      </w:tr>
      <w:tr>
        <w:trPr>
          <w:cantSplit/>
        </w:trPr>
        <w:tc>
          <w:tcPr>
            <w:tcW w:type="dxa" w:w="2880"/>
            <w:vAlign w:val="center"/>
          </w:tcPr>
          <w:p>
            <w:pPr>
              <w:spacing w:after="0"/>
            </w:pPr>
            <w:r/>
            <w:r>
              <w:rPr>
                <w:b w:val="0"/>
                <w:sz w:val="18"/>
              </w:rPr>
              <w:t>Content-aware suitability estimation</w:t>
            </w:r>
          </w:p>
        </w:tc>
        <w:tc>
          <w:tcPr>
            <w:tcW w:type="dxa" w:w="7776"/>
            <w:vAlign w:val="center"/>
          </w:tcPr>
          <w:p>
            <w:pPr>
              <w:spacing w:after="0"/>
            </w:pPr>
            <w:r/>
            <w:r>
              <w:rPr>
                <w:b w:val="0"/>
                <w:sz w:val="18"/>
              </w:rPr>
              <w:t>Uses lightweight task probes and dataset fingerprints to supplement metadata-based relevance.</w:t>
            </w:r>
          </w:p>
        </w:tc>
      </w:tr>
      <w:tr>
        <w:trPr>
          <w:cantSplit/>
        </w:trPr>
        <w:tc>
          <w:tcPr>
            <w:tcW w:type="dxa" w:w="2880"/>
            <w:vAlign w:val="center"/>
            <w:shd w:fill="F5F7FA"/>
          </w:tcPr>
          <w:p>
            <w:pPr>
              <w:spacing w:after="0"/>
            </w:pPr>
            <w:r/>
            <w:r>
              <w:rPr>
                <w:b w:val="0"/>
                <w:sz w:val="18"/>
              </w:rPr>
              <w:t>Popularity-neutral discovery</w:t>
            </w:r>
          </w:p>
        </w:tc>
        <w:tc>
          <w:tcPr>
            <w:tcW w:type="dxa" w:w="7776"/>
            <w:vAlign w:val="center"/>
            <w:shd w:fill="F5F7FA"/>
          </w:tcPr>
          <w:p>
            <w:pPr>
              <w:spacing w:after="0"/>
            </w:pPr>
            <w:r/>
            <w:r>
              <w:rPr>
                <w:b w:val="0"/>
                <w:sz w:val="18"/>
              </w:rPr>
              <w:t>Treats popularity as contextual evidence and explicitly searches for useful lesser-known datasets.</w:t>
            </w:r>
          </w:p>
        </w:tc>
      </w:tr>
      <w:tr>
        <w:trPr>
          <w:cantSplit/>
        </w:trPr>
        <w:tc>
          <w:tcPr>
            <w:tcW w:type="dxa" w:w="2880"/>
            <w:vAlign w:val="center"/>
          </w:tcPr>
          <w:p>
            <w:pPr>
              <w:spacing w:after="0"/>
            </w:pPr>
            <w:r/>
            <w:r>
              <w:rPr>
                <w:b w:val="0"/>
                <w:sz w:val="18"/>
              </w:rPr>
              <w:t>Uncertainty-aware ranking</w:t>
            </w:r>
          </w:p>
        </w:tc>
        <w:tc>
          <w:tcPr>
            <w:tcW w:type="dxa" w:w="7776"/>
            <w:vAlign w:val="center"/>
          </w:tcPr>
          <w:p>
            <w:pPr>
              <w:spacing w:after="0"/>
            </w:pPr>
            <w:r/>
            <w:r>
              <w:rPr>
                <w:b w:val="0"/>
                <w:sz w:val="18"/>
              </w:rPr>
              <w:t>Represents unknown, conflicting, measured, and corroborated evidence states rather than forcing every field into a score.</w:t>
            </w:r>
          </w:p>
        </w:tc>
      </w:tr>
      <w:tr>
        <w:trPr>
          <w:cantSplit/>
        </w:trPr>
        <w:tc>
          <w:tcPr>
            <w:tcW w:type="dxa" w:w="2880"/>
            <w:vAlign w:val="center"/>
            <w:shd w:fill="F5F7FA"/>
          </w:tcPr>
          <w:p>
            <w:pPr>
              <w:spacing w:after="0"/>
            </w:pPr>
            <w:r/>
            <w:r>
              <w:rPr>
                <w:b w:val="0"/>
                <w:sz w:val="18"/>
              </w:rPr>
              <w:t>Diversified recommendations</w:t>
            </w:r>
          </w:p>
        </w:tc>
        <w:tc>
          <w:tcPr>
            <w:tcW w:type="dxa" w:w="7776"/>
            <w:vAlign w:val="center"/>
            <w:shd w:fill="F5F7FA"/>
          </w:tcPr>
          <w:p>
            <w:pPr>
              <w:spacing w:after="0"/>
            </w:pPr>
            <w:r/>
            <w:r>
              <w:rPr>
                <w:b w:val="0"/>
                <w:sz w:val="18"/>
              </w:rPr>
              <w:t>Optimizes the final recommendation set for usefulness and non-redundancy rather than five versions of the same popular dataset.</w:t>
            </w:r>
          </w:p>
        </w:tc>
      </w:tr>
      <w:tr>
        <w:trPr>
          <w:cantSplit/>
        </w:trPr>
        <w:tc>
          <w:tcPr>
            <w:tcW w:type="dxa" w:w="2880"/>
            <w:vAlign w:val="center"/>
          </w:tcPr>
          <w:p>
            <w:pPr>
              <w:spacing w:after="0"/>
            </w:pPr>
            <w:r/>
            <w:r>
              <w:rPr>
                <w:b w:val="0"/>
                <w:sz w:val="18"/>
              </w:rPr>
              <w:t>Reproducible local implementation</w:t>
            </w:r>
          </w:p>
        </w:tc>
        <w:tc>
          <w:tcPr>
            <w:tcW w:type="dxa" w:w="7776"/>
            <w:vAlign w:val="center"/>
          </w:tcPr>
          <w:p>
            <w:pPr>
              <w:spacing w:after="0"/>
            </w:pPr>
            <w:r/>
            <w:r>
              <w:rPr>
                <w:b w:val="0"/>
                <w:sz w:val="18"/>
              </w:rPr>
              <w:t>Builds the system from local, open-source, cacheable components appropriate for ordinary personal computers.</w:t>
            </w:r>
          </w:p>
        </w:tc>
      </w:tr>
      <w:tr>
        <w:trPr>
          <w:cantSplit/>
        </w:trPr>
        <w:tc>
          <w:tcPr>
            <w:tcW w:type="dxa" w:w="2880"/>
            <w:vAlign w:val="center"/>
            <w:shd w:fill="F5F7FA"/>
          </w:tcPr>
          <w:p>
            <w:pPr>
              <w:spacing w:after="0"/>
            </w:pPr>
            <w:r/>
            <w:r>
              <w:rPr>
                <w:b w:val="0"/>
                <w:sz w:val="18"/>
              </w:rPr>
              <w:t>Benchmark and ablation methodology</w:t>
            </w:r>
          </w:p>
        </w:tc>
        <w:tc>
          <w:tcPr>
            <w:tcW w:type="dxa" w:w="7776"/>
            <w:vAlign w:val="center"/>
            <w:shd w:fill="F5F7FA"/>
          </w:tcPr>
          <w:p>
            <w:pPr>
              <w:spacing w:after="0"/>
            </w:pPr>
            <w:r/>
            <w:r>
              <w:rPr>
                <w:b w:val="0"/>
                <w:sz w:val="18"/>
              </w:rPr>
              <w:t>Measures retrieval, utility, long-tail discovery, robustness, diversity, evidence quality, and computational cost separately.</w:t>
            </w:r>
          </w:p>
        </w:tc>
      </w:tr>
    </w:tbl>
    <w:p>
      <w:pPr>
        <w:spacing w:after="20"/>
      </w:pPr>
    </w:p>
    <w:p>
      <w:pPr>
        <w:pStyle w:val="Heading1"/>
      </w:pPr>
      <w:r>
        <w:t>24. Expected User-Facing Result</w:t>
      </w:r>
    </w:p>
    <w:p>
      <w:r>
        <w:t>For a query such as “I want to build a CNN model for classifying plant diseases from leaf images; I need a multi-class dataset,” the system should return a recommendation set with different roles: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vAlign w:val="center"/>
            <w:shd w:fill="17365D"/>
          </w:tcPr>
          <w:p>
            <w:pPr>
              <w:spacing w:after="0"/>
            </w:pPr>
            <w:r/>
            <w:r>
              <w:rPr>
                <w:b/>
                <w:color w:val="FFFFFF"/>
                <w:sz w:val="18"/>
              </w:rPr>
              <w:t>Recommendation role</w:t>
            </w:r>
          </w:p>
        </w:tc>
        <w:tc>
          <w:tcPr>
            <w:tcW w:type="dxa" w:w="7776"/>
            <w:vAlign w:val="center"/>
            <w:shd w:fill="17365D"/>
          </w:tcPr>
          <w:p>
            <w:pPr>
              <w:spacing w:after="0"/>
            </w:pPr>
            <w:r/>
            <w:r>
              <w:rPr>
                <w:b/>
                <w:color w:val="FFFFFF"/>
                <w:sz w:val="18"/>
              </w:rPr>
              <w:t>Purpose</w:t>
            </w:r>
          </w:p>
        </w:tc>
      </w:tr>
      <w:tr>
        <w:trPr>
          <w:cantSplit/>
        </w:trPr>
        <w:tc>
          <w:tcPr>
            <w:tcW w:type="dxa" w:w="2880"/>
            <w:vAlign w:val="center"/>
            <w:shd w:fill="F5F7FA"/>
          </w:tcPr>
          <w:p>
            <w:pPr>
              <w:spacing w:after="0"/>
            </w:pPr>
            <w:r/>
            <w:r>
              <w:rPr>
                <w:b w:val="0"/>
                <w:sz w:val="18"/>
              </w:rPr>
              <w:t>Best overall</w:t>
            </w:r>
          </w:p>
        </w:tc>
        <w:tc>
          <w:tcPr>
            <w:tcW w:type="dxa" w:w="7776"/>
            <w:vAlign w:val="center"/>
            <w:shd w:fill="F5F7FA"/>
          </w:tcPr>
          <w:p>
            <w:pPr>
              <w:spacing w:after="0"/>
            </w:pPr>
            <w:r/>
            <w:r>
              <w:rPr>
                <w:b w:val="0"/>
                <w:sz w:val="18"/>
              </w:rPr>
              <w:t>Highest evidence-backed task utility under explicit constraints.</w:t>
            </w:r>
          </w:p>
        </w:tc>
      </w:tr>
      <w:tr>
        <w:trPr>
          <w:cantSplit/>
        </w:trPr>
        <w:tc>
          <w:tcPr>
            <w:tcW w:type="dxa" w:w="2880"/>
            <w:vAlign w:val="center"/>
          </w:tcPr>
          <w:p>
            <w:pPr>
              <w:spacing w:after="0"/>
            </w:pPr>
            <w:r/>
            <w:r>
              <w:rPr>
                <w:b w:val="0"/>
                <w:sz w:val="18"/>
              </w:rPr>
              <w:t>Best data-quality profile</w:t>
            </w:r>
          </w:p>
        </w:tc>
        <w:tc>
          <w:tcPr>
            <w:tcW w:type="dxa" w:w="7776"/>
            <w:vAlign w:val="center"/>
          </w:tcPr>
          <w:p>
            <w:pPr>
              <w:spacing w:after="0"/>
            </w:pPr>
            <w:r/>
            <w:r>
              <w:rPr>
                <w:b w:val="0"/>
                <w:sz w:val="18"/>
              </w:rPr>
              <w:t>Strongest measured sample-quality and structural evidence.</w:t>
            </w:r>
          </w:p>
        </w:tc>
      </w:tr>
      <w:tr>
        <w:trPr>
          <w:cantSplit/>
        </w:trPr>
        <w:tc>
          <w:tcPr>
            <w:tcW w:type="dxa" w:w="2880"/>
            <w:vAlign w:val="center"/>
            <w:shd w:fill="F5F7FA"/>
          </w:tcPr>
          <w:p>
            <w:pPr>
              <w:spacing w:after="0"/>
            </w:pPr>
            <w:r/>
            <w:r>
              <w:rPr>
                <w:b w:val="0"/>
                <w:sz w:val="18"/>
              </w:rPr>
              <w:t>Best efficient option</w:t>
            </w:r>
          </w:p>
        </w:tc>
        <w:tc>
          <w:tcPr>
            <w:tcW w:type="dxa" w:w="7776"/>
            <w:vAlign w:val="center"/>
            <w:shd w:fill="F5F7FA"/>
          </w:tcPr>
          <w:p>
            <w:pPr>
              <w:spacing w:after="0"/>
            </w:pPr>
            <w:r/>
            <w:r>
              <w:rPr>
                <w:b w:val="0"/>
                <w:sz w:val="18"/>
              </w:rPr>
              <w:t>Smaller or computationally convenient dataset with strong task fit.</w:t>
            </w:r>
          </w:p>
        </w:tc>
      </w:tr>
      <w:tr>
        <w:trPr>
          <w:cantSplit/>
        </w:trPr>
        <w:tc>
          <w:tcPr>
            <w:tcW w:type="dxa" w:w="2880"/>
            <w:vAlign w:val="center"/>
          </w:tcPr>
          <w:p>
            <w:pPr>
              <w:spacing w:after="0"/>
            </w:pPr>
            <w:r/>
            <w:r>
              <w:rPr>
                <w:b w:val="0"/>
                <w:sz w:val="18"/>
              </w:rPr>
              <w:t>Hidden-gem option</w:t>
            </w:r>
          </w:p>
        </w:tc>
        <w:tc>
          <w:tcPr>
            <w:tcW w:type="dxa" w:w="7776"/>
            <w:vAlign w:val="center"/>
          </w:tcPr>
          <w:p>
            <w:pPr>
              <w:spacing w:after="0"/>
            </w:pPr>
            <w:r/>
            <w:r>
              <w:rPr>
                <w:b w:val="0"/>
                <w:sz w:val="18"/>
              </w:rPr>
              <w:t>Less popular but well-supported dataset that adds genuine value.</w:t>
            </w:r>
          </w:p>
        </w:tc>
      </w:tr>
      <w:tr>
        <w:trPr>
          <w:cantSplit/>
        </w:trPr>
        <w:tc>
          <w:tcPr>
            <w:tcW w:type="dxa" w:w="2880"/>
            <w:vAlign w:val="center"/>
            <w:shd w:fill="F5F7FA"/>
          </w:tcPr>
          <w:p>
            <w:pPr>
              <w:spacing w:after="0"/>
            </w:pPr>
            <w:r/>
            <w:r>
              <w:rPr>
                <w:b w:val="0"/>
                <w:sz w:val="18"/>
              </w:rPr>
              <w:t>Best alternative</w:t>
            </w:r>
          </w:p>
        </w:tc>
        <w:tc>
          <w:tcPr>
            <w:tcW w:type="dxa" w:w="7776"/>
            <w:vAlign w:val="center"/>
            <w:shd w:fill="F5F7FA"/>
          </w:tcPr>
          <w:p>
            <w:pPr>
              <w:spacing w:after="0"/>
            </w:pPr>
            <w:r/>
            <w:r>
              <w:rPr>
                <w:b w:val="0"/>
                <w:sz w:val="18"/>
              </w:rPr>
              <w:t>A distinct dataset family with a different trade-off or coverage profile.</w:t>
            </w:r>
          </w:p>
        </w:tc>
      </w:tr>
    </w:tbl>
    <w:p>
      <w:pPr>
        <w:spacing w:after="20"/>
      </w:pPr>
    </w:p>
    <w:p>
      <w:r>
        <w:t>Every recommendation should include source links, evidence strength, main reasons, limitations, and the specific factors that caused it to outrank or differ from nearby alternatives.</w:t>
      </w:r>
    </w:p>
    <w:p>
      <w:pPr>
        <w:pStyle w:val="Heading1"/>
      </w:pPr>
      <w:r>
        <w:t>25. References and Research Sources</w:t>
      </w:r>
    </w:p>
    <w:p>
      <w:pPr>
        <w:ind w:left="216" w:hanging="216"/>
      </w:pPr>
      <w:r>
        <w:t>[1] Lin et al., “DataFinder: Scientific Dataset Recommendation from Natural Language,” WSDM 2023. arXiv: https://arxiv.org/abs/2305.16636 . Official implementation: https://github.com/viswavi/datafinder .</w:t>
      </w:r>
    </w:p>
    <w:p>
      <w:pPr>
        <w:ind w:left="216" w:hanging="216"/>
      </w:pPr>
      <w:r>
        <w:t>[2] Mazumder et al., “DataPerf: Benchmarks for Data-Centric AI Development,” arXiv 2022 / NeurIPS-era DataPerf work. https://arxiv.org/abs/2207.10062 . Official repository: https://github.com/mlcommons/dataperf .</w:t>
      </w:r>
    </w:p>
    <w:p>
      <w:pPr>
        <w:ind w:left="216" w:hanging="216"/>
      </w:pPr>
      <w:r>
        <w:t>[3] Northcutt et al., “Confident Learning: Estimating Uncertainty in Dataset Labels,” NeurIPS 2021; Cleanlab implementation and documentation: https://github.com/cleanlab/cleanlab and https://docs.cleanlab.ai/ .</w:t>
      </w:r>
    </w:p>
    <w:p>
      <w:pPr>
        <w:ind w:left="216" w:hanging="216"/>
      </w:pPr>
      <w:r>
        <w:t>[4] MLCommons, Croissant Dataset Metadata Format Specification; Croissant 1.1 materials and provenance extensions. https://docs.mlcommons.org/croissant/ and https://mlcommons.org/2026/02/croissant-1-1-standard/ .</w:t>
      </w:r>
    </w:p>
    <w:p>
      <w:pPr>
        <w:ind w:left="216" w:hanging="216"/>
      </w:pPr>
      <w:r>
        <w:t>[5] Zadimoghaddam et al., “GIST: Greedy Independent Set Thresholding for Max-Min Diversification with Submodular Utility,” arXiv:2405.18754 / NeurIPS 2025. https://arxiv.org/abs/2405.18754 .</w:t>
      </w:r>
    </w:p>
    <w:p>
      <w:pPr>
        <w:ind w:left="216" w:hanging="216"/>
      </w:pPr>
      <w:r>
        <w:t>[6] Google Research, “Introducing GIST: The Next Stage in Smart Sampling.” https://research.google/blog/introducing-gist-the-next-stage-in-smart-sampling/ .</w:t>
      </w:r>
    </w:p>
    <w:p>
      <w:pPr>
        <w:ind w:left="216" w:hanging="216"/>
      </w:pPr>
      <w:r>
        <w:t>[7] Data Provenance Initiative / public reporting on dataset licensing and provenance quality, including the audit of widely used public ML datasets. The project uses this evidence to justify verification and uncertainty rather than assuming repository license fields are ground truth.</w:t>
      </w:r>
    </w:p>
    <w:p>
      <w:pPr>
        <w:ind w:left="216" w:hanging="216"/>
      </w:pPr>
      <w:r>
        <w:t>[8] Google Dataset Search research and dataset discovery work, used as contextual background for large-scale dataset discovery and heterogeneous source indexing.</w:t>
      </w:r>
    </w:p>
    <w:p>
      <w:pPr>
        <w:ind w:left="216" w:hanging="216"/>
      </w:pPr>
      <w:r>
        <w:t>[9] Hugging Face Hub dataset documentation / Dataset Cards and dataset viewer documentation, used as practical evidence-source patterns for dataset context and sample inspection.</w:t>
      </w:r>
    </w:p>
    <w:p>
      <w:r>
        <w:br w:type="page"/>
      </w:r>
    </w:p>
    <w:p>
      <w:pPr>
        <w:pStyle w:val="Heading1"/>
      </w:pPr>
      <w:r>
        <w:t>Appendix A. Practical Repository Structure</w:t>
      </w:r>
    </w:p>
    <w:p>
      <w:pPr>
        <w:spacing w:after="0"/>
        <w:ind w:left="259"/>
      </w:pPr>
      <w:r>
        <w:rPr>
          <w:rFonts w:ascii="Consolas" w:hAnsi="Consolas"/>
          <w:sz w:val="16"/>
        </w:rPr>
        <w:t>capstone-dataset-intelligence/</w:t>
      </w:r>
    </w:p>
    <w:p>
      <w:pPr>
        <w:spacing w:after="0"/>
        <w:ind w:left="259"/>
      </w:pPr>
      <w:r>
        <w:rPr>
          <w:rFonts w:ascii="Consolas" w:hAnsi="Consolas"/>
          <w:sz w:val="16"/>
        </w:rPr>
        <w:t>├── data/</w:t>
      </w:r>
    </w:p>
    <w:p>
      <w:pPr>
        <w:spacing w:after="0"/>
        <w:ind w:left="259"/>
      </w:pPr>
      <w:r>
        <w:rPr>
          <w:rFonts w:ascii="Consolas" w:hAnsi="Consolas"/>
          <w:sz w:val="16"/>
        </w:rPr>
        <w:t>│   ├── raw/                 # source snapshots where permitted</w:t>
      </w:r>
    </w:p>
    <w:p>
      <w:pPr>
        <w:spacing w:after="0"/>
        <w:ind w:left="259"/>
      </w:pPr>
      <w:r>
        <w:rPr>
          <w:rFonts w:ascii="Consolas" w:hAnsi="Consolas"/>
          <w:sz w:val="16"/>
        </w:rPr>
        <w:t>│   ├── normalized/          # canonical dataset records</w:t>
      </w:r>
    </w:p>
    <w:p>
      <w:pPr>
        <w:spacing w:after="0"/>
        <w:ind w:left="259"/>
      </w:pPr>
      <w:r>
        <w:rPr>
          <w:rFonts w:ascii="Consolas" w:hAnsi="Consolas"/>
          <w:sz w:val="16"/>
        </w:rPr>
        <w:t>│   ├── evidence/            # evidence ledger records</w:t>
      </w:r>
    </w:p>
    <w:p>
      <w:pPr>
        <w:spacing w:after="0"/>
        <w:ind w:left="259"/>
      </w:pPr>
      <w:r>
        <w:rPr>
          <w:rFonts w:ascii="Consolas" w:hAnsi="Consolas"/>
          <w:sz w:val="16"/>
        </w:rPr>
        <w:t>│   ├── fingerprints/        # cached sample-level features</w:t>
      </w:r>
    </w:p>
    <w:p>
      <w:pPr>
        <w:spacing w:after="0"/>
        <w:ind w:left="259"/>
      </w:pPr>
      <w:r>
        <w:rPr>
          <w:rFonts w:ascii="Consolas" w:hAnsi="Consolas"/>
          <w:sz w:val="16"/>
        </w:rPr>
        <w:t>│   └── benchmarks/          # queries + relevance judgments</w:t>
      </w:r>
    </w:p>
    <w:p>
      <w:pPr>
        <w:spacing w:after="0"/>
        <w:ind w:left="259"/>
      </w:pPr>
      <w:r>
        <w:rPr>
          <w:rFonts w:ascii="Consolas" w:hAnsi="Consolas"/>
          <w:sz w:val="16"/>
        </w:rPr>
        <w:t>├── indexes/</w:t>
      </w:r>
    </w:p>
    <w:p>
      <w:pPr>
        <w:spacing w:after="0"/>
        <w:ind w:left="259"/>
      </w:pPr>
      <w:r>
        <w:rPr>
          <w:rFonts w:ascii="Consolas" w:hAnsi="Consolas"/>
          <w:sz w:val="16"/>
        </w:rPr>
        <w:t>│   ├── bm25/</w:t>
      </w:r>
    </w:p>
    <w:p>
      <w:pPr>
        <w:spacing w:after="0"/>
        <w:ind w:left="259"/>
      </w:pPr>
      <w:r>
        <w:rPr>
          <w:rFonts w:ascii="Consolas" w:hAnsi="Consolas"/>
          <w:sz w:val="16"/>
        </w:rPr>
        <w:t>│   └── dense/</w:t>
      </w:r>
    </w:p>
    <w:p>
      <w:pPr>
        <w:spacing w:after="0"/>
        <w:ind w:left="259"/>
      </w:pPr>
      <w:r>
        <w:rPr>
          <w:rFonts w:ascii="Consolas" w:hAnsi="Consolas"/>
          <w:sz w:val="16"/>
        </w:rPr>
        <w:t>├── src/</w:t>
      </w:r>
    </w:p>
    <w:p>
      <w:pPr>
        <w:spacing w:after="0"/>
        <w:ind w:left="259"/>
      </w:pPr>
      <w:r>
        <w:rPr>
          <w:rFonts w:ascii="Consolas" w:hAnsi="Consolas"/>
          <w:sz w:val="16"/>
        </w:rPr>
        <w:t>│   ├── ingestion/</w:t>
      </w:r>
    </w:p>
    <w:p>
      <w:pPr>
        <w:spacing w:after="0"/>
        <w:ind w:left="259"/>
      </w:pPr>
      <w:r>
        <w:rPr>
          <w:rFonts w:ascii="Consolas" w:hAnsi="Consolas"/>
          <w:sz w:val="16"/>
        </w:rPr>
        <w:t>│   ├── normalization/</w:t>
      </w:r>
    </w:p>
    <w:p>
      <w:pPr>
        <w:spacing w:after="0"/>
        <w:ind w:left="259"/>
      </w:pPr>
      <w:r>
        <w:rPr>
          <w:rFonts w:ascii="Consolas" w:hAnsi="Consolas"/>
          <w:sz w:val="16"/>
        </w:rPr>
        <w:t>│   ├── retrieval/</w:t>
      </w:r>
    </w:p>
    <w:p>
      <w:pPr>
        <w:spacing w:after="0"/>
        <w:ind w:left="259"/>
      </w:pPr>
      <w:r>
        <w:rPr>
          <w:rFonts w:ascii="Consolas" w:hAnsi="Consolas"/>
          <w:sz w:val="16"/>
        </w:rPr>
        <w:t>│   ├── evidence/</w:t>
      </w:r>
    </w:p>
    <w:p>
      <w:pPr>
        <w:spacing w:after="0"/>
        <w:ind w:left="259"/>
      </w:pPr>
      <w:r>
        <w:rPr>
          <w:rFonts w:ascii="Consolas" w:hAnsi="Consolas"/>
          <w:sz w:val="16"/>
        </w:rPr>
        <w:t>│   ├── probing/</w:t>
      </w:r>
    </w:p>
    <w:p>
      <w:pPr>
        <w:spacing w:after="0"/>
        <w:ind w:left="259"/>
      </w:pPr>
      <w:r>
        <w:rPr>
          <w:rFonts w:ascii="Consolas" w:hAnsi="Consolas"/>
          <w:sz w:val="16"/>
        </w:rPr>
        <w:t>│   ├── ranking/</w:t>
      </w:r>
    </w:p>
    <w:p>
      <w:pPr>
        <w:spacing w:after="0"/>
        <w:ind w:left="259"/>
      </w:pPr>
      <w:r>
        <w:rPr>
          <w:rFonts w:ascii="Consolas" w:hAnsi="Consolas"/>
          <w:sz w:val="16"/>
        </w:rPr>
        <w:t>│   ├── diversification/</w:t>
      </w:r>
    </w:p>
    <w:p>
      <w:pPr>
        <w:spacing w:after="0"/>
        <w:ind w:left="259"/>
      </w:pPr>
      <w:r>
        <w:rPr>
          <w:rFonts w:ascii="Consolas" w:hAnsi="Consolas"/>
          <w:sz w:val="16"/>
        </w:rPr>
        <w:t>│   └── reporting/</w:t>
      </w:r>
    </w:p>
    <w:p>
      <w:pPr>
        <w:spacing w:after="0"/>
        <w:ind w:left="259"/>
      </w:pPr>
      <w:r>
        <w:rPr>
          <w:rFonts w:ascii="Consolas" w:hAnsi="Consolas"/>
          <w:sz w:val="16"/>
        </w:rPr>
        <w:t>├── experiments/</w:t>
      </w:r>
    </w:p>
    <w:p>
      <w:pPr>
        <w:spacing w:after="0"/>
        <w:ind w:left="259"/>
      </w:pPr>
      <w:r>
        <w:rPr>
          <w:rFonts w:ascii="Consolas" w:hAnsi="Consolas"/>
          <w:sz w:val="16"/>
        </w:rPr>
        <w:t>│   ├── baselines/</w:t>
      </w:r>
    </w:p>
    <w:p>
      <w:pPr>
        <w:spacing w:after="0"/>
        <w:ind w:left="259"/>
      </w:pPr>
      <w:r>
        <w:rPr>
          <w:rFonts w:ascii="Consolas" w:hAnsi="Consolas"/>
          <w:sz w:val="16"/>
        </w:rPr>
        <w:t>│   ├── ablations/</w:t>
      </w:r>
    </w:p>
    <w:p>
      <w:pPr>
        <w:spacing w:after="0"/>
        <w:ind w:left="259"/>
      </w:pPr>
      <w:r>
        <w:rPr>
          <w:rFonts w:ascii="Consolas" w:hAnsi="Consolas"/>
          <w:sz w:val="16"/>
        </w:rPr>
        <w:t>│   ├── robustness/</w:t>
      </w:r>
    </w:p>
    <w:p>
      <w:pPr>
        <w:spacing w:after="0"/>
        <w:ind w:left="259"/>
      </w:pPr>
      <w:r>
        <w:rPr>
          <w:rFonts w:ascii="Consolas" w:hAnsi="Consolas"/>
          <w:sz w:val="16"/>
        </w:rPr>
        <w:t>│   └── long_tail/</w:t>
      </w:r>
    </w:p>
    <w:p>
      <w:pPr>
        <w:spacing w:after="0"/>
        <w:ind w:left="259"/>
      </w:pPr>
      <w:r>
        <w:rPr>
          <w:rFonts w:ascii="Consolas" w:hAnsi="Consolas"/>
          <w:sz w:val="16"/>
        </w:rPr>
        <w:t>├── configs/</w:t>
      </w:r>
    </w:p>
    <w:p>
      <w:pPr>
        <w:spacing w:after="0"/>
        <w:ind w:left="259"/>
      </w:pPr>
      <w:r>
        <w:rPr>
          <w:rFonts w:ascii="Consolas" w:hAnsi="Consolas"/>
          <w:sz w:val="16"/>
        </w:rPr>
        <w:t>├── scripts/</w:t>
      </w:r>
    </w:p>
    <w:p>
      <w:pPr>
        <w:spacing w:after="0"/>
        <w:ind w:left="259"/>
      </w:pPr>
      <w:r>
        <w:rPr>
          <w:rFonts w:ascii="Consolas" w:hAnsi="Consolas"/>
          <w:sz w:val="16"/>
        </w:rPr>
        <w:t>├── tests/</w:t>
      </w:r>
    </w:p>
    <w:p>
      <w:pPr>
        <w:spacing w:after="0"/>
        <w:ind w:left="259"/>
      </w:pPr>
      <w:r>
        <w:rPr>
          <w:rFonts w:ascii="Consolas" w:hAnsi="Consolas"/>
          <w:sz w:val="16"/>
        </w:rPr>
        <w:t>├── requirements.txt</w:t>
      </w:r>
    </w:p>
    <w:p>
      <w:pPr>
        <w:spacing w:after="0"/>
        <w:ind w:left="259"/>
      </w:pPr>
      <w:r>
        <w:rPr>
          <w:rFonts w:ascii="Consolas" w:hAnsi="Consolas"/>
          <w:sz w:val="16"/>
        </w:rPr>
        <w:t>└── README.md</w:t>
      </w:r>
    </w:p>
    <w:p>
      <w:pPr>
        <w:pStyle w:val="Heading1"/>
      </w:pPr>
      <w:r>
        <w:t>Appendix B. Minimum Viable System vs Research System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024"/>
            <w:vAlign w:val="center"/>
            <w:shd w:fill="17365D"/>
          </w:tcPr>
          <w:p>
            <w:pPr>
              <w:spacing w:after="0"/>
            </w:pPr>
            <w:r/>
            <w:r>
              <w:rPr>
                <w:b/>
                <w:color w:val="FFFFFF"/>
                <w:sz w:val="18"/>
              </w:rPr>
              <w:t>Component</w:t>
            </w:r>
          </w:p>
        </w:tc>
        <w:tc>
          <w:tcPr>
            <w:tcW w:type="dxa" w:w="3168"/>
            <w:vAlign w:val="center"/>
            <w:shd w:fill="17365D"/>
          </w:tcPr>
          <w:p>
            <w:pPr>
              <w:spacing w:after="0"/>
            </w:pPr>
            <w:r/>
            <w:r>
              <w:rPr>
                <w:b/>
                <w:color w:val="FFFFFF"/>
                <w:sz w:val="18"/>
              </w:rPr>
              <w:t>MVP</w:t>
            </w:r>
          </w:p>
        </w:tc>
        <w:tc>
          <w:tcPr>
            <w:tcW w:type="dxa" w:w="4032"/>
            <w:vAlign w:val="center"/>
            <w:shd w:fill="17365D"/>
          </w:tcPr>
          <w:p>
            <w:pPr>
              <w:spacing w:after="0"/>
            </w:pPr>
            <w:r/>
            <w:r>
              <w:rPr>
                <w:b/>
                <w:color w:val="FFFFFF"/>
                <w:sz w:val="18"/>
              </w:rPr>
              <w:t>Research system</w:t>
            </w:r>
          </w:p>
        </w:tc>
      </w:tr>
      <w:tr>
        <w:trPr>
          <w:cantSplit/>
        </w:trPr>
        <w:tc>
          <w:tcPr>
            <w:tcW w:type="dxa" w:w="3024"/>
            <w:vAlign w:val="center"/>
            <w:shd w:fill="F5F7FA"/>
          </w:tcPr>
          <w:p>
            <w:pPr>
              <w:spacing w:after="0"/>
            </w:pPr>
            <w:r/>
            <w:r>
              <w:rPr>
                <w:b w:val="0"/>
                <w:sz w:val="18"/>
              </w:rPr>
              <w:t>Natural-language requirements</w:t>
            </w:r>
          </w:p>
        </w:tc>
        <w:tc>
          <w:tcPr>
            <w:tcW w:type="dxa" w:w="3168"/>
            <w:vAlign w:val="center"/>
            <w:shd w:fill="F5F7FA"/>
          </w:tcPr>
          <w:p>
            <w:pPr>
              <w:spacing w:after="0"/>
            </w:pPr>
            <w:r/>
            <w:r>
              <w:rPr>
                <w:b w:val="0"/>
                <w:sz w:val="18"/>
              </w:rPr>
              <w:t>Yes</w:t>
            </w:r>
          </w:p>
        </w:tc>
        <w:tc>
          <w:tcPr>
            <w:tcW w:type="dxa" w:w="4032"/>
            <w:vAlign w:val="center"/>
            <w:shd w:fill="F5F7FA"/>
          </w:tcPr>
          <w:p>
            <w:pPr>
              <w:spacing w:after="0"/>
            </w:pPr>
            <w:r/>
            <w:r>
              <w:rPr>
                <w:b w:val="0"/>
                <w:sz w:val="18"/>
              </w:rPr>
              <w:t>Yes + extraction evaluation</w:t>
            </w:r>
          </w:p>
        </w:tc>
      </w:tr>
      <w:tr>
        <w:trPr>
          <w:cantSplit/>
        </w:trPr>
        <w:tc>
          <w:tcPr>
            <w:tcW w:type="dxa" w:w="3024"/>
            <w:vAlign w:val="center"/>
          </w:tcPr>
          <w:p>
            <w:pPr>
              <w:spacing w:after="0"/>
            </w:pPr>
            <w:r/>
            <w:r>
              <w:rPr>
                <w:b w:val="0"/>
                <w:sz w:val="18"/>
              </w:rPr>
              <w:t>Multi-source corpus</w:t>
            </w:r>
          </w:p>
        </w:tc>
        <w:tc>
          <w:tcPr>
            <w:tcW w:type="dxa" w:w="3168"/>
            <w:vAlign w:val="center"/>
          </w:tcPr>
          <w:p>
            <w:pPr>
              <w:spacing w:after="0"/>
            </w:pPr>
            <w:r/>
            <w:r>
              <w:rPr>
                <w:b w:val="0"/>
                <w:sz w:val="18"/>
              </w:rPr>
              <w:t>3–5 sources</w:t>
            </w:r>
          </w:p>
        </w:tc>
        <w:tc>
          <w:tcPr>
            <w:tcW w:type="dxa" w:w="4032"/>
            <w:vAlign w:val="center"/>
          </w:tcPr>
          <w:p>
            <w:pPr>
              <w:spacing w:after="0"/>
            </w:pPr>
            <w:r/>
            <w:r>
              <w:rPr>
                <w:b w:val="0"/>
                <w:sz w:val="18"/>
              </w:rPr>
              <w:t>Expanded sources + lineage normalization</w:t>
            </w:r>
          </w:p>
        </w:tc>
      </w:tr>
      <w:tr>
        <w:trPr>
          <w:cantSplit/>
        </w:trPr>
        <w:tc>
          <w:tcPr>
            <w:tcW w:type="dxa" w:w="3024"/>
            <w:vAlign w:val="center"/>
            <w:shd w:fill="F5F7FA"/>
          </w:tcPr>
          <w:p>
            <w:pPr>
              <w:spacing w:after="0"/>
            </w:pPr>
            <w:r/>
            <w:r>
              <w:rPr>
                <w:b w:val="0"/>
                <w:sz w:val="18"/>
              </w:rPr>
              <w:t>BM25</w:t>
            </w:r>
          </w:p>
        </w:tc>
        <w:tc>
          <w:tcPr>
            <w:tcW w:type="dxa" w:w="3168"/>
            <w:vAlign w:val="center"/>
            <w:shd w:fill="F5F7FA"/>
          </w:tcPr>
          <w:p>
            <w:pPr>
              <w:spacing w:after="0"/>
            </w:pPr>
            <w:r/>
            <w:r>
              <w:rPr>
                <w:b w:val="0"/>
                <w:sz w:val="18"/>
              </w:rPr>
              <w:t>Yes</w:t>
            </w:r>
          </w:p>
        </w:tc>
        <w:tc>
          <w:tcPr>
            <w:tcW w:type="dxa" w:w="4032"/>
            <w:vAlign w:val="center"/>
            <w:shd w:fill="F5F7FA"/>
          </w:tcPr>
          <w:p>
            <w:pPr>
              <w:spacing w:after="0"/>
            </w:pPr>
            <w:r/>
            <w:r>
              <w:rPr>
                <w:b w:val="0"/>
                <w:sz w:val="18"/>
              </w:rPr>
              <w:t>Yes</w:t>
            </w:r>
          </w:p>
        </w:tc>
      </w:tr>
      <w:tr>
        <w:trPr>
          <w:cantSplit/>
        </w:trPr>
        <w:tc>
          <w:tcPr>
            <w:tcW w:type="dxa" w:w="3024"/>
            <w:vAlign w:val="center"/>
          </w:tcPr>
          <w:p>
            <w:pPr>
              <w:spacing w:after="0"/>
            </w:pPr>
            <w:r/>
            <w:r>
              <w:rPr>
                <w:b w:val="0"/>
                <w:sz w:val="18"/>
              </w:rPr>
              <w:t>Dense retrieval</w:t>
            </w:r>
          </w:p>
        </w:tc>
        <w:tc>
          <w:tcPr>
            <w:tcW w:type="dxa" w:w="3168"/>
            <w:vAlign w:val="center"/>
          </w:tcPr>
          <w:p>
            <w:pPr>
              <w:spacing w:after="0"/>
            </w:pPr>
            <w:r/>
            <w:r>
              <w:rPr>
                <w:b w:val="0"/>
                <w:sz w:val="18"/>
              </w:rPr>
              <w:t>Yes</w:t>
            </w:r>
          </w:p>
        </w:tc>
        <w:tc>
          <w:tcPr>
            <w:tcW w:type="dxa" w:w="4032"/>
            <w:vAlign w:val="center"/>
          </w:tcPr>
          <w:p>
            <w:pPr>
              <w:spacing w:after="0"/>
            </w:pPr>
            <w:r/>
            <w:r>
              <w:rPr>
                <w:b w:val="0"/>
                <w:sz w:val="18"/>
              </w:rPr>
              <w:t>Yes + trained baseline</w:t>
            </w:r>
          </w:p>
        </w:tc>
      </w:tr>
      <w:tr>
        <w:trPr>
          <w:cantSplit/>
        </w:trPr>
        <w:tc>
          <w:tcPr>
            <w:tcW w:type="dxa" w:w="3024"/>
            <w:vAlign w:val="center"/>
            <w:shd w:fill="F5F7FA"/>
          </w:tcPr>
          <w:p>
            <w:pPr>
              <w:spacing w:after="0"/>
            </w:pPr>
            <w:r/>
            <w:r>
              <w:rPr>
                <w:b w:val="0"/>
                <w:sz w:val="18"/>
              </w:rPr>
              <w:t>Metadata suitability</w:t>
            </w:r>
          </w:p>
        </w:tc>
        <w:tc>
          <w:tcPr>
            <w:tcW w:type="dxa" w:w="3168"/>
            <w:vAlign w:val="center"/>
            <w:shd w:fill="F5F7FA"/>
          </w:tcPr>
          <w:p>
            <w:pPr>
              <w:spacing w:after="0"/>
            </w:pPr>
            <w:r/>
            <w:r>
              <w:rPr>
                <w:b w:val="0"/>
                <w:sz w:val="18"/>
              </w:rPr>
              <w:t>Yes</w:t>
            </w:r>
          </w:p>
        </w:tc>
        <w:tc>
          <w:tcPr>
            <w:tcW w:type="dxa" w:w="4032"/>
            <w:vAlign w:val="center"/>
            <w:shd w:fill="F5F7FA"/>
          </w:tcPr>
          <w:p>
            <w:pPr>
              <w:spacing w:after="0"/>
            </w:pPr>
            <w:r/>
            <w:r>
              <w:rPr>
                <w:b w:val="0"/>
                <w:sz w:val="18"/>
              </w:rPr>
              <w:t>Yes, with evidence states</w:t>
            </w:r>
          </w:p>
        </w:tc>
      </w:tr>
      <w:tr>
        <w:trPr>
          <w:cantSplit/>
        </w:trPr>
        <w:tc>
          <w:tcPr>
            <w:tcW w:type="dxa" w:w="3024"/>
            <w:vAlign w:val="center"/>
          </w:tcPr>
          <w:p>
            <w:pPr>
              <w:spacing w:after="0"/>
            </w:pPr>
            <w:r/>
            <w:r>
              <w:rPr>
                <w:b w:val="0"/>
                <w:sz w:val="18"/>
              </w:rPr>
              <w:t>Evidence ledger</w:t>
            </w:r>
          </w:p>
        </w:tc>
        <w:tc>
          <w:tcPr>
            <w:tcW w:type="dxa" w:w="3168"/>
            <w:vAlign w:val="center"/>
          </w:tcPr>
          <w:p>
            <w:pPr>
              <w:spacing w:after="0"/>
            </w:pPr>
            <w:r/>
            <w:r>
              <w:rPr>
                <w:b w:val="0"/>
                <w:sz w:val="18"/>
              </w:rPr>
              <w:t>Basic</w:t>
            </w:r>
          </w:p>
        </w:tc>
        <w:tc>
          <w:tcPr>
            <w:tcW w:type="dxa" w:w="4032"/>
            <w:vAlign w:val="center"/>
          </w:tcPr>
          <w:p>
            <w:pPr>
              <w:spacing w:after="0"/>
            </w:pPr>
            <w:r/>
            <w:r>
              <w:rPr>
                <w:b w:val="0"/>
                <w:sz w:val="18"/>
              </w:rPr>
              <w:t>Full provenance/conflict/uncertainty ledger</w:t>
            </w:r>
          </w:p>
        </w:tc>
      </w:tr>
      <w:tr>
        <w:trPr>
          <w:cantSplit/>
        </w:trPr>
        <w:tc>
          <w:tcPr>
            <w:tcW w:type="dxa" w:w="3024"/>
            <w:vAlign w:val="center"/>
            <w:shd w:fill="F5F7FA"/>
          </w:tcPr>
          <w:p>
            <w:pPr>
              <w:spacing w:after="0"/>
            </w:pPr>
            <w:r/>
            <w:r>
              <w:rPr>
                <w:b w:val="0"/>
                <w:sz w:val="18"/>
              </w:rPr>
              <w:t>Sample fingerprint</w:t>
            </w:r>
          </w:p>
        </w:tc>
        <w:tc>
          <w:tcPr>
            <w:tcW w:type="dxa" w:w="3168"/>
            <w:vAlign w:val="center"/>
            <w:shd w:fill="F5F7FA"/>
          </w:tcPr>
          <w:p>
            <w:pPr>
              <w:spacing w:after="0"/>
            </w:pPr>
            <w:r/>
            <w:r>
              <w:rPr>
                <w:b w:val="0"/>
                <w:sz w:val="18"/>
              </w:rPr>
              <w:t>Optional first modality</w:t>
            </w:r>
          </w:p>
        </w:tc>
        <w:tc>
          <w:tcPr>
            <w:tcW w:type="dxa" w:w="4032"/>
            <w:vAlign w:val="center"/>
            <w:shd w:fill="F5F7FA"/>
          </w:tcPr>
          <w:p>
            <w:pPr>
              <w:spacing w:after="0"/>
            </w:pPr>
            <w:r/>
            <w:r>
              <w:rPr>
                <w:b w:val="0"/>
                <w:sz w:val="18"/>
              </w:rPr>
              <w:t>At least two modalities where feasible</w:t>
            </w:r>
          </w:p>
        </w:tc>
      </w:tr>
      <w:tr>
        <w:trPr>
          <w:cantSplit/>
        </w:trPr>
        <w:tc>
          <w:tcPr>
            <w:tcW w:type="dxa" w:w="3024"/>
            <w:vAlign w:val="center"/>
          </w:tcPr>
          <w:p>
            <w:pPr>
              <w:spacing w:after="0"/>
            </w:pPr>
            <w:r/>
            <w:r>
              <w:rPr>
                <w:b w:val="0"/>
                <w:sz w:val="18"/>
              </w:rPr>
              <w:t>Quality probing</w:t>
            </w:r>
          </w:p>
        </w:tc>
        <w:tc>
          <w:tcPr>
            <w:tcW w:type="dxa" w:w="3168"/>
            <w:vAlign w:val="center"/>
          </w:tcPr>
          <w:p>
            <w:pPr>
              <w:spacing w:after="0"/>
            </w:pPr>
            <w:r/>
            <w:r>
              <w:rPr>
                <w:b w:val="0"/>
                <w:sz w:val="18"/>
              </w:rPr>
              <w:t>Basic diagnostics</w:t>
            </w:r>
          </w:p>
        </w:tc>
        <w:tc>
          <w:tcPr>
            <w:tcW w:type="dxa" w:w="4032"/>
            <w:vAlign w:val="center"/>
          </w:tcPr>
          <w:p>
            <w:pPr>
              <w:spacing w:after="0"/>
            </w:pPr>
            <w:r/>
            <w:r>
              <w:rPr>
                <w:b w:val="0"/>
                <w:sz w:val="18"/>
              </w:rPr>
              <w:t>Cleanlab-style + task probes</w:t>
            </w:r>
          </w:p>
        </w:tc>
      </w:tr>
      <w:tr>
        <w:trPr>
          <w:cantSplit/>
        </w:trPr>
        <w:tc>
          <w:tcPr>
            <w:tcW w:type="dxa" w:w="3024"/>
            <w:vAlign w:val="center"/>
            <w:shd w:fill="F5F7FA"/>
          </w:tcPr>
          <w:p>
            <w:pPr>
              <w:spacing w:after="0"/>
            </w:pPr>
            <w:r/>
            <w:r>
              <w:rPr>
                <w:b w:val="0"/>
                <w:sz w:val="18"/>
              </w:rPr>
              <w:t>Long-tail exploration</w:t>
            </w:r>
          </w:p>
        </w:tc>
        <w:tc>
          <w:tcPr>
            <w:tcW w:type="dxa" w:w="3168"/>
            <w:vAlign w:val="center"/>
            <w:shd w:fill="F5F7FA"/>
          </w:tcPr>
          <w:p>
            <w:pPr>
              <w:spacing w:after="0"/>
            </w:pPr>
            <w:r/>
            <w:r>
              <w:rPr>
                <w:b w:val="0"/>
                <w:sz w:val="18"/>
              </w:rPr>
              <w:t>Basic candidate reserve</w:t>
            </w:r>
          </w:p>
        </w:tc>
        <w:tc>
          <w:tcPr>
            <w:tcW w:type="dxa" w:w="4032"/>
            <w:vAlign w:val="center"/>
            <w:shd w:fill="F5F7FA"/>
          </w:tcPr>
          <w:p>
            <w:pPr>
              <w:spacing w:after="0"/>
            </w:pPr>
            <w:r/>
            <w:r>
              <w:rPr>
                <w:b w:val="0"/>
                <w:sz w:val="18"/>
              </w:rPr>
              <w:t>Benchmark + controlled metrics</w:t>
            </w:r>
          </w:p>
        </w:tc>
      </w:tr>
      <w:tr>
        <w:trPr>
          <w:cantSplit/>
        </w:trPr>
        <w:tc>
          <w:tcPr>
            <w:tcW w:type="dxa" w:w="3024"/>
            <w:vAlign w:val="center"/>
          </w:tcPr>
          <w:p>
            <w:pPr>
              <w:spacing w:after="0"/>
            </w:pPr>
            <w:r/>
            <w:r>
              <w:rPr>
                <w:b w:val="0"/>
                <w:sz w:val="18"/>
              </w:rPr>
              <w:t>Diversification</w:t>
            </w:r>
          </w:p>
        </w:tc>
        <w:tc>
          <w:tcPr>
            <w:tcW w:type="dxa" w:w="3168"/>
            <w:vAlign w:val="center"/>
          </w:tcPr>
          <w:p>
            <w:pPr>
              <w:spacing w:after="0"/>
            </w:pPr>
            <w:r/>
            <w:r>
              <w:rPr>
                <w:b w:val="0"/>
                <w:sz w:val="18"/>
              </w:rPr>
              <w:t>Greedy baseline</w:t>
            </w:r>
          </w:p>
        </w:tc>
        <w:tc>
          <w:tcPr>
            <w:tcW w:type="dxa" w:w="4032"/>
            <w:vAlign w:val="center"/>
          </w:tcPr>
          <w:p>
            <w:pPr>
              <w:spacing w:after="0"/>
            </w:pPr>
            <w:r/>
            <w:r>
              <w:rPr>
                <w:b w:val="0"/>
                <w:sz w:val="18"/>
              </w:rPr>
              <w:t>GIST-inspired / submodular comparison</w:t>
            </w:r>
          </w:p>
        </w:tc>
      </w:tr>
      <w:tr>
        <w:trPr>
          <w:cantSplit/>
        </w:trPr>
        <w:tc>
          <w:tcPr>
            <w:tcW w:type="dxa" w:w="3024"/>
            <w:vAlign w:val="center"/>
            <w:shd w:fill="F5F7FA"/>
          </w:tcPr>
          <w:p>
            <w:pPr>
              <w:spacing w:after="0"/>
            </w:pPr>
            <w:r/>
            <w:r>
              <w:rPr>
                <w:b w:val="0"/>
                <w:sz w:val="18"/>
              </w:rPr>
              <w:t>Explanation</w:t>
            </w:r>
          </w:p>
        </w:tc>
        <w:tc>
          <w:tcPr>
            <w:tcW w:type="dxa" w:w="3168"/>
            <w:vAlign w:val="center"/>
            <w:shd w:fill="F5F7FA"/>
          </w:tcPr>
          <w:p>
            <w:pPr>
              <w:spacing w:after="0"/>
            </w:pPr>
            <w:r/>
            <w:r>
              <w:rPr>
                <w:b w:val="0"/>
                <w:sz w:val="18"/>
              </w:rPr>
              <w:t>Top reasons</w:t>
            </w:r>
          </w:p>
        </w:tc>
        <w:tc>
          <w:tcPr>
            <w:tcW w:type="dxa" w:w="4032"/>
            <w:vAlign w:val="center"/>
            <w:shd w:fill="F5F7FA"/>
          </w:tcPr>
          <w:p>
            <w:pPr>
              <w:spacing w:after="0"/>
            </w:pPr>
            <w:r/>
            <w:r>
              <w:rPr>
                <w:b w:val="0"/>
                <w:sz w:val="18"/>
              </w:rPr>
              <w:t>Evidence-backed report + limitations + counterfactual/rejection reasons</w:t>
            </w:r>
          </w:p>
        </w:tc>
      </w:tr>
      <w:tr>
        <w:trPr>
          <w:cantSplit/>
        </w:trPr>
        <w:tc>
          <w:tcPr>
            <w:tcW w:type="dxa" w:w="3024"/>
            <w:vAlign w:val="center"/>
          </w:tcPr>
          <w:p>
            <w:pPr>
              <w:spacing w:after="0"/>
            </w:pPr>
            <w:r/>
            <w:r>
              <w:rPr>
                <w:b w:val="0"/>
                <w:sz w:val="18"/>
              </w:rPr>
              <w:t>Evaluation</w:t>
            </w:r>
          </w:p>
        </w:tc>
        <w:tc>
          <w:tcPr>
            <w:tcW w:type="dxa" w:w="3168"/>
            <w:vAlign w:val="center"/>
          </w:tcPr>
          <w:p>
            <w:pPr>
              <w:spacing w:after="0"/>
            </w:pPr>
            <w:r/>
            <w:r>
              <w:rPr>
                <w:b w:val="0"/>
                <w:sz w:val="18"/>
              </w:rPr>
              <w:t>IR metrics</w:t>
            </w:r>
          </w:p>
        </w:tc>
        <w:tc>
          <w:tcPr>
            <w:tcW w:type="dxa" w:w="4032"/>
            <w:vAlign w:val="center"/>
          </w:tcPr>
          <w:p>
            <w:pPr>
              <w:spacing w:after="0"/>
            </w:pPr>
            <w:r/>
            <w:r>
              <w:rPr>
                <w:b w:val="0"/>
                <w:sz w:val="18"/>
              </w:rPr>
              <w:t>IR + utility + long-tail + robustness + calibration + efficiency</w:t>
            </w:r>
          </w:p>
        </w:tc>
      </w:tr>
    </w:tbl>
    <w:p>
      <w:pPr>
        <w:spacing w:after="20"/>
      </w:pPr>
    </w:p>
    <w:p>
      <w:pPr>
        <w:pStyle w:val="Heading1"/>
      </w:pPr>
      <w:r>
        <w:t>Appendix C. Implementation Stop Conditions</w:t>
      </w:r>
    </w:p>
    <w:p>
      <w:pPr>
        <w:pStyle w:val="ListBullet"/>
      </w:pPr>
      <w:r>
        <w:t>If dense retrieval does not beat the lexical baseline, stop tuning downstream ranking and revisit corpus normalization/query formulation.</w:t>
      </w:r>
    </w:p>
    <w:p>
      <w:pPr>
        <w:pStyle w:val="ListBullet"/>
      </w:pPr>
      <w:r>
        <w:t>If sample acquisition is unreliable across repositories, keep metadata/provenance evidence as the fallback and clearly label content evidence as unavailable.</w:t>
      </w:r>
    </w:p>
    <w:p>
      <w:pPr>
        <w:pStyle w:val="ListBullet"/>
      </w:pPr>
      <w:r>
        <w:t>If probe models consume excessive local compute, reduce the candidate pool and sample size before reducing evaluation rigor.</w:t>
      </w:r>
    </w:p>
    <w:p>
      <w:pPr>
        <w:pStyle w:val="ListBullet"/>
      </w:pPr>
      <w:r>
        <w:t>If long-tail diversification decreases human relevance materially, tune the exploration quota rather than forcing low-quality novelty.</w:t>
      </w:r>
    </w:p>
    <w:p>
      <w:pPr>
        <w:pStyle w:val="ListBullet"/>
      </w:pPr>
      <w:r>
        <w:t>If license/provenance evidence is contradictory, the system should lower confidence or flag the dataset rather than invent a resolution.</w:t>
      </w:r>
    </w:p>
    <w:p>
      <w:pPr>
        <w:pStyle w:val="ListBullet"/>
      </w:pPr>
      <w:r>
        <w:t>If the full multi-modal pipeline becomes too large for Capstone 1, freeze one modality for the end-to-end experiment and retain the second modality as a validated extension.</w:t>
      </w:r>
    </w:p>
    <w:p>
      <w:pPr>
        <w:pStyle w:val="Callout"/>
      </w:pPr>
      <w:r>
        <w:rPr>
          <w:b/>
        </w:rPr>
        <w:t xml:space="preserve">Final project definition: </w:t>
      </w:r>
      <w:r>
        <w:t>This system is a local, research-oriented dataset intelligence pipeline that retrieves candidate datasets, investigates their evidence, estimates task-specific usefulness, mitigates popularity bias, diversifies recommendations, and communicates uncertainty. Retrieval remains necessary, but retrieval is no longer the endpoint.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Capstone Project 1 • Evidence-Driven Dataset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59"/>
    </w:pPr>
    <w:rPr>
      <w:rFonts w:ascii="Aptos" w:hAnsi="Aptos"/>
      <w:color w:val="1F3864"/>
      <w:sz w:val="21"/>
    </w:rPr>
  </w:style>
  <w:style w:type="paragraph" w:customStyle="1" w:styleId="Small">
    <w:name w:val="Small"/>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Evidence-Driven Dataset Intelligence and Recommendation System</dc:title>
  <dc:subject>Capstone Project 1 research-grounded proposal</dc:subject>
  <dc:creator/>
  <cp:keywords>dataset recommendation, RAG, data-centric AI, provenance, long-tail discovery, dataset quality</cp:keywords>
  <dc:description>generated by python-docx</dc:description>
  <cp:lastModifiedBy/>
  <cp:revision>1</cp:revision>
  <dcterms:created xsi:type="dcterms:W3CDTF">2013-12-23T23:15:00Z</dcterms:created>
  <dcterms:modified xsi:type="dcterms:W3CDTF">2013-12-23T23:15:00Z</dcterms:modified>
  <cp:category/>
</cp:coreProperties>
</file>