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2 Global results and interpretation</w:t>
      </w:r>
    </w:p>
    <w:p>
      <w:pPr>
        <w:spacing w:after="220"/>
      </w:pPr>
      <w:r>
        <w:rPr>
          <w:i/>
          <w:sz w:val="22"/>
        </w:rPr>
        <w:t>Socio-cognitive traits and the Legatum Prosperity Index</w:t>
      </w:r>
    </w:p>
    <w:p>
      <w:pPr>
        <w:pStyle w:val="Heading1"/>
      </w:pPr>
      <w:r>
        <w:t>Abstract</w:t>
      </w:r>
    </w:p>
    <w:p>
      <w:r>
        <w:t>This study evaluates prediction in the global sample, including India for total early-stage entrepreneurial activity (TEA), opportunity-motivated entrepreneurship (OME), and necessity-motivated entrepreneurship (NME). Objective 2 combines socio-cognitive traits and the legatum prosperity index with ten machine-learning classifiers. Independent-variable-only and independent-variable-plus-control specifications are compared on identical held-out respondents. Tables and figures use completed saved outputs; no classifier was refitted for this manuscript. The evidence supports predictive interpretation, not causal attribution.</w:t>
      </w:r>
    </w:p>
    <w:p>
      <w:pPr>
        <w:pStyle w:val="Heading1"/>
      </w:pPr>
      <w:r>
        <w:t>Study design</w:t>
      </w:r>
    </w:p>
    <w:p>
      <w:r>
        <w:t>The analytical sample comprises 1,342,884 respondents surveyed across 8 years and 89 countries. Three binary outcomes were modeled separately. The ten candidate classifiers were logistic regression, lasso, ridge, elastic net, naïve Bayes, decision tree, XGBoost, CatBoost, random forest, and H2O gradient boosting. Predictive measures were calculated from the saved held-out test predictions, using thresholds selected on validation data.</w:t>
      </w:r>
    </w:p>
    <w:p>
      <w:r>
        <w:t>The principal specification includes the independent variables and the pre-specified controls. Its comparison with the independent-variable-only specification uses exactly the same test records. Precision-recall area is interpreted against the outcome prevalence, particularly for less common positive cases. Receiver operating characteristic area, precision, recall, and the F1 score provide complementary views of discrimination and classification.</w:t>
      </w:r>
    </w:p>
    <w:p>
      <w:pPr>
        <w:pStyle w:val="Heading1"/>
      </w:pPr>
      <w:r>
        <w:t>Sample composition</w:t>
      </w:r>
    </w:p>
    <w:p>
      <w:pPr>
        <w:keepNext/>
        <w:spacing w:before="140" w:after="100"/>
      </w:pPr>
      <w:r>
        <w:rPr>
          <w:b/>
          <w:sz w:val="20"/>
        </w:rPr>
        <w:t>Table 1. Sample size, positive outcome prevalence, and data partition</w:t>
      </w:r>
    </w:p>
    <w:tbl>
      <w:tblPr>
        <w:tblW w:type="auto" w:w="0"/>
        <w:tblLayout w:type="fixed"/>
        <w:tblLook w:firstColumn="1" w:firstRow="1" w:lastColumn="0" w:lastRow="0" w:noHBand="0" w:noVBand="1" w:val="04A0"/>
      </w:tblPr>
      <w:tblGrid>
        <w:gridCol w:w="1008"/>
        <w:gridCol w:w="1555"/>
        <w:gridCol w:w="1584"/>
        <w:gridCol w:w="1224"/>
        <w:gridCol w:w="1555"/>
        <w:gridCol w:w="1555"/>
        <w:gridCol w:w="1541"/>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22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Training</w:t>
            </w:r>
          </w:p>
        </w:tc>
        <w:tc>
          <w:tcPr>
            <w:tcW w:type="dxa" w:w="155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Validation</w:t>
            </w:r>
          </w:p>
        </w:tc>
        <w:tc>
          <w:tcPr>
            <w:tcW w:type="dxa" w:w="154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268,576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122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913,163</w:t>
            </w:r>
          </w:p>
        </w:tc>
        <w:tc>
          <w:tcPr>
            <w:tcW w:type="dxa" w:w="155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161,145</w:t>
            </w:r>
          </w:p>
        </w:tc>
        <w:tc>
          <w:tcPr>
            <w:tcW w:type="dxa" w:w="154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bl>
    <w:p>
      <w:pPr>
        <w:spacing w:after="0"/>
      </w:pPr>
    </w:p>
    <w:p>
      <w:pPr>
        <w:spacing w:before="60" w:after="200"/>
      </w:pPr>
      <w:r>
        <w:rPr>
          <w:i/>
          <w:sz w:val="17"/>
        </w:rPr>
        <w:t>Note. The two predictor specifications use identical respondent partitions within each target.</w:t>
      </w:r>
    </w:p>
    <w:p>
      <w:pPr>
        <w:pStyle w:val="Heading2"/>
      </w:pPr>
      <w:r>
        <w:t>Interpretation</w:t>
      </w:r>
    </w:p>
    <w:p>
      <w:r>
        <w:t>The outcome prevalence is TEA: 11.5%; OME: 7.5%; NME: 5.2%. Although all three targets use the same respondent pool, their positive classes differ substantially. This matters because a model can achieve high overall accuracy by identifying the more common negative class.</w:t>
      </w:r>
    </w:p>
    <w:p>
      <w:r>
        <w:t>The held-out sample contains 268,576 observations per outcome. Model comparisons within this document are therefore made on a consistent test partition; results should not be compared with the other geographic manuscript as if the samples were independent, because the global sample includes India.</w:t>
      </w:r>
    </w:p>
    <w:p>
      <w:r>
        <w:br w:type="page"/>
      </w:r>
    </w:p>
    <w:p>
      <w:pPr>
        <w:pStyle w:val="Heading1"/>
      </w:pPr>
      <w:r>
        <w:t>Predictor distributions</w:t>
      </w:r>
    </w:p>
    <w:p>
      <w:pPr>
        <w:keepNext/>
        <w:spacing w:before="140" w:after="100"/>
      </w:pPr>
      <w:r>
        <w:rPr>
          <w:b/>
          <w:sz w:val="20"/>
        </w:rPr>
        <w:t>Table 2. Descriptive statistics and missingness of model inputs</w:t>
      </w:r>
    </w:p>
    <w:tbl>
      <w:tblPr>
        <w:tblW w:type="auto" w:w="0"/>
        <w:tblLayout w:type="fixed"/>
        <w:tblLook w:firstColumn="1" w:firstRow="1" w:lastColumn="0" w:lastRow="0" w:noHBand="0" w:noVBand="1" w:val="04A0"/>
      </w:tblPr>
      <w:tblGrid>
        <w:gridCol w:w="3600"/>
        <w:gridCol w:w="1584"/>
        <w:gridCol w:w="3182"/>
        <w:gridCol w:w="1656"/>
      </w:tblGrid>
      <w:tr>
        <w:trPr>
          <w:tblHeader/>
          <w:cantSplit/>
        </w:trPr>
        <w:tc>
          <w:tcPr>
            <w:tcW w:type="dxa" w:w="36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Variable</w:t>
            </w:r>
          </w:p>
        </w:tc>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31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Observed distribution</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45.9%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18.1%</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44.2%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1.25 (0.93)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14.3%</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22.2%</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69.8%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39.4% coded one</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32.4%</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prosperity score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67.92 (10.53)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Safety and security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75.68 (15.11)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Personal freedom</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69.55 (20.07)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Governance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63.51 (15.28)</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Social capital</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58.35 (11.13)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Investment environment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66.71 (12.63)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Enterprise conditions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63.96 (10.82)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Market access and infrastructure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65.78 (11.37)</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Economic quality</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60.50 (10.43)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Living conditions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83.52 (12.29)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Health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75.44 (6.23)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Education</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71.78 (13.11)</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Natural environment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Independent</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60.27 (9.08)</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41.50 (14.53)</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74.55 (81460.96)</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35593.44 (21374.64)</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96167409.78 (259900716.69)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36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31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2.41 (4.02)</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variables show the observed percentage coded one. Other numeric variables show mean and standard deviation. Categorical fields show the number of observed categories; missingness is calculated over all eligible respondents.</w:t>
      </w:r>
    </w:p>
    <w:p>
      <w:pPr>
        <w:pStyle w:val="Heading2"/>
      </w:pPr>
      <w:r>
        <w:t>Interpretation</w:t>
      </w:r>
    </w:p>
    <w:p>
      <w:r>
        <w:t>The table records the distribution of all independent variables and controls used in the principal specification. The largest missingness percentages occur for Social enterprise (32.4%), Entrepreneurial intention (23.2%), High status (22.8%). These fields can influence prediction through both their observed values and their recorded missing states.</w:t>
      </w:r>
    </w:p>
    <w:p>
      <w:r>
        <w:t>Institutional values are shared by respondents within each country and year; respondent totals must not be interpreted as independent institutional observations. Descriptive differences do not establish adjusted or causal relationships with entrepreneurial outcomes.</w:t>
      </w:r>
    </w:p>
    <w:p>
      <w:pPr>
        <w:pStyle w:val="Heading1"/>
      </w:pPr>
      <w:r>
        <w:t>Entrepreneurial intention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037"/>
        <w:gridCol w:w="1872"/>
        <w:gridCol w:w="2376"/>
        <w:gridCol w:w="1872"/>
        <w:gridCol w:w="2866"/>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positives</w:t>
            </w:r>
          </w:p>
        </w:tc>
        <w:tc>
          <w:tcPr>
            <w:tcW w:type="dxa" w:w="187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w:t>
            </w:r>
          </w:p>
        </w:tc>
        <w:tc>
          <w:tcPr>
            <w:tcW w:type="dxa" w:w="28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 among negatives</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1,188,464</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1,242,797</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187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1,272,953</w:t>
            </w:r>
          </w:p>
        </w:tc>
        <w:tc>
          <w:tcPr>
            <w:tcW w:type="dxa" w:w="28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bl>
    <w:p>
      <w:pPr>
        <w:spacing w:after="0"/>
      </w:pPr>
    </w:p>
    <w:p>
      <w:pPr>
        <w:spacing w:before="60" w:after="200"/>
      </w:pPr>
      <w:r>
        <w:rPr>
          <w:i/>
          <w:sz w:val="17"/>
        </w:rPr>
        <w:t>Note. The entrepreneurial-intention field remains a predictor, with its missing state retained under the agreed model specification.</w:t>
      </w:r>
    </w:p>
    <w:p>
      <w:pPr>
        <w:pStyle w:val="Heading2"/>
      </w:pPr>
      <w:r>
        <w:t>Interpretation</w:t>
      </w:r>
    </w:p>
    <w:p>
      <w:r>
        <w:t>Entrepreneurial intention is missing for every positive case across the three outcomes. The negative-case missingness rates differ by outcome, as shown in the final column. Missingness is therefore strongly associated with outcome status in the observed survey data.</w:t>
      </w:r>
    </w:p>
    <w:p>
      <w:r>
        <w:t>The model can use this response pattern to distinguish positive and negative cases. Consequently, high predictive scores should be interpreted as the performance of the full observed-data pipeline, rather than as evidence that reported intention or institutional conditions alone accurately identify entrepreneurs.</w:t>
      </w:r>
    </w:p>
    <w:p>
      <w:pPr>
        <w:pStyle w:val="Heading1"/>
      </w:pPr>
      <w:r>
        <w:t>Held-out model performance</w:t>
      </w:r>
    </w:p>
    <w:p>
      <w:pPr>
        <w:keepNext/>
        <w:spacing w:before="140" w:after="100"/>
      </w:pPr>
      <w:r>
        <w:rPr>
          <w:b/>
          <w:sz w:val="20"/>
        </w:rPr>
        <w:t>Table 4. Leading classifier by precision-recall area for each outcome</w:t>
      </w:r>
    </w:p>
    <w:tbl>
      <w:tblPr>
        <w:tblW w:type="auto" w:w="0"/>
        <w:tblLayout w:type="fixed"/>
        <w:tblLook w:firstColumn="1" w:firstRow="1" w:lastColumn="0" w:lastRow="0" w:noHBand="0" w:noVBand="1" w:val="04A0"/>
      </w:tblPr>
      <w:tblGrid>
        <w:gridCol w:w="1037"/>
        <w:gridCol w:w="2376"/>
        <w:gridCol w:w="1339"/>
        <w:gridCol w:w="1267"/>
        <w:gridCol w:w="1397"/>
        <w:gridCol w:w="1282"/>
        <w:gridCol w:w="1325"/>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7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28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2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0.744</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7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28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32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0.664</w:t>
            </w:r>
          </w:p>
        </w:tc>
      </w:tr>
    </w:tbl>
    <w:p>
      <w:pPr>
        <w:spacing w:after="0"/>
      </w:pPr>
    </w:p>
    <w:p>
      <w:pPr>
        <w:spacing w:before="60" w:after="200"/>
      </w:pPr>
      <w:r>
        <w:rPr>
          <w:i/>
          <w:sz w:val="17"/>
        </w:rPr>
        <w:t>Note. The displayed classifier has the largest saved held-out precision-recall area within each target. All ten classifiers are reported in Supplementary Table S1. ROC denotes receiver operating characteristic; PR denotes precision-recall.</w:t>
      </w:r>
    </w:p>
    <w:p>
      <w:pPr>
        <w:pStyle w:val="Heading2"/>
      </w:pPr>
      <w:r>
        <w:t>Interpretation</w:t>
      </w:r>
    </w:p>
    <w:p>
      <w:r>
        <w:t>The leading observed models are TEA: XGBoost, precision-recall area 0.953; OME: Random Forest, precision-recall area 0.744; NME: Random Forest, precision-recall area 0.716. Precision-recall area is the principal ranking measure because the opportunity- and necessity-motivated outcomes have relatively few positive cases. The receiver operating characteristic values provide a complementary assessment of ranking across both classes.</w:t>
      </w:r>
    </w:p>
    <w:p>
      <w:r>
        <w:t>These results were selected descriptively from the held-out metrics and are not evidence that the top classifier is statistically superior to a close competitor. The intention-missingness pattern in Table 3 is present in every fitted model and must be considered when interpreting apparently high discrimination.</w:t>
      </w:r>
    </w:p>
    <w:p>
      <w:pPr>
        <w:pStyle w:val="Heading1"/>
      </w:pPr>
      <w:r>
        <w:t>Classification at selected thresholds</w:t>
      </w:r>
    </w:p>
    <w:p>
      <w:pPr>
        <w:keepNext/>
        <w:spacing w:before="140" w:after="100"/>
      </w:pPr>
      <w:r>
        <w:rPr>
          <w:b/>
          <w:sz w:val="20"/>
        </w:rPr>
        <w:t>Table 5. Confusion counts for the leading classifiers</w:t>
      </w:r>
    </w:p>
    <w:tbl>
      <w:tblPr>
        <w:tblW w:type="auto" w:w="0"/>
        <w:tblLayout w:type="fixed"/>
        <w:tblLook w:firstColumn="1" w:firstRow="1" w:lastColumn="0" w:lastRow="0" w:noHBand="0" w:noVBand="1" w:val="04A0"/>
      </w:tblPr>
      <w:tblGrid>
        <w:gridCol w:w="1080"/>
        <w:gridCol w:w="2275"/>
        <w:gridCol w:w="1642"/>
        <w:gridCol w:w="1685"/>
        <w:gridCol w:w="1656"/>
        <w:gridCol w:w="1685"/>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7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4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5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27,329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3,540</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234,152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3,555</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16,621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9,919</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238,640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3,396</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7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4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5,975</w:t>
            </w:r>
          </w:p>
        </w:tc>
        <w:tc>
          <w:tcPr>
            <w:tcW w:type="dxa" w:w="165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248,615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4,061</w:t>
            </w:r>
          </w:p>
        </w:tc>
      </w:tr>
    </w:tbl>
    <w:p>
      <w:pPr>
        <w:spacing w:after="0"/>
      </w:pPr>
    </w:p>
    <w:p>
      <w:pPr>
        <w:spacing w:before="60" w:after="200"/>
      </w:pPr>
      <w:r>
        <w:rPr>
          <w:i/>
          <w:sz w:val="17"/>
        </w:rPr>
        <w:t>Note. Counts use thresholds selected from validation observations and applied to the held-out test sample. All ten-model confusion results appear in Supplementary Table S2.</w:t>
      </w:r>
    </w:p>
    <w:p>
      <w:pPr>
        <w:pStyle w:val="Heading2"/>
      </w:pPr>
      <w:r>
        <w:t>Interpretation</w:t>
      </w:r>
    </w:p>
    <w:p>
      <w:r>
        <w:t>The selected classifiers produce TEA: 3,540 false positives and 3,555 false negatives; OME: 9,919 false positives and 3,396 false negatives; NME: 5,975 false positives and 4,061 false negatives. Unlike curve areas, these counts show the concrete false-alarm and missed-case trade-off at the chosen operating points.</w:t>
      </w:r>
    </w:p>
    <w:p>
      <w:r>
        <w:t>The preferred balance of false positives and false negatives depends on the intended use of a classifier. Because no such decision cost was specified, these validation-selected thresholds are reproducible benchmarks rather than policy-optimal decision rules.</w:t>
      </w:r>
    </w:p>
    <w:p>
      <w:pPr>
        <w:pStyle w:val="Heading1"/>
      </w:pPr>
      <w:r>
        <w:t>Additional information from controls</w:t>
      </w:r>
    </w:p>
    <w:p>
      <w:pPr>
        <w:keepNext/>
        <w:spacing w:before="140" w:after="100"/>
      </w:pPr>
      <w:r>
        <w:rPr>
          <w:b/>
          <w:sz w:val="20"/>
        </w:rPr>
        <w:t>Table 6. Change in precision-recall area after adding controls</w:t>
      </w:r>
    </w:p>
    <w:tbl>
      <w:tblPr>
        <w:tblW w:type="auto" w:w="0"/>
        <w:tblLayout w:type="fixed"/>
        <w:tblLook w:firstColumn="1" w:firstRow="1" w:lastColumn="0" w:lastRow="0" w:noHBand="0" w:noVBand="1" w:val="04A0"/>
      </w:tblPr>
      <w:tblGrid>
        <w:gridCol w:w="1037"/>
        <w:gridCol w:w="2102"/>
        <w:gridCol w:w="1930"/>
        <w:gridCol w:w="1786"/>
        <w:gridCol w:w="1498"/>
        <w:gridCol w:w="167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10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78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49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167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+0.022</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0.744</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10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78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49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c>
          <w:tcPr>
            <w:tcW w:type="dxa" w:w="167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+0.039</w:t>
            </w:r>
          </w:p>
        </w:tc>
      </w:tr>
    </w:tbl>
    <w:p>
      <w:pPr>
        <w:spacing w:after="0"/>
      </w:pPr>
    </w:p>
    <w:p>
      <w:pPr>
        <w:spacing w:before="60" w:after="200"/>
      </w:pPr>
      <w:r>
        <w:rPr>
          <w:i/>
          <w:sz w:val="17"/>
        </w:rPr>
        <w:t>Note. Change equals the score with controls minus the score with independent variables only, on identical held-out respondents. Full matched comparisons appear in Supplementary Table S3.</w:t>
      </w:r>
    </w:p>
    <w:p>
      <w:pPr>
        <w:pStyle w:val="Heading2"/>
      </w:pPr>
      <w:r>
        <w:t>Interpretation</w:t>
      </w:r>
    </w:p>
    <w:p>
      <w:r>
        <w:t>The changes are TEA: selected-model change +0.022, ten-model median +0.027; OME: selected-model change +0.033, ten-model median +0.032; NME: selected-model change +0.037, ten-model median +0.039. The model-level median limits reliance on a single selected classifier and shows whether the control set tends to add predictive information across algorithms.</w:t>
      </w:r>
    </w:p>
    <w:p>
      <w:r>
        <w:t>The comparison measures the predictive contribution of the control set as a whole on this test split. It does not identify the separate contribution or causal effect of any individual control.</w:t>
      </w:r>
    </w:p>
    <w:p>
      <w:r>
        <w:br w:type="page"/>
      </w:r>
    </w:p>
    <w:p>
      <w:pPr>
        <w:pStyle w:val="Heading1"/>
      </w:pPr>
      <w:r>
        <w:t>Institutional predictor importance</w:t>
      </w:r>
    </w:p>
    <w:p>
      <w:pPr>
        <w:keepNext/>
        <w:spacing w:before="140" w:after="100"/>
      </w:pPr>
      <w:r>
        <w:rPr>
          <w:b/>
          <w:sz w:val="20"/>
        </w:rPr>
        <w:t>Table 7. Leading institutional variables in random-forest importance</w:t>
      </w:r>
    </w:p>
    <w:tbl>
      <w:tblPr>
        <w:tblW w:type="auto" w:w="0"/>
        <w:tblLayout w:type="fixed"/>
        <w:tblLook w:firstColumn="1" w:firstRow="1" w:lastColumn="0" w:lastRow="0" w:noHBand="0" w:noVBand="1" w:val="04A0"/>
      </w:tblPr>
      <w:tblGrid>
        <w:gridCol w:w="1080"/>
        <w:gridCol w:w="3888"/>
        <w:gridCol w:w="2520"/>
        <w:gridCol w:w="2534"/>
      </w:tblGrid>
      <w:tr>
        <w:trPr>
          <w:tblHeader/>
          <w:cantSplit/>
        </w:trPr>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388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252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53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All institutional fields</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Education</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Safety and security</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15.3%</w:t>
            </w:r>
          </w:p>
        </w:tc>
      </w:tr>
      <w:tr>
        <w:trPr>
          <w:cantSplit/>
        </w:trPr>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388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Education</w:t>
            </w:r>
          </w:p>
        </w:tc>
        <w:tc>
          <w:tcPr>
            <w:tcW w:type="dxa" w:w="252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w:t>
            </w:r>
          </w:p>
        </w:tc>
        <w:tc>
          <w:tcPr>
            <w:tcW w:type="dxa" w:w="253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17.6%</w:t>
            </w:r>
          </w:p>
        </w:tc>
      </w:tr>
    </w:tbl>
    <w:p>
      <w:pPr>
        <w:spacing w:after="0"/>
      </w:pPr>
    </w:p>
    <w:p>
      <w:pPr>
        <w:spacing w:before="60" w:after="200"/>
      </w:pPr>
      <w:r>
        <w:rPr>
          <w:i/>
          <w:sz w:val="17"/>
        </w:rPr>
        <w:t>Note. Shares use all fitted random-forest features as the denominator. The ranking includes raw institutional fields and excludes their missingness indicators, although those indicators remain in the denominator.</w:t>
      </w:r>
    </w:p>
    <w:p>
      <w:pPr>
        <w:pStyle w:val="Heading2"/>
      </w:pPr>
      <w:r>
        <w:t>Interpretation</w:t>
      </w:r>
    </w:p>
    <w:p>
      <w:r>
        <w:t>The leading institutional fields are TEA: Education (1.1% of all importance); OME: Safety and security (1.5% of all importance); NME: Education (2.0% of all importance). The fourth column shows the combined share of all raw institutional variables, allowing the leading pillar to be read in the context of the wider institutional block.</w:t>
      </w:r>
    </w:p>
    <w:p>
      <w:r>
        <w:t>Across countries, multiple institutional pillars are correlated and may substitute for one another in forest splits. Impurity importance describes model usage, not the direction or causal magnitude of an institutional effect.</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5212080" cy="6246072"/>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0.994; OME: Random Forest 0.978; NME: XGBoost 0.980.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2. Precision-recall curves</w:t>
      </w:r>
    </w:p>
    <w:p>
      <w:pPr>
        <w:spacing w:after="40"/>
        <w:jc w:val="center"/>
      </w:pPr>
      <w:r>
        <w:drawing>
          <wp:inline xmlns:a="http://schemas.openxmlformats.org/drawingml/2006/main" xmlns:pic="http://schemas.openxmlformats.org/drawingml/2006/picture">
            <wp:extent cx="5212080" cy="6246072"/>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212080" cy="6246072"/>
                    </a:xfrm>
                    <a:prstGeom prst="rect"/>
                  </pic:spPr>
                </pic:pic>
              </a:graphicData>
            </a:graphic>
          </wp:inline>
        </w:drawing>
      </w:r>
    </w:p>
    <w:p>
      <w:pPr>
        <w:spacing w:before="60" w:after="200"/>
      </w:pPr>
      <w:r>
        <w:rPr>
          <w:i/>
          <w:sz w:val="17"/>
        </w:rPr>
        <w:t>Note. Five strongest models in each panel by the area represented. Dotted line indicates chance discrimination or positive-case prevalence.</w:t>
      </w:r>
    </w:p>
    <w:p>
      <w:pPr>
        <w:pStyle w:val="Heading2"/>
      </w:pPr>
      <w:r>
        <w:t>Interpretation</w:t>
      </w:r>
    </w:p>
    <w:p>
      <w:r>
        <w:t>The largest displayed area values are TEA: XGBoost 0.953; OME: Random Forest 0.744; NME: Random Forest 0.716. The curves display ranking across all possible thresholds, complementing the single-threshold performance values in Table 4.</w:t>
      </w:r>
    </w:p>
    <w:p>
      <w:r>
        <w:t>Several curves lie close together, so small visual differences should not be interpreted as established superiority. The outcome-linked intention missingness in Table 3 remains part of these observed predictive results.</w:t>
      </w:r>
    </w:p>
    <w:p>
      <w:r>
        <w:br w:type="page"/>
      </w:r>
    </w:p>
    <w:p>
      <w:pPr>
        <w:keepNext/>
        <w:spacing w:before="140" w:after="100"/>
      </w:pPr>
      <w:r>
        <w:rPr>
          <w:b/>
          <w:sz w:val="20"/>
        </w:rPr>
        <w:t>Figure 3. Random-forest feature importance</w:t>
      </w:r>
    </w:p>
    <w:p>
      <w:pPr>
        <w:spacing w:after="40"/>
        <w:jc w:val="center"/>
      </w:pPr>
      <w:r>
        <w:drawing>
          <wp:inline xmlns:a="http://schemas.openxmlformats.org/drawingml/2006/main" xmlns:pic="http://schemas.openxmlformats.org/drawingml/2006/picture">
            <wp:extent cx="5212080" cy="625066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212080" cy="6250664"/>
                    </a:xfrm>
                    <a:prstGeom prst="rect"/>
                  </pic:spPr>
                </pic:pic>
              </a:graphicData>
            </a:graphic>
          </wp:inline>
        </w:drawing>
      </w:r>
    </w:p>
    <w:p>
      <w:pPr>
        <w:spacing w:before="60" w:after="200"/>
      </w:pPr>
      <w:r>
        <w:rPr>
          <w:i/>
          <w:sz w:val="17"/>
        </w:rPr>
        <w:t>Note. The seven largest features in each full-specification random forest are shown as shares of total impurity importance.</w:t>
      </w:r>
    </w:p>
    <w:p>
      <w:pPr>
        <w:pStyle w:val="Heading2"/>
      </w:pPr>
      <w:r>
        <w:t>Interpretation</w:t>
      </w:r>
    </w:p>
    <w:p>
      <w:r>
        <w:t>The leading fitted features are TEA: Entrepreneurial intention (45.6%); OME: Entrepreneurial intention (35.5%); NME: Entrepreneurial intention (29.2%). Their order differs across outcome definitions, indicating that the forest uses different observed inputs when identifying the three entrepreneurial statuses.</w:t>
      </w:r>
    </w:p>
    <w:p>
      <w:r>
        <w:t>Importance is a descriptive model diagnostic. It does not reveal the sign of an association or an intervention effect, and the missingness of entrepreneurial intention can contribute to its rank.</w:t>
      </w:r>
    </w:p>
    <w:p>
      <w:r>
        <w:br w:type="page"/>
      </w:r>
    </w:p>
    <w:p>
      <w:pPr>
        <w:keepNext/>
        <w:spacing w:before="140" w:after="100"/>
      </w:pPr>
      <w:r>
        <w:rPr>
          <w:b/>
          <w:sz w:val="20"/>
        </w:rPr>
        <w:t>Figure 4. Change in precision-recall area after adding controls</w:t>
      </w:r>
    </w:p>
    <w:p>
      <w:pPr>
        <w:spacing w:after="40"/>
        <w:jc w:val="center"/>
      </w:pPr>
      <w:r>
        <w:drawing>
          <wp:inline xmlns:a="http://schemas.openxmlformats.org/drawingml/2006/main" xmlns:pic="http://schemas.openxmlformats.org/drawingml/2006/picture">
            <wp:extent cx="5212080" cy="6683100"/>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212080" cy="6683100"/>
                    </a:xfrm>
                    <a:prstGeom prst="rect"/>
                  </pic:spPr>
                </pic:pic>
              </a:graphicData>
            </a:graphic>
          </wp:inline>
        </w:drawing>
      </w:r>
    </w:p>
    <w:p>
      <w:pPr>
        <w:spacing w:before="60" w:after="200"/>
      </w:pPr>
      <w:r>
        <w:rPr>
          <w:i/>
          <w:sz w:val="17"/>
        </w:rPr>
        <w:t>Note. Each dot is a ten-model paired comparison on exactly the same held-out respondents. Positive values favor the specification with controls.</w:t>
      </w:r>
    </w:p>
    <w:p>
      <w:pPr>
        <w:pStyle w:val="Heading2"/>
      </w:pPr>
      <w:r>
        <w:t>Interpretation</w:t>
      </w:r>
    </w:p>
    <w:p>
      <w:r>
        <w:t>Across model families the changes are TEA: median +0.027; OME: median +0.032; NME: median +0.039. The chart displays heterogeneity around these medians rather than reducing the comparison to the leading model in Table 6.</w:t>
      </w:r>
    </w:p>
    <w:p>
      <w:r>
        <w:t>The plotted increment belongs to the full control set, including survey year in the controlled specification. It should not be attributed to any single variable or interpreted causally.</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5212080" cy="6177982"/>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212080" cy="6177982"/>
                    </a:xfrm>
                    <a:prstGeom prst="rect"/>
                  </pic:spPr>
                </pic:pic>
              </a:graphicData>
            </a:graphic>
          </wp:inline>
        </w:drawing>
      </w:r>
    </w:p>
    <w:p>
      <w:pPr>
        <w:spacing w:before="60" w:after="200"/>
      </w:pPr>
      <w:r>
        <w:rPr>
          <w:i/>
          <w:sz w:val="17"/>
        </w:rPr>
        <w:t>Note. The six leading raw institutional fields in each random forest are shown as shares of all fitted-feature importance.</w:t>
      </w:r>
    </w:p>
    <w:p>
      <w:pPr>
        <w:pStyle w:val="Heading2"/>
      </w:pPr>
      <w:r>
        <w:t>Interpretation</w:t>
      </w:r>
    </w:p>
    <w:p>
      <w:r>
        <w:t>The three outcome panels make clear whether the institutional ranking is stable across total, opportunity-motivated, and necessity-motivated entrepreneurship. The bar scale uses the whole model as its denominator, not the institutional block alone.</w:t>
      </w:r>
    </w:p>
    <w:p>
      <w:r>
        <w:t>Across countries, index components can be strongly correlated. The bars describe model use of these fields rather than independent institutional effects.</w:t>
      </w:r>
    </w:p>
    <w:p>
      <w:r>
        <w:br w:type="page"/>
      </w:r>
    </w:p>
    <w:p>
      <w:pPr>
        <w:pStyle w:val="Heading1"/>
      </w:pPr>
      <w:r>
        <w:t>Discussion</w:t>
      </w:r>
    </w:p>
    <w:p>
      <w:r>
        <w:t>Across the three outcomes, the leading precision-recall areas are TEA: 0.953 for XGBoost; OME: 0.744 for Random Forest; NME: 0.716 for Random Forest. The pattern indicates that the saved observed-data specification separates entrepreneurial status from the negative class well on the held-out partition. Differences among model families are generally smaller than the separation from a prevalence-only benchmark, but no formal uncertainty interval was calculated.</w:t>
      </w:r>
    </w:p>
    <w:p>
      <w:r>
        <w:t>The dominant qualification is the survey structure of entrepreneurial intention: the field is missing for every positive case. Retaining this variable followed the agreed specification, but the missing state itself offers target-linked information. These discrimination measures should not be interpreted as the performance of a prospective survey in which the intention question is asked of every respondent.</w:t>
      </w:r>
    </w:p>
    <w:p>
      <w:r>
        <w:t>In the global sample, institutional measures vary by country and year, but related pillars are correlated and the model was fitted for prediction. Importance rankings do not identify a policy effect or support causal comparison between institutions.</w:t>
      </w:r>
    </w:p>
    <w:p>
      <w:pPr>
        <w:pStyle w:val="Heading1"/>
      </w:pPr>
      <w:r>
        <w:t>Conclusion</w:t>
      </w:r>
    </w:p>
    <w:p>
      <w:r>
        <w:t>The study documents outcome-specific predictive performance, the incremental value of the complete control set, and the variables used by random forests in this sample. The complete model results are retained in the supplementary tables to make the principal comparisons auditable. Substantive claims about socio-cognitive or institutional mechanisms would require analyses designed for identification rather than this predictive design.</w:t>
      </w:r>
    </w:p>
    <w:p>
      <w:r>
        <w:br w:type="page"/>
      </w:r>
    </w:p>
    <w:p>
      <w:pPr>
        <w:pStyle w:val="Heading1"/>
      </w:pPr>
      <w:r>
        <w:t>Supplementary model results</w:t>
      </w:r>
    </w:p>
    <w:p>
      <w:r>
        <w:t>The following tables show all ten candidate classifiers for every outcome. They retain the complete model-level evidence underlying the concise main tables.</w:t>
      </w:r>
    </w:p>
    <w:p>
      <w:pPr>
        <w:keepNext/>
        <w:spacing w:before="140" w:after="100"/>
      </w:pPr>
      <w:r>
        <w:rPr>
          <w:b/>
          <w:sz w:val="20"/>
        </w:rPr>
        <w:t>Supplementary Table S1. Full held-out classifier performance</w:t>
      </w:r>
    </w:p>
    <w:tbl>
      <w:tblPr>
        <w:tblW w:type="auto" w:w="0"/>
        <w:tblLayout w:type="fixed"/>
        <w:tblLook w:firstColumn="1" w:firstRow="1" w:lastColumn="0" w:lastRow="0" w:noHBand="0" w:noVBand="1" w:val="04A0"/>
      </w:tblPr>
      <w:tblGrid>
        <w:gridCol w:w="1008"/>
        <w:gridCol w:w="2333"/>
        <w:gridCol w:w="1354"/>
        <w:gridCol w:w="1310"/>
        <w:gridCol w:w="1368"/>
        <w:gridCol w:w="1339"/>
        <w:gridCol w:w="1310"/>
      </w:tblGrid>
      <w:tr>
        <w:trPr>
          <w:tblHeader/>
          <w:cantSplit/>
        </w:trPr>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33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35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36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33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31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0.886</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0.437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0.290</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0.314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0.428</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0.565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0.842</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0.713</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0.702</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0.659</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0.671</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0.625</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0.542</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0.619</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0.585</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0.227</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0.257</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0.583</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0.357</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0.629</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0.604</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0.616</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0.620</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0.661</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0.713</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0.618</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0.660</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0.664</w:t>
            </w:r>
          </w:p>
        </w:tc>
      </w:tr>
      <w:tr>
        <w:trPr>
          <w:cantSplit/>
        </w:trPr>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33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5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0.691</w:t>
            </w:r>
          </w:p>
        </w:tc>
        <w:tc>
          <w:tcPr>
            <w:tcW w:type="dxa" w:w="136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0.603</w:t>
            </w:r>
          </w:p>
        </w:tc>
        <w:tc>
          <w:tcPr>
            <w:tcW w:type="dxa" w:w="133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c>
          <w:tcPr>
            <w:tcW w:type="dxa" w:w="131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r>
    </w:tbl>
    <w:p>
      <w:pPr>
        <w:spacing w:after="0"/>
      </w:pPr>
    </w:p>
    <w:p>
      <w:pPr>
        <w:spacing w:before="60" w:after="200"/>
      </w:pPr>
      <w:r>
        <w:rPr>
          <w:i/>
          <w:sz w:val="17"/>
        </w:rPr>
        <w:t>Note. All values are from held-out test data for the full independent-variable-plus-control specification.</w:t>
      </w:r>
    </w:p>
    <w:p>
      <w:pPr>
        <w:keepNext/>
        <w:spacing w:before="140" w:after="100"/>
      </w:pPr>
      <w:r>
        <w:rPr>
          <w:b/>
          <w:sz w:val="20"/>
        </w:rPr>
        <w:t>Supplementary Table S2. Full held-out confusion matrices</w:t>
      </w:r>
    </w:p>
    <w:tbl>
      <w:tblPr>
        <w:tblW w:type="auto" w:w="0"/>
        <w:tblLayout w:type="fixed"/>
        <w:tblLook w:firstColumn="1" w:firstRow="1" w:lastColumn="0" w:lastRow="0" w:noHBand="0" w:noVBand="1" w:val="04A0"/>
      </w:tblPr>
      <w:tblGrid>
        <w:gridCol w:w="1051"/>
        <w:gridCol w:w="2218"/>
        <w:gridCol w:w="1685"/>
        <w:gridCol w:w="1685"/>
        <w:gridCol w:w="1685"/>
        <w:gridCol w:w="1699"/>
      </w:tblGrid>
      <w:tr>
        <w:trPr>
          <w:tblHeader/>
          <w:cantSplit/>
        </w:trPr>
        <w:tc>
          <w:tcPr>
            <w:tcW w:type="dxa" w:w="105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69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4,772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232,920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3,518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27,417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4,782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232,910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3,467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27,270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4,862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232,830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3,614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232,904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3,466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22,673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25,655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212,037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8,211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26,837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4,503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233,189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4,047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27,329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3,540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234,152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27,298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234,026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3,586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4,293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233,399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27,496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233,069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3,388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16,974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12,200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236,359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3,043</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16,953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12,205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236,354</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16,988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12,143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236,416</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3,029</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236,352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29,279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219,280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6,605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16,863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12,980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235,579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3,154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16,576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9,907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238,652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3,441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16,523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10,014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238,545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3,494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16,621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238,640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3,396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17,227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11,858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236,701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2,790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9,391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6,683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247,907</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4,595</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9,410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6,670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247,920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4,576</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10,112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8,561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246,029</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3,874</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9,414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6,677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247,913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4,572</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8,156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23,559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231,031</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5,830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8,449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4,977</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249,613</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5,537</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9,896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6,058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248,532</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4,090</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6,130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248,460</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4,068</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9,925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5,975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248,615</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4,061</w:t>
            </w:r>
          </w:p>
        </w:tc>
      </w:tr>
      <w:tr>
        <w:trPr>
          <w:cantSplit/>
        </w:trPr>
        <w:tc>
          <w:tcPr>
            <w:tcW w:type="dxa" w:w="105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9,655</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248,238</w:t>
            </w:r>
          </w:p>
        </w:tc>
        <w:tc>
          <w:tcPr>
            <w:tcW w:type="dxa" w:w="169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4,331</w:t>
            </w:r>
          </w:p>
        </w:tc>
      </w:tr>
    </w:tbl>
    <w:p>
      <w:pPr>
        <w:spacing w:after="0"/>
      </w:pPr>
    </w:p>
    <w:p>
      <w:pPr>
        <w:spacing w:before="60" w:after="200"/>
      </w:pPr>
      <w:r>
        <w:rPr>
          <w:i/>
          <w:sz w:val="17"/>
        </w:rPr>
        <w:t>Note. Every row sums to the test sample size for its outcome; thresholds were selected on validation data.</w:t>
      </w:r>
    </w:p>
    <w:p>
      <w:pPr>
        <w:keepNext/>
        <w:spacing w:before="140" w:after="100"/>
      </w:pPr>
      <w:r>
        <w:rPr>
          <w:b/>
          <w:sz w:val="20"/>
        </w:rPr>
        <w:t>Supplementary Table S3. Full matched comparison of predictor specifications</w:t>
      </w:r>
    </w:p>
    <w:tbl>
      <w:tblPr>
        <w:tblW w:type="auto" w:w="0"/>
        <w:tblLayout w:type="fixed"/>
        <w:tblLook w:firstColumn="1" w:firstRow="1" w:lastColumn="0" w:lastRow="0" w:noHBand="0" w:noVBand="1" w:val="04A0"/>
      </w:tblPr>
      <w:tblGrid>
        <w:gridCol w:w="1094"/>
        <w:gridCol w:w="2448"/>
        <w:gridCol w:w="2232"/>
        <w:gridCol w:w="2232"/>
        <w:gridCol w:w="2016"/>
      </w:tblGrid>
      <w:tr>
        <w:trPr>
          <w:tblHeader/>
          <w:cantSplit/>
        </w:trPr>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Outcome</w:t>
            </w:r>
          </w:p>
        </w:tc>
        <w:tc>
          <w:tcPr>
            <w:tcW w:type="dxa" w:w="244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Classifier</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0.437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TEA</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+0.022</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+0.035</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0.277</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0.290</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0.600</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+0.026</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0.552</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0.659</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+0.107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0.558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0.515</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+0.127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0.558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+0.103</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0.209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0.227</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0.578</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+0.010</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0.713</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NME</w:t>
            </w:r>
          </w:p>
        </w:tc>
        <w:tc>
          <w:tcPr>
            <w:tcW w:type="dxa" w:w="244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0.691</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bl>
    <w:p>
      <w:pPr>
        <w:spacing w:after="0"/>
      </w:pPr>
    </w:p>
    <w:p>
      <w:pPr>
        <w:spacing w:before="60" w:after="200"/>
      </w:pPr>
      <w:r>
        <w:rPr>
          <w:i/>
          <w:sz w:val="17"/>
        </w:rPr>
        <w:t>Note. Each pair was evaluated on identical held-out row identifiers. Positive change favors the specification with controls.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2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