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3 Global results and interpretation</w:t>
      </w:r>
    </w:p>
    <w:p>
      <w:pPr>
        <w:spacing w:after="220"/>
      </w:pPr>
      <w:r>
        <w:rPr>
          <w:i/>
          <w:sz w:val="22"/>
        </w:rPr>
        <w:t>Socio-cognitive traits and the Fraser Economic Freedom of the World Index</w:t>
      </w:r>
    </w:p>
    <w:p>
      <w:pPr>
        <w:pStyle w:val="Heading1"/>
      </w:pPr>
      <w:r>
        <w:t>Abstract</w:t>
      </w:r>
    </w:p>
    <w:p>
      <w:r>
        <w:t>This study evaluates prediction in the global sample, including India for total early-stage entrepreneurial activity (TEA), opportunity-motivated entrepreneurship (OME), and necessity-motivated entrepreneurship (NME). Objective 3 combines socio-cognitive traits and the fraser economic freedom of the world index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1,342,884 respondents surveyed across 8 years and 89 countries.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11.5%; OME: 7.5%; NME: 5.2%. Although all three targets use the same respondent pool, their positive classes differ substantially. This matters because a model can achieve high overall accuracy by identifying the more common negative class.</w:t>
      </w:r>
    </w:p>
    <w:p>
      <w:r>
        <w:t>The held-out sample contains 268,576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45.9%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1.25 (0.93)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economic freedom score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7.25 (0.82)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Economic freedom quartile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Government 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6.42 (1.01)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Legal system and property rights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6.52 (1.51)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Sound money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8.67 (1.12)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Freedom to trade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7.87 (1.13)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Regulation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6.78 (0.87)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41.50 (14.53)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74.55 (81460.96)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35593.44 (21374.64)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96167409.78 (259900716.69)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2.41 (4.02)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Social enterprise (32.4%), Entrepreneurial intention (23.2%), High status (22.8%). These fields can influence prediction through both their observed values and their recorded missing states.</w:t>
      </w:r>
    </w:p>
    <w:p>
      <w:r>
        <w:t>Institutional values are shared by respondents within each country and year; respondent totals must not be interpreted as independent institutional observations.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1,188,464</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1,242,797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1,272,953</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0.746</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0.831</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0.665</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Random Forest, precision-recall area 0.953; OME: Random Forest, precision-recall area 0.746; NME: Random Forest, precision-recall area 0.717.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4,276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233,416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2,833</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16,636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9,918</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238,641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3,381</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9,963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248,596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4,023</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4,276 false positives and 2,833 false negatives; OME: 9,918 false positives and 3,381 false negatives; NME: 5,994 false positives and 4,023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+0.024</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0.746</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+0.034</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+0.047</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+0.024, ten-model median +0.028; OME: selected-model change +0.034, ten-model median +0.035; NME: selected-model change +0.037, ten-model median +0.047. The model-level median limits reliance on a single selected classifier and shows whether the control set tends to add predictive information across algorithms.</w:t>
      </w:r>
    </w:p>
    <w:p>
      <w:r>
        <w:t>The comparison measures the predictive contribution of the control set as a whole on this test split. It does not identify the separate contribution or causal effect of any individual control.</w:t>
      </w:r>
    </w:p>
    <w:p>
      <w:r>
        <w:br w:type="page"/>
      </w:r>
    </w:p>
    <w:p>
      <w:pPr>
        <w:pStyle w:val="Heading1"/>
      </w:pPr>
      <w:r>
        <w:t>Institutional predictor importance</w:t>
      </w:r>
    </w:p>
    <w:p>
      <w:pPr>
        <w:keepNext/>
        <w:spacing w:before="140" w:after="100"/>
      </w:pPr>
      <w:r>
        <w:rPr>
          <w:b/>
          <w:sz w:val="20"/>
        </w:rPr>
        <w:t>Table 7. Leading institutional variables in random-forest importance</w:t>
      </w:r>
    </w:p>
    <w:tbl>
      <w:tblPr>
        <w:tblW w:type="auto" w:w="0"/>
        <w:tblLayout w:type="fixed"/>
        <w:tblLook w:firstColumn="1" w:firstRow="1" w:lastColumn="0" w:lastRow="0" w:noHBand="0" w:noVBand="1" w:val="04A0"/>
      </w:tblPr>
      <w:tblGrid>
        <w:gridCol w:w="1080"/>
        <w:gridCol w:w="3888"/>
        <w:gridCol w:w="2520"/>
        <w:gridCol w:w="2534"/>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388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252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53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All institutional fields</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Government size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7.3%</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Government size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12.1%</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Government size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13.8%</w:t>
            </w:r>
          </w:p>
        </w:tc>
      </w:tr>
    </w:tbl>
    <w:p>
      <w:pPr>
        <w:spacing w:after="0"/>
      </w:pPr>
    </w:p>
    <w:p>
      <w:pPr>
        <w:spacing w:before="60" w:after="200"/>
      </w:pPr>
      <w:r>
        <w:rPr>
          <w:i/>
          <w:sz w:val="17"/>
        </w:rPr>
        <w:t>Note. Shares use all fitted random-forest features as the denominator. The ranking includes raw institutional fields and excludes their missingness indicators, although those indicators remain in the denominator.</w:t>
      </w:r>
    </w:p>
    <w:p>
      <w:pPr>
        <w:pStyle w:val="Heading2"/>
      </w:pPr>
      <w:r>
        <w:t>Interpretation</w:t>
      </w:r>
    </w:p>
    <w:p>
      <w:r>
        <w:t>The leading institutional fields are TEA: Government size (1.6% of all importance); OME: Government size (2.4% of all importance); NME: Government size (2.6% of all importance). The fourth column shows the combined share of all raw institutional variables, allowing the leading pillar to be read in the context of the wider institutional block.</w:t>
      </w:r>
    </w:p>
    <w:p>
      <w:r>
        <w:t>Across countries, multiple institutional pillars are correlated and may substitute for one another in forest splits. Impurity importance describes model usage, not the direction or causal magnitude of an institutional effect.</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Random Forest 0.994; OME: Random Forest 0.979; NME: XGBoost 0.980.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Random Forest 0.953; OME: Random Forest 0.746; NME: Random Forest 0.717.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25066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250664"/>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(46.1%); OME: Entrepreneurial intention (35.3%); NME: Entrepreneurial intention (29.2%).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83100"/>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83100"/>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+0.028; OME: median +0.035; NME: median +0.047.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5212080" cy="6133407"/>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212080" cy="6133407"/>
                    </a:xfrm>
                    <a:prstGeom prst="rect"/>
                  </pic:spPr>
                </pic:pic>
              </a:graphicData>
            </a:graphic>
          </wp:inline>
        </w:drawing>
      </w:r>
    </w:p>
    <w:p>
      <w:pPr>
        <w:spacing w:before="60" w:after="200"/>
      </w:pPr>
      <w:r>
        <w:rPr>
          <w:i/>
          <w:sz w:val="17"/>
        </w:rPr>
        <w:t>Note. The six leading raw institutional fields in each random forest are shown as shares of all fitted-feature importance.</w:t>
      </w:r>
    </w:p>
    <w:p>
      <w:pPr>
        <w:pStyle w:val="Heading2"/>
      </w:pPr>
      <w:r>
        <w:t>Interpretation</w:t>
      </w:r>
    </w:p>
    <w:p>
      <w:r>
        <w:t>The three outcome panels make clear whether the institutional ranking is stable across total, opportunity-motivated, and necessity-motivated entrepreneurship. The bar scale uses the whole model as its denominator, not the institutional block alone.</w:t>
      </w:r>
    </w:p>
    <w:p>
      <w:r>
        <w:t>Across countries, index components can be strongly correlated. The bars describe model use of these fields rather than independent institutional effects.</w:t>
      </w:r>
    </w:p>
    <w:p>
      <w:r>
        <w:br w:type="page"/>
      </w:r>
    </w:p>
    <w:p>
      <w:pPr>
        <w:pStyle w:val="Heading1"/>
      </w:pPr>
      <w:r>
        <w:t>Discussion</w:t>
      </w:r>
    </w:p>
    <w:p>
      <w:r>
        <w:t>Across the three outcomes, the leading precision-recall areas are TEA: 0.953 for Random Forest; OME: 0.746 for Random Forest; NME: 0.717 for Random Forest.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r>
        <w:t>In the global sample, institutional measures vary by country and year, but related pillars are correlated and the model was fitted for prediction. Importance rankings do not identify a policy effect or support causal comparison between institutions.</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0.264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27,368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4,865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232,827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3,516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4,863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232,829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3,500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27,228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232,786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3,656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27,377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232,841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3,507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20,882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216,810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6,102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26,428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233,410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4,456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27,402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3,631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234,061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3,482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27,348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3,730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233,962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3,536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4,276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233,416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27,472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4,731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232,961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3,412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16,972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236,362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3,045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16,972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12,234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3,045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16,994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236,377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3,023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16,969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12,220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236,339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3,048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14,488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22,770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225,789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5,529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15,777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10,922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237,637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4,240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17,425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11,729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236,830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2,592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16,545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9,930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238,629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3,472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16,636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238,641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3,381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17,174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11,912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236,647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2,843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6,749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247,841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4,620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6,747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247,843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4,604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8,583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246,007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3,889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9,378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6,734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247,856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4,608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10,134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229,884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3,852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249,666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5,475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6,092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248,498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4,075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9,898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6,169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248,421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4,088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9,963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248,596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4,023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9,704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6,278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248,312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4,282</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+0.055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0.367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0.383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0.496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+0.162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0.497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+0.162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+0.156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0.497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+0.162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0.243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0.264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+0.047</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3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