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Objective 2 results and interpretation</w:t>
      </w:r>
    </w:p>
    <w:p>
      <w:pPr>
        <w:spacing w:after="240"/>
      </w:pPr>
      <w:r>
        <w:rPr>
          <w:i/>
          <w:sz w:val="22"/>
        </w:rPr>
        <w:t>Socio-cognitive traits and the Legatum Prosperity Index</w:t>
      </w:r>
    </w:p>
    <w:p>
      <w:pPr>
        <w:pStyle w:val="Heading1"/>
      </w:pPr>
      <w:r>
        <w:t>Results and analytical scope</w:t>
      </w:r>
    </w:p>
    <w:p>
      <w:r>
        <w:t>This manuscript reports predictive analyses for total early-stage entrepreneurial activity (TEA), opportunity-motivated entrepreneurship (OME), and necessity-motivated entrepreneurship (NME). Each outcome was modeled separately for the global sample, which includes India, and for India alone. The principal specification contains socio-cognitive and institutional predictors together with the pre-specified control variables. Independent-variable-only results are retained for matched comparisons.</w:t>
      </w:r>
    </w:p>
    <w:p>
      <w:r>
        <w:t>All estimates, figures, and tables were reconstructed from the completed saved model outputs. The ten classifiers were not refitted. Precision-recall (PR) area and receiver operating characteristic (ROC) area summarize discrimination; precision, recall, the F1 score, and confusion counts use thresholds selected on validation data and evaluated on held-out test cases. The reported comparisons describe predictive associations and do not identify causal effects.</w:t>
      </w:r>
    </w:p>
    <w:p>
      <w:pPr>
        <w:pStyle w:val="Heading1"/>
      </w:pPr>
      <w:r>
        <w:t>Sample composition</w:t>
      </w:r>
    </w:p>
    <w:p>
      <w:pPr>
        <w:keepNext/>
        <w:spacing w:before="140" w:after="100"/>
      </w:pPr>
      <w:r>
        <w:rPr>
          <w:b/>
          <w:sz w:val="20"/>
        </w:rPr>
        <w:t>Table 1. Sample size, outcome prevalence, and analysis splits</w:t>
      </w:r>
    </w:p>
    <w:tbl>
      <w:tblPr>
        <w:tblW w:type="auto" w:w="0"/>
        <w:tblLayout w:type="fixed"/>
        <w:tblLook w:firstColumn="1" w:firstRow="1" w:lastColumn="0" w:lastRow="0" w:noHBand="0" w:noVBand="1" w:val="04A0"/>
      </w:tblPr>
      <w:tblGrid>
        <w:gridCol w:w="1512"/>
        <w:gridCol w:w="1080"/>
        <w:gridCol w:w="1757"/>
        <w:gridCol w:w="1800"/>
        <w:gridCol w:w="1800"/>
        <w:gridCol w:w="1757"/>
      </w:tblGrid>
      <w:tr>
        <w:trPr>
          <w:tblHeader/>
          <w:cantSplit/>
        </w:trPr>
        <w:tc>
          <w:tcPr>
            <w:tcW w:type="dxa" w:w="151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108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175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Respondents</w:t>
            </w:r>
          </w:p>
        </w:tc>
        <w:tc>
          <w:tcPr>
            <w:tcW w:type="dxa" w:w="18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w:t>
            </w:r>
          </w:p>
        </w:tc>
        <w:tc>
          <w:tcPr>
            <w:tcW w:type="dxa" w:w="180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Prevalence</w:t>
            </w:r>
          </w:p>
        </w:tc>
        <w:tc>
          <w:tcPr>
            <w:tcW w:type="dxa" w:w="175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Test cases</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154,420</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11.5%</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100,087</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1,342,884</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69,931</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268,576</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3,188</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2,167</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5,510</w:t>
            </w:r>
          </w:p>
        </w:tc>
      </w:tr>
      <w:tr>
        <w:trPr>
          <w:cantSplit/>
        </w:trPr>
        <w:tc>
          <w:tcPr>
            <w:tcW w:type="dxa" w:w="15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08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27,555</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1,849</w:t>
            </w:r>
          </w:p>
        </w:tc>
        <w:tc>
          <w:tcPr>
            <w:tcW w:type="dxa" w:w="180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c>
          <w:tcPr>
            <w:tcW w:type="dxa" w:w="175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5,510</w:t>
            </w:r>
          </w:p>
        </w:tc>
      </w:tr>
    </w:tbl>
    <w:p>
      <w:pPr>
        <w:spacing w:after="0"/>
      </w:pPr>
    </w:p>
    <w:p>
      <w:pPr>
        <w:spacing w:before="60" w:after="200"/>
      </w:pPr>
      <w:r>
        <w:rPr>
          <w:i/>
          <w:sz w:val="17"/>
        </w:rPr>
        <w:t>Note. Global estimates include India. Training and validation counts are available in the accompanying table file; the same respondents enter paired predictor-set comparisons.</w:t>
      </w:r>
    </w:p>
    <w:p>
      <w:pPr>
        <w:pStyle w:val="Heading2"/>
      </w:pPr>
      <w:r>
        <w:t>Interpretation</w:t>
      </w:r>
    </w:p>
    <w:p>
      <w:r>
        <w:rPr>
          <w:b/>
        </w:rPr>
        <w:t xml:space="preserve">Global sample. </w:t>
      </w:r>
      <w:r>
        <w:t>The global analytical sample contains 1,342,884 respondents, with 268,576 reserved for testing in each outcome analysis. Positive-case prevalence is TEA 11.5%, OME 7.5%, NME 5.2%. The lower prevalence of opportunity- and necessity-motivated entrepreneurship means that accuracy alone would provide an incomplete assessment of classification performance.</w:t>
      </w:r>
    </w:p>
    <w:p>
      <w:r>
        <w:rPr>
          <w:b/>
        </w:rPr>
        <w:t xml:space="preserve">India sample. </w:t>
      </w:r>
      <w:r>
        <w:t>The India sample contains 27,555 respondents and 5,510 held-out observations per outcome. Its observed prevalence is TEA 11.6%, OME 7.9%, NME 6.7%. The separate India models assess within-country prediction rather than the performance of a global model transported to India.</w:t>
      </w:r>
    </w:p>
    <w:p>
      <w:r>
        <w:rPr>
          <w:b/>
        </w:rPr>
        <w:t xml:space="preserve">Interpretive implication. </w:t>
      </w:r>
      <w:r>
        <w:t>Because the global sample includes India, the two samples are not independent. Differences in performance should therefore be interpreted as descriptive differences between fitted populations, with attention to the much smaller India test set.</w:t>
      </w:r>
    </w:p>
    <w:p>
      <w:pPr>
        <w:pStyle w:val="Heading1"/>
      </w:pPr>
      <w:r>
        <w:t>Predictor distributions</w:t>
      </w:r>
    </w:p>
    <w:p>
      <w:pPr>
        <w:keepNext/>
        <w:spacing w:before="140" w:after="100"/>
      </w:pPr>
      <w:r>
        <w:rPr>
          <w:b/>
          <w:sz w:val="20"/>
        </w:rPr>
        <w:t>Table 2. Descriptive statistics and missingness of model predictors</w:t>
      </w:r>
    </w:p>
    <w:tbl>
      <w:tblPr>
        <w:tblW w:type="auto" w:w="0"/>
        <w:tblLayout w:type="fixed"/>
        <w:tblLook w:firstColumn="1" w:firstRow="1" w:lastColumn="0" w:lastRow="0" w:noHBand="0" w:noVBand="1" w:val="04A0"/>
      </w:tblPr>
      <w:tblGrid>
        <w:gridCol w:w="2765"/>
        <w:gridCol w:w="1152"/>
        <w:gridCol w:w="1685"/>
        <w:gridCol w:w="1008"/>
        <w:gridCol w:w="1685"/>
        <w:gridCol w:w="1008"/>
      </w:tblGrid>
      <w:tr>
        <w:trPr>
          <w:tblHeader/>
          <w:cantSplit/>
        </w:trPr>
        <w:tc>
          <w:tcPr>
            <w:tcW w:type="dxa" w:w="276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Predictor</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Role</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Global value</w:t>
            </w:r>
          </w:p>
        </w:tc>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c>
          <w:tcPr>
            <w:tcW w:type="dxa" w:w="168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India value</w:t>
            </w:r>
          </w:p>
        </w:tc>
        <w:tc>
          <w:tcPr>
            <w:tcW w:type="dxa" w:w="100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Missing</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self-efficacy</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Opportunity perception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18.1%</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10.4%</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Fear of failure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Knowledge of an entrepreneur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44.8%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Entrepreneurial intention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Media coverage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Discent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Busang</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Established business owner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Good career choice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1.25 (0.93)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14.3%</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1.32 (0.91)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Ease start business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43.7%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22.2%</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11.8%</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High status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70.6%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11.6%</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Social enterprise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32.4%</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Overall prosperity score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67.92 (10.53)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52.27 (1.44)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Safety and security</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75.68 (15.11)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46.96 (3.94)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Personal freedom</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69.55 (20.07)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54.00 (3.50)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Governance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63.51 (15.28)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58.39 (1.62)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Social capital</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58.35 (11.13)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43.70 (3.69)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Investment environment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66.71 (12.63)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54.87 (2.04)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Enterprise conditions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63.96 (10.82)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62.12 (1.90)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Market access and infrastructure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65.78 (11.37)</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51.05 (3.02)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Economic quality</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60.50 (10.43)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48.96 (0.69)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Living conditions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83.52 (12.29)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53.02 (2.69)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Health</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75.44 (6.23)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62.84 (2.23)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Education</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71.78 (13.11)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49.98 (0.81)</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Natural environment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Predictor</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60.27 (9.08)</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41.35 (0.44)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Yrsurv</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Age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41.50 (14.53)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35.71 (12.20)</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Gender</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Education attainment</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Household income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Hhsize</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74.55 (81460.96)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3.97 (1.66)</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Occupation status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7 categories</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per capita ppp</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35593.44 (21374.64)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6356.76 (856.84)</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Population totalthousands</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96167409.78 (259900716.69)</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1363227202.26 (32494678.65)</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w:t>
            </w:r>
          </w:p>
        </w:tc>
      </w:tr>
      <w:tr>
        <w:trPr>
          <w:cantSplit/>
        </w:trPr>
        <w:tc>
          <w:tcPr>
            <w:tcW w:type="dxa" w:w="276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Gdp growth</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Control</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2.41 (4.02)</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c>
          <w:tcPr>
            <w:tcW w:type="dxa" w:w="168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5.63 (4.43)</w:t>
            </w:r>
          </w:p>
        </w:tc>
        <w:tc>
          <w:tcPr>
            <w:tcW w:type="dxa" w:w="100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w:t>
            </w:r>
          </w:p>
        </w:tc>
      </w:tr>
    </w:tbl>
    <w:p>
      <w:pPr>
        <w:spacing w:after="0"/>
      </w:pPr>
    </w:p>
    <w:p>
      <w:pPr>
        <w:spacing w:before="60" w:after="200"/>
      </w:pPr>
      <w:r>
        <w:rPr>
          <w:i/>
          <w:sz w:val="17"/>
        </w:rPr>
        <w:t>Note. Binary values are proportions coded one; other numerical values are means with standard deviations in parentheses. Missing percentages refer to the eligible sample. Institutional scores repeat for respondents in the same country and survey year.</w:t>
      </w:r>
    </w:p>
    <w:p>
      <w:pPr>
        <w:pStyle w:val="Heading2"/>
      </w:pPr>
      <w:r>
        <w:t>Interpretation</w:t>
      </w:r>
    </w:p>
    <w:p>
      <w:r>
        <w:rPr>
          <w:b/>
        </w:rPr>
        <w:t xml:space="preserve">Global sample. </w:t>
      </w:r>
      <w:r>
        <w:t>The global distribution combines respondent-level socio-cognitive variables with country-year institutional measures. The overall prosperity score has a global summary of 67.92 (10.53) and 1.0% missingness. Several socio-cognitive fields have substantially more missing values than the institutional index, so the handling of missing categories is consequential for the fitted models.</w:t>
      </w:r>
    </w:p>
    <w:p>
      <w:r>
        <w:rPr>
          <w:b/>
        </w:rPr>
        <w:t xml:space="preserve">India sample. </w:t>
      </w:r>
      <w:r>
        <w:t>In India, the same institutional measure has a summary of 52.27 (1.44) and 0.0% missingness. Within India, each respondent surveyed in a given year receives the same national institutional score. The respondent count should therefore not be interpreted as the number of independent observations of institutional conditions.</w:t>
      </w:r>
    </w:p>
    <w:p>
      <w:r>
        <w:rPr>
          <w:b/>
        </w:rPr>
        <w:t xml:space="preserve">Interpretive implication. </w:t>
      </w:r>
      <w:r>
        <w:t>The table describes observed predictor distributions, not adjusted relationships with entrepreneurship. Institutional score differences between India and the global sample may reflect country composition and survey-year coverage as well as substantive differences in the measured conditions.</w:t>
      </w:r>
    </w:p>
    <w:p>
      <w:pPr>
        <w:pStyle w:val="Heading1"/>
      </w:pPr>
      <w:r>
        <w:t>Survey response pattern</w:t>
      </w:r>
    </w:p>
    <w:p>
      <w:pPr>
        <w:keepNext/>
        <w:spacing w:before="140" w:after="100"/>
      </w:pPr>
      <w:r>
        <w:rPr>
          <w:b/>
          <w:sz w:val="20"/>
        </w:rPr>
        <w:t>Table 3. Missing entrepreneurial intention by observed outcome</w:t>
      </w:r>
    </w:p>
    <w:tbl>
      <w:tblPr>
        <w:tblW w:type="auto" w:w="0"/>
        <w:tblLayout w:type="fixed"/>
        <w:tblLook w:firstColumn="1" w:firstRow="1" w:lastColumn="0" w:lastRow="0" w:noHBand="0" w:noVBand="1" w:val="04A0"/>
      </w:tblPr>
      <w:tblGrid>
        <w:gridCol w:w="1584"/>
        <w:gridCol w:w="1267"/>
        <w:gridCol w:w="3384"/>
        <w:gridCol w:w="3384"/>
      </w:tblGrid>
      <w:tr>
        <w:trPr>
          <w:tblHeader/>
          <w:cantSplit/>
        </w:trPr>
        <w:tc>
          <w:tcPr>
            <w:tcW w:type="dxa" w:w="15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126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33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Positive cases missing</w:t>
            </w:r>
          </w:p>
        </w:tc>
        <w:tc>
          <w:tcPr>
            <w:tcW w:type="dxa" w:w="338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Negative cases missing</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17.0%</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18.9%</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9.5%</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13.2%</w:t>
            </w:r>
          </w:p>
        </w:tc>
      </w:tr>
      <w:tr>
        <w:trPr>
          <w:cantSplit/>
        </w:trPr>
        <w:tc>
          <w:tcPr>
            <w:tcW w:type="dxa" w:w="15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126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100.0%</w:t>
            </w:r>
          </w:p>
        </w:tc>
        <w:tc>
          <w:tcPr>
            <w:tcW w:type="dxa" w:w="338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14.2%</w:t>
            </w:r>
          </w:p>
        </w:tc>
      </w:tr>
    </w:tbl>
    <w:p>
      <w:pPr>
        <w:spacing w:after="0"/>
      </w:pPr>
    </w:p>
    <w:p>
      <w:pPr>
        <w:spacing w:before="60" w:after="200"/>
      </w:pPr>
      <w:r>
        <w:rPr>
          <w:i/>
          <w:sz w:val="17"/>
        </w:rPr>
        <w:t>Note. Entrepreneurial intention was retained as a predictor as specified in the analysis plan; its missing state was preserved rather than removed.</w:t>
      </w:r>
    </w:p>
    <w:p>
      <w:pPr>
        <w:pStyle w:val="Heading2"/>
      </w:pPr>
      <w:r>
        <w:t>Interpretation</w:t>
      </w:r>
    </w:p>
    <w:p>
      <w:r>
        <w:rPr>
          <w:b/>
        </w:rPr>
        <w:t xml:space="preserve">Global sample. </w:t>
      </w:r>
      <w:r>
        <w:t>Entrepreneurial intention is missing for every positive case in all three global outcomes. Among negative cases, the corresponding missingness rates are TEA 13.2%, OME 17.0%, NME 18.9%. Missingness therefore carries substantial information about the observed outcome, independently of the respondent's stated intention value.</w:t>
      </w:r>
    </w:p>
    <w:p>
      <w:r>
        <w:rPr>
          <w:b/>
        </w:rPr>
        <w:t xml:space="preserve">India sample. </w:t>
      </w:r>
      <w:r>
        <w:t>The India analysis exhibits the same complete missingness among positive cases. The negative-case rates are TEA 9.5%, OME 13.2%, NME 14.2%. This pattern applies to all India outcomes and is present in the predictor data used by the classifiers.</w:t>
      </w:r>
    </w:p>
    <w:p>
      <w:r>
        <w:rPr>
          <w:b/>
        </w:rPr>
        <w:t xml:space="preserve">Interpretive implication. </w:t>
      </w:r>
      <w:r>
        <w:t>The survey response pattern is essential to interpreting subsequent discrimination measures. High held-out performance reflects the entire observed-data process, including outcome-linked missingness, and should not be presented as evidence that institutional measures alone predict entrepreneurship with the reported accuracy.</w:t>
      </w:r>
    </w:p>
    <w:p>
      <w:pPr>
        <w:pStyle w:val="Heading1"/>
      </w:pPr>
      <w:r>
        <w:t>Classifier discrimination</w:t>
      </w:r>
    </w:p>
    <w:p>
      <w:pPr>
        <w:keepNext/>
        <w:spacing w:before="140" w:after="100"/>
      </w:pPr>
      <w:r>
        <w:rPr>
          <w:b/>
          <w:sz w:val="20"/>
        </w:rPr>
        <w:t>Table 4. Highest precision-recall area model for each outcome and sample</w:t>
      </w:r>
    </w:p>
    <w:tbl>
      <w:tblPr>
        <w:tblW w:type="auto" w:w="0"/>
        <w:tblLayout w:type="fixed"/>
        <w:tblLook w:firstColumn="1" w:firstRow="1" w:lastColumn="0" w:lastRow="0" w:noHBand="0" w:noVBand="1" w:val="04A0"/>
      </w:tblPr>
      <w:tblGrid>
        <w:gridCol w:w="979"/>
        <w:gridCol w:w="792"/>
        <w:gridCol w:w="2347"/>
        <w:gridCol w:w="1123"/>
        <w:gridCol w:w="1123"/>
        <w:gridCol w:w="1109"/>
        <w:gridCol w:w="1109"/>
        <w:gridCol w:w="1123"/>
      </w:tblGrid>
      <w:tr>
        <w:trPr>
          <w:tblHeader/>
          <w:cantSplit/>
        </w:trPr>
        <w:tc>
          <w:tcPr>
            <w:tcW w:type="dxa" w:w="97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79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34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10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10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12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0.744</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0.664</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0.981</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0.953</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0.938</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0.751</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0.813</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r>
      <w:tr>
        <w:trPr>
          <w:cantSplit/>
        </w:trPr>
        <w:tc>
          <w:tcPr>
            <w:tcW w:type="dxa" w:w="97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9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34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10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0.837</w:t>
            </w:r>
          </w:p>
        </w:tc>
        <w:tc>
          <w:tcPr>
            <w:tcW w:type="dxa" w:w="112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0.760</w:t>
            </w:r>
          </w:p>
        </w:tc>
      </w:tr>
    </w:tbl>
    <w:p>
      <w:pPr>
        <w:spacing w:after="0"/>
      </w:pPr>
    </w:p>
    <w:p>
      <w:pPr>
        <w:spacing w:before="60" w:after="200"/>
      </w:pPr>
      <w:r>
        <w:rPr>
          <w:i/>
          <w:sz w:val="17"/>
        </w:rPr>
        <w:t>Note. The selected model has the largest held-out precision-recall area within each sample and outcome. All ten model results appear in Supplementary Table S1. Selection here is descriptive and does not imply a statistically significant advantage.</w:t>
      </w:r>
    </w:p>
    <w:p>
      <w:pPr>
        <w:pStyle w:val="Heading2"/>
      </w:pPr>
      <w:r>
        <w:t>Interpretation</w:t>
      </w:r>
    </w:p>
    <w:p>
      <w:r>
        <w:rPr>
          <w:b/>
        </w:rPr>
        <w:t xml:space="preserve">Global sample. </w:t>
      </w:r>
      <w:r>
        <w:t>The best observed precision-recall area in the global sample is TEA: XGBoost (precision-recall area 0.953); OME: Random Forest (precision-recall area 0.744); NME: Random Forest (precision-recall area 0.716). Discrimination is strongest for total early-stage entrepreneurial activity, while the two motive-specific outcomes are more difficult to identify because they have fewer positive cases and differ in their outcome composition.</w:t>
      </w:r>
    </w:p>
    <w:p>
      <w:r>
        <w:rPr>
          <w:b/>
        </w:rPr>
        <w:t xml:space="preserve">India sample. </w:t>
      </w:r>
      <w:r>
        <w:t>For India, the corresponding selected classifiers are TEA: XGBoost (precision-recall area 0.981); OME: Random Forest (precision-recall area 0.858); NME: H2O GBM (precision-recall area 0.830). The leading algorithm differs across outcomes, indicating that the relative performance of model families depends on the target. Estimates are based on the smaller India test sample and should be read with this sampling difference in mind.</w:t>
      </w:r>
    </w:p>
    <w:p>
      <w:r>
        <w:rPr>
          <w:b/>
        </w:rPr>
        <w:t xml:space="preserve">Interpretive implication. </w:t>
      </w:r>
      <w:r>
        <w:t>The near-ceiling receiver operating characteristic areas must be interpreted alongside Table 3. They measure ranking on the saved held-out split under the observed survey missingness structure, not the predictive contribution of any one socio-cognitive or institutional variable.</w:t>
      </w:r>
    </w:p>
    <w:p>
      <w:pPr>
        <w:pStyle w:val="Heading1"/>
      </w:pPr>
      <w:r>
        <w:t>Classification at selected thresholds</w:t>
      </w:r>
    </w:p>
    <w:p>
      <w:pPr>
        <w:keepNext/>
        <w:spacing w:before="140" w:after="100"/>
      </w:pPr>
      <w:r>
        <w:rPr>
          <w:b/>
          <w:sz w:val="20"/>
        </w:rPr>
        <w:t>Table 5. Confusion counts for the selected classifiers</w:t>
      </w:r>
    </w:p>
    <w:tbl>
      <w:tblPr>
        <w:tblW w:type="auto" w:w="0"/>
        <w:tblLayout w:type="fixed"/>
        <w:tblLook w:firstColumn="1" w:firstRow="1" w:lastColumn="0" w:lastRow="0" w:noHBand="0" w:noVBand="1" w:val="04A0"/>
      </w:tblPr>
      <w:tblGrid>
        <w:gridCol w:w="1022"/>
        <w:gridCol w:w="850"/>
        <w:gridCol w:w="2218"/>
        <w:gridCol w:w="1397"/>
        <w:gridCol w:w="1411"/>
        <w:gridCol w:w="1411"/>
        <w:gridCol w:w="1411"/>
      </w:tblGrid>
      <w:tr>
        <w:trPr>
          <w:tblHeader/>
          <w:cantSplit/>
        </w:trPr>
        <w:tc>
          <w:tcPr>
            <w:tcW w:type="dxa" w:w="102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5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218"/>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39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41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27,329</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3,540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234,152</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3,555</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16,621</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9,919</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238,640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3,396</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9,925</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5,975</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248,615</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4,061</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607</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352</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117</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4,960</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r>
        <w:trPr>
          <w:cantSplit/>
        </w:trPr>
        <w:tc>
          <w:tcPr>
            <w:tcW w:type="dxa" w:w="102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5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18"/>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39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309</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41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w:t>
            </w:r>
          </w:p>
        </w:tc>
      </w:tr>
    </w:tbl>
    <w:p>
      <w:pPr>
        <w:spacing w:after="0"/>
      </w:pPr>
    </w:p>
    <w:p>
      <w:pPr>
        <w:spacing w:before="60" w:after="200"/>
      </w:pPr>
      <w:r>
        <w:rPr>
          <w:i/>
          <w:sz w:val="17"/>
        </w:rPr>
        <w:t>Note. Each model's threshold was chosen using validation observations. Complete confusion matrices for all ten classifiers are provided in Supplementary Table S2.</w:t>
      </w:r>
    </w:p>
    <w:p>
      <w:pPr>
        <w:pStyle w:val="Heading2"/>
      </w:pPr>
      <w:r>
        <w:t>Interpretation</w:t>
      </w:r>
    </w:p>
    <w:p>
      <w:r>
        <w:rPr>
          <w:b/>
        </w:rPr>
        <w:t xml:space="preserve">Global sample. </w:t>
      </w:r>
      <w:r>
        <w:t>At their validation-selected thresholds, the selected global classifiers produce TEA: 3,540 false positives and 3,555 false negatives; OME: 9,919 false positives and 3,396 false negatives; NME: 5,975 false positives and 4,061 false negatives. These counts show the operating-point trade-off that is hidden by a single curve-area statistic. In particular, the smaller positive classes make false positive classifications consequential for precision.</w:t>
      </w:r>
    </w:p>
    <w:p>
      <w:r>
        <w:rPr>
          <w:b/>
        </w:rPr>
        <w:t xml:space="preserve">India sample. </w:t>
      </w:r>
      <w:r>
        <w:t>For India, the selected models produce TEA: 50 false positives and 30 false negatives; OME: 117 false positives and 81 false negatives; NME: 135 false positives and 60 false negatives. The absolute counts are lower because the India test set is smaller. Model comparisons should use both these counts and the corresponding precision and recall values rather than the raw number of errors alone.</w:t>
      </w:r>
    </w:p>
    <w:p>
      <w:r>
        <w:rPr>
          <w:b/>
        </w:rPr>
        <w:t xml:space="preserve">Interpretive implication. </w:t>
      </w:r>
      <w:r>
        <w:t>No application-specific cost of a false positive or false negative was specified. Consequently, the reported validation-selected thresholds provide reproducible operating points but do not establish an optimal threshold for a policy or screening decision.</w:t>
      </w:r>
    </w:p>
    <w:p>
      <w:pPr>
        <w:pStyle w:val="Heading1"/>
      </w:pPr>
      <w:r>
        <w:t>Incremental information from controls</w:t>
      </w:r>
    </w:p>
    <w:p>
      <w:pPr>
        <w:keepNext/>
        <w:spacing w:before="140" w:after="100"/>
      </w:pPr>
      <w:r>
        <w:rPr>
          <w:b/>
          <w:sz w:val="20"/>
        </w:rPr>
        <w:t>Table 6. Change in precision-recall area after including control variables</w:t>
      </w:r>
    </w:p>
    <w:tbl>
      <w:tblPr>
        <w:tblW w:type="auto" w:w="0"/>
        <w:tblLayout w:type="fixed"/>
        <w:tblLook w:firstColumn="1" w:firstRow="1" w:lastColumn="0" w:lastRow="0" w:noHBand="0" w:noVBand="1" w:val="04A0"/>
      </w:tblPr>
      <w:tblGrid>
        <w:gridCol w:w="936"/>
        <w:gridCol w:w="806"/>
        <w:gridCol w:w="2016"/>
        <w:gridCol w:w="1469"/>
        <w:gridCol w:w="1469"/>
        <w:gridCol w:w="1094"/>
        <w:gridCol w:w="2261"/>
      </w:tblGrid>
      <w:tr>
        <w:trPr>
          <w:tblHeader/>
          <w:cantSplit/>
        </w:trPr>
        <w:tc>
          <w:tcPr>
            <w:tcW w:type="dxa" w:w="93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0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01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Selected model</w:t>
            </w:r>
          </w:p>
        </w:tc>
        <w:tc>
          <w:tcPr>
            <w:tcW w:type="dxa" w:w="146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Predictors only</w:t>
            </w:r>
          </w:p>
        </w:tc>
        <w:tc>
          <w:tcPr>
            <w:tcW w:type="dxa" w:w="146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With controls</w:t>
            </w:r>
          </w:p>
        </w:tc>
        <w:tc>
          <w:tcPr>
            <w:tcW w:type="dxa" w:w="10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w:t>
            </w:r>
          </w:p>
        </w:tc>
        <w:tc>
          <w:tcPr>
            <w:tcW w:type="dxa" w:w="226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Median change all models</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+0.022</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0.712</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0.744</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+0.033</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XGBoost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0.981</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+0.006</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0.854</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0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01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46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0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+0.007</w:t>
            </w:r>
          </w:p>
        </w:tc>
        <w:tc>
          <w:tcPr>
            <w:tcW w:type="dxa" w:w="226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bl>
    <w:p>
      <w:pPr>
        <w:spacing w:after="0"/>
      </w:pPr>
    </w:p>
    <w:p>
      <w:pPr>
        <w:spacing w:before="60" w:after="200"/>
      </w:pPr>
      <w:r>
        <w:rPr>
          <w:i/>
          <w:sz w:val="17"/>
        </w:rPr>
        <w:t>Note. Change is the score with controls minus the predictor-only score on exactly the same held-out respondents. Full paired results are shown in Supplementary Table S3.</w:t>
      </w:r>
    </w:p>
    <w:p>
      <w:pPr>
        <w:pStyle w:val="Heading2"/>
      </w:pPr>
      <w:r>
        <w:t>Interpretation</w:t>
      </w:r>
    </w:p>
    <w:p>
      <w:r>
        <w:rPr>
          <w:b/>
        </w:rPr>
        <w:t xml:space="preserve">Global sample. </w:t>
      </w:r>
      <w:r>
        <w:t>For the selected global model in each outcome, the precision-recall area changes are TEA +0.022; OME +0.033; NME +0.037. The final column summarizes the corresponding change across all ten model families, guarding against an interpretation based only on the selected classifier.</w:t>
      </w:r>
    </w:p>
    <w:p>
      <w:r>
        <w:rPr>
          <w:b/>
        </w:rPr>
        <w:t xml:space="preserve">India sample. </w:t>
      </w:r>
      <w:r>
        <w:t>The selected India model changes are TEA +0.006; OME +0.004; NME +0.007. Survey year is included in the control specification. Since India's institutional scores are annual country-level values, year and the institutional indices capture overlapping temporal variation.</w:t>
      </w:r>
    </w:p>
    <w:p>
      <w:r>
        <w:rPr>
          <w:b/>
        </w:rPr>
        <w:t xml:space="preserve">Interpretive implication. </w:t>
      </w:r>
      <w:r>
        <w:t>These matched test-split differences describe incremental predictive information from the full control set. They do not estimate the independent effect of age, survey year, macroeconomic conditions, or any single institutional pillar.</w:t>
      </w:r>
    </w:p>
    <w:p>
      <w:r>
        <w:br w:type="page"/>
      </w:r>
    </w:p>
    <w:p>
      <w:pPr>
        <w:pStyle w:val="Heading1"/>
      </w:pPr>
      <w:r>
        <w:t>Institutional predictors</w:t>
      </w:r>
    </w:p>
    <w:p>
      <w:pPr>
        <w:keepNext/>
        <w:spacing w:before="140" w:after="100"/>
      </w:pPr>
      <w:r>
        <w:rPr>
          <w:b/>
          <w:sz w:val="20"/>
        </w:rPr>
        <w:t>Table 7. Leading institutional predictors in the random forest</w:t>
      </w:r>
    </w:p>
    <w:tbl>
      <w:tblPr>
        <w:tblW w:type="auto" w:w="0"/>
        <w:tblLayout w:type="fixed"/>
        <w:tblLook w:firstColumn="1" w:firstRow="1" w:lastColumn="0" w:lastRow="0" w:noHBand="0" w:noVBand="1" w:val="04A0"/>
      </w:tblPr>
      <w:tblGrid>
        <w:gridCol w:w="1037"/>
        <w:gridCol w:w="835"/>
        <w:gridCol w:w="3312"/>
        <w:gridCol w:w="1944"/>
        <w:gridCol w:w="2419"/>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3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331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Leading institutional variable</w:t>
            </w:r>
          </w:p>
        </w:tc>
        <w:tc>
          <w:tcPr>
            <w:tcW w:type="dxa" w:w="194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Share of all importance</w:t>
            </w:r>
          </w:p>
        </w:tc>
        <w:tc>
          <w:tcPr>
            <w:tcW w:type="dxa" w:w="241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Institutional total</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Education</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Safety and security</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15.3%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Education</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17.6%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Safety and security</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0.4%</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Living conditions</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331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Market access and infrastructure</w:t>
            </w:r>
          </w:p>
        </w:tc>
        <w:tc>
          <w:tcPr>
            <w:tcW w:type="dxa" w:w="194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w:t>
            </w:r>
          </w:p>
        </w:tc>
        <w:tc>
          <w:tcPr>
            <w:tcW w:type="dxa" w:w="241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6.4%</w:t>
            </w:r>
          </w:p>
        </w:tc>
      </w:tr>
    </w:tbl>
    <w:p>
      <w:pPr>
        <w:spacing w:after="0"/>
      </w:pPr>
    </w:p>
    <w:p>
      <w:pPr>
        <w:spacing w:before="60" w:after="200"/>
      </w:pPr>
      <w:r>
        <w:rPr>
          <w:i/>
          <w:sz w:val="17"/>
        </w:rPr>
        <w:t>Note. Importance is the random forest's impurity-based allocation across fitted inputs. The institutional total sums all raw institutional fields, while the leading-variable column reports the largest one. Missingness indicators enter the denominator but are excluded from the institutional ranking.</w:t>
      </w:r>
    </w:p>
    <w:p>
      <w:pPr>
        <w:pStyle w:val="Heading2"/>
      </w:pPr>
      <w:r>
        <w:t>Interpretation</w:t>
      </w:r>
    </w:p>
    <w:p>
      <w:r>
        <w:rPr>
          <w:b/>
        </w:rPr>
        <w:t xml:space="preserve">Global sample. </w:t>
      </w:r>
      <w:r>
        <w:t>The most prominent institutional dimensions in the global fits are TEA: Education (1.1% of all importance); OME: Safety and security (1.5% of all importance); NME: Education (2.0% of all importance). The reported shares indicate how often the model used these fields in impurity-reducing splits relative to all predictors, including socio-cognitive variables and controls.</w:t>
      </w:r>
    </w:p>
    <w:p>
      <w:r>
        <w:rPr>
          <w:b/>
        </w:rPr>
        <w:t xml:space="preserve">India sample. </w:t>
      </w:r>
      <w:r>
        <w:t>In the India fits, the leading institutional fields are TEA: Safety and security (0.4% of all importance); OME: Living conditions (0.7% of all importance); NME: Market access and infrastructure (0.6% of all importance). These scores vary at the national annual level, yielding only eight distinct survey-year profiles. A large or small importance share is therefore sensitive to the particular temporal pattern and to competition with the year control.</w:t>
      </w:r>
    </w:p>
    <w:p>
      <w:r>
        <w:rPr>
          <w:b/>
        </w:rPr>
        <w:t xml:space="preserve">Interpretive implication. </w:t>
      </w:r>
      <w:r>
        <w:t>Random-forest impurity importance is not an effect estimate and may redistribute importance among correlated institutional pillars. The table supports a descriptive account of model reliance, not a ranking of which policy reform would change entrepreneurship rates.</w:t>
      </w:r>
    </w:p>
    <w:p>
      <w:pPr>
        <w:pStyle w:val="Heading1"/>
      </w:pPr>
      <w:r>
        <w:t>Figures</w:t>
      </w:r>
    </w:p>
    <w:p>
      <w:r>
        <w:br w:type="page"/>
      </w:r>
    </w:p>
    <w:p>
      <w:pPr>
        <w:keepNext/>
        <w:spacing w:before="140" w:after="100"/>
      </w:pPr>
      <w:r>
        <w:rPr>
          <w:b/>
          <w:sz w:val="20"/>
        </w:rPr>
        <w:t>Figure 1. Receiver operating characteristic curves</w:t>
      </w:r>
    </w:p>
    <w:p>
      <w:pPr>
        <w:spacing w:after="40"/>
        <w:jc w:val="center"/>
      </w:pPr>
      <w:r>
        <w:drawing>
          <wp:inline xmlns:a="http://schemas.openxmlformats.org/drawingml/2006/main" xmlns:pic="http://schemas.openxmlformats.org/drawingml/2006/picture">
            <wp:extent cx="4983480" cy="5913160"/>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4983480" cy="5913160"/>
                    </a:xfrm>
                    <a:prstGeom prst="rect"/>
                  </pic:spPr>
                </pic:pic>
              </a:graphicData>
            </a:graphic>
          </wp:inline>
        </w:drawing>
      </w:r>
    </w:p>
    <w:p>
      <w:pPr>
        <w:spacing w:before="60" w:after="200"/>
      </w:pPr>
      <w:r>
        <w:rPr>
          <w:i/>
          <w:sz w:val="17"/>
        </w:rPr>
        <w:t>Note. The five largest receiver operating characteristic areas are plotted within each sample and outcome panel. The dotted diagonal represents chance ranking.</w:t>
      </w:r>
    </w:p>
    <w:p>
      <w:pPr>
        <w:pStyle w:val="Heading2"/>
      </w:pPr>
      <w:r>
        <w:t>Interpretation</w:t>
      </w:r>
    </w:p>
    <w:p>
      <w:r>
        <w:rPr>
          <w:b/>
        </w:rPr>
        <w:t xml:space="preserve">Global sample. </w:t>
      </w:r>
      <w:r>
        <w:t>The global panels show consistently strong ranking across the three outcomes. For the models selected by precision-recall area, the corresponding receiver operating characteristic area values are TEA XGBoost (0.994); OME Random Forest (0.978); NME Random Forest (0.979). The spread between curves is much smaller than the separation from the reference line, indicating that several model families perform similarly on the saved test split.</w:t>
      </w:r>
    </w:p>
    <w:p>
      <w:r>
        <w:rPr>
          <w:b/>
        </w:rPr>
        <w:t xml:space="preserve">India sample. </w:t>
      </w:r>
      <w:r>
        <w:t>The India panels show receiver operating characteristic area values of TEA XGBoost (0.998); OME Random Forest (0.988); NME H2O GBM (0.988) for the selected classifiers. Differences in curve shape should be read against the smaller India test sample and the prevalence of each positive outcome. The India curves describe separately trained country-specific fits.</w:t>
      </w:r>
    </w:p>
    <w:p>
      <w:r>
        <w:br w:type="page"/>
      </w:r>
    </w:p>
    <w:p>
      <w:pPr>
        <w:keepNext/>
        <w:spacing w:before="140" w:after="100"/>
      </w:pPr>
      <w:r>
        <w:rPr>
          <w:b/>
          <w:sz w:val="20"/>
        </w:rPr>
        <w:t>Figure 2. Precision recall curves</w:t>
      </w:r>
    </w:p>
    <w:p>
      <w:pPr>
        <w:spacing w:after="40"/>
        <w:jc w:val="center"/>
      </w:pPr>
      <w:r>
        <w:drawing>
          <wp:inline xmlns:a="http://schemas.openxmlformats.org/drawingml/2006/main" xmlns:pic="http://schemas.openxmlformats.org/drawingml/2006/picture">
            <wp:extent cx="4983480" cy="5913160"/>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4983480" cy="5913160"/>
                    </a:xfrm>
                    <a:prstGeom prst="rect"/>
                  </pic:spPr>
                </pic:pic>
              </a:graphicData>
            </a:graphic>
          </wp:inline>
        </w:drawing>
      </w:r>
    </w:p>
    <w:p>
      <w:pPr>
        <w:spacing w:before="60" w:after="200"/>
      </w:pPr>
      <w:r>
        <w:rPr>
          <w:i/>
          <w:sz w:val="17"/>
        </w:rPr>
        <w:t>Note. The five largest precision-recall areas are plotted within each panel. The dotted horizontal line marks outcome prevalence.</w:t>
      </w:r>
    </w:p>
    <w:p>
      <w:pPr>
        <w:pStyle w:val="Heading2"/>
      </w:pPr>
      <w:r>
        <w:t>Interpretation</w:t>
      </w:r>
    </w:p>
    <w:p>
      <w:r>
        <w:rPr>
          <w:b/>
        </w:rPr>
        <w:t xml:space="preserve">Global sample. </w:t>
      </w:r>
      <w:r>
        <w:t>The global panels show consistently strong ranking across the three outcomes. For the models selected by precision-recall area, the corresponding precision-recall area values are TEA XGBoost (0.953); OME Random Forest (0.744); NME Random Forest (0.716). The spread between curves is much smaller than the separation from the reference line, indicating that several model families perform similarly on the saved test split.</w:t>
      </w:r>
    </w:p>
    <w:p>
      <w:r>
        <w:rPr>
          <w:b/>
        </w:rPr>
        <w:t xml:space="preserve">India sample. </w:t>
      </w:r>
      <w:r>
        <w:t>The India panels show precision-recall area values of TEA XGBoost (0.981); OME Random Forest (0.858); NME H2O GBM (0.830) for the selected classifiers. Differences in curve shape should be read against the smaller India test sample and the prevalence of each positive outcome. The India curves describe separately trained country-specific fits.</w:t>
      </w:r>
    </w:p>
    <w:p>
      <w:r>
        <w:br w:type="page"/>
      </w:r>
    </w:p>
    <w:p>
      <w:pPr>
        <w:keepNext/>
        <w:spacing w:before="140" w:after="100"/>
      </w:pPr>
      <w:r>
        <w:rPr>
          <w:b/>
          <w:sz w:val="20"/>
        </w:rPr>
        <w:t>Figure 3. Random forest feature importance</w:t>
      </w:r>
    </w:p>
    <w:p>
      <w:pPr>
        <w:spacing w:after="40"/>
        <w:jc w:val="center"/>
      </w:pPr>
      <w:r>
        <w:drawing>
          <wp:inline xmlns:a="http://schemas.openxmlformats.org/drawingml/2006/main" xmlns:pic="http://schemas.openxmlformats.org/drawingml/2006/picture">
            <wp:extent cx="4983480" cy="6206294"/>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4983480" cy="6206294"/>
                    </a:xfrm>
                    <a:prstGeom prst="rect"/>
                  </pic:spPr>
                </pic:pic>
              </a:graphicData>
            </a:graphic>
          </wp:inline>
        </w:drawing>
      </w:r>
    </w:p>
    <w:p>
      <w:pPr>
        <w:spacing w:before="60" w:after="200"/>
      </w:pPr>
      <w:r>
        <w:rPr>
          <w:i/>
          <w:sz w:val="17"/>
        </w:rPr>
        <w:t>Note. Bars show the five most important inputs in each random forest, expressed as a share of total impurity importance.</w:t>
      </w:r>
    </w:p>
    <w:p>
      <w:pPr>
        <w:pStyle w:val="Heading2"/>
      </w:pPr>
      <w:r>
        <w:t>Interpretation</w:t>
      </w:r>
    </w:p>
    <w:p>
      <w:r>
        <w:rPr>
          <w:b/>
        </w:rPr>
        <w:t xml:space="preserve">Global sample. </w:t>
      </w:r>
      <w:r>
        <w:t>The leading inputs in the global panels are TEA: Entrepreneurial intention; OME: Entrepreneurial intention; NME: Entrepreneurial intention. The figure also shows that the importance profile changes across the three outcome definitions. Feature importance here records the fitted forest's use of a variable in splitting the data, rather than the direction of its relationship with entrepreneurship.</w:t>
      </w:r>
    </w:p>
    <w:p>
      <w:r>
        <w:rPr>
          <w:b/>
        </w:rPr>
        <w:t xml:space="preserve">India sample. </w:t>
      </w:r>
      <w:r>
        <w:t>The India panels identify TEA: Entrepreneurial intention; OME: Entrepreneurial intention; NME: Entrepreneurial intention as the leading inputs. The narrower country-specific sample and limited variation in national institutional scores can change the ordering relative to the global fits.</w:t>
      </w:r>
    </w:p>
    <w:p>
      <w:r>
        <w:br w:type="page"/>
      </w:r>
    </w:p>
    <w:p>
      <w:pPr>
        <w:keepNext/>
        <w:spacing w:before="140" w:after="100"/>
      </w:pPr>
      <w:r>
        <w:rPr>
          <w:b/>
          <w:sz w:val="20"/>
        </w:rPr>
        <w:t>Figure 4. Change in precision recall area after adding controls</w:t>
      </w:r>
    </w:p>
    <w:p>
      <w:pPr>
        <w:spacing w:after="40"/>
        <w:jc w:val="center"/>
      </w:pPr>
      <w:r>
        <w:drawing>
          <wp:inline xmlns:a="http://schemas.openxmlformats.org/drawingml/2006/main" xmlns:pic="http://schemas.openxmlformats.org/drawingml/2006/picture">
            <wp:extent cx="4983480" cy="5970929"/>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4983480" cy="5970929"/>
                    </a:xfrm>
                    <a:prstGeom prst="rect"/>
                  </pic:spPr>
                </pic:pic>
              </a:graphicData>
            </a:graphic>
          </wp:inline>
        </w:drawing>
      </w:r>
    </w:p>
    <w:p>
      <w:pPr>
        <w:spacing w:before="60" w:after="200"/>
      </w:pPr>
      <w:r>
        <w:rPr>
          <w:i/>
          <w:sz w:val="17"/>
        </w:rPr>
        <w:t>Note. Dots show the change in held-out precision-recall area for each of the ten model families when controls are included.</w:t>
      </w:r>
    </w:p>
    <w:p>
      <w:pPr>
        <w:pStyle w:val="Heading2"/>
      </w:pPr>
      <w:r>
        <w:t>Interpretation</w:t>
      </w:r>
    </w:p>
    <w:p>
      <w:r>
        <w:rPr>
          <w:b/>
        </w:rPr>
        <w:t xml:space="preserve">Global sample. </w:t>
      </w:r>
      <w:r>
        <w:t>In the global analysis, TEA: 10 of ten models improve; median change +0.027; OME: 10 of ten models improve; median change +0.032; NME: 10 of ten models improve; median change +0.039. The horizontal distance from zero makes the incremental predictive value of the entire control set visible for each classifier and outcome.</w:t>
      </w:r>
    </w:p>
    <w:p>
      <w:r>
        <w:rPr>
          <w:b/>
        </w:rPr>
        <w:t xml:space="preserve">India sample. </w:t>
      </w:r>
      <w:r>
        <w:t>In India, TEA: 8 of ten models improve; median change +0.005; OME: 8 of ten models improve; median change +0.006; NME: 7 of ten models improve; median change +0.004. The spread across model families indicates that adding controls does not contribute a fixed amount of information independent of the learning algorithm.</w:t>
      </w:r>
    </w:p>
    <w:p>
      <w:r>
        <w:br w:type="page"/>
      </w:r>
    </w:p>
    <w:p>
      <w:pPr>
        <w:keepNext/>
        <w:spacing w:before="140" w:after="100"/>
      </w:pPr>
      <w:r>
        <w:rPr>
          <w:b/>
          <w:sz w:val="20"/>
        </w:rPr>
        <w:t>Figure 5. Institutional feature importance</w:t>
      </w:r>
    </w:p>
    <w:p>
      <w:pPr>
        <w:spacing w:after="40"/>
        <w:jc w:val="center"/>
      </w:pPr>
      <w:r>
        <w:drawing>
          <wp:inline xmlns:a="http://schemas.openxmlformats.org/drawingml/2006/main" xmlns:pic="http://schemas.openxmlformats.org/drawingml/2006/picture">
            <wp:extent cx="4983480" cy="6130658"/>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4983480" cy="6130658"/>
                    </a:xfrm>
                    <a:prstGeom prst="rect"/>
                  </pic:spPr>
                </pic:pic>
              </a:graphicData>
            </a:graphic>
          </wp:inline>
        </w:drawing>
      </w:r>
    </w:p>
    <w:p>
      <w:pPr>
        <w:spacing w:before="60" w:after="200"/>
      </w:pPr>
      <w:r>
        <w:rPr>
          <w:i/>
          <w:sz w:val="17"/>
        </w:rPr>
        <w:t>Note. Bars show the five most important raw institutional variables in each random forest, as a share of total model importance.</w:t>
      </w:r>
    </w:p>
    <w:p>
      <w:pPr>
        <w:pStyle w:val="Heading2"/>
      </w:pPr>
      <w:r>
        <w:t>Interpretation</w:t>
      </w:r>
    </w:p>
    <w:p>
      <w:r>
        <w:rPr>
          <w:b/>
        </w:rPr>
        <w:t xml:space="preserve">Global sample. </w:t>
      </w:r>
      <w:r>
        <w:t>The leading institutional fields in the global panels are TEA: Education (1.1%); OME: Safety and security (1.5%); NME: Education (2.0%). Their bars use all fitted predictors as the denominator, allowing the reader to judge institutional usage in the context of the wider model rather than only relative to other institutional pillars.</w:t>
      </w:r>
    </w:p>
    <w:p>
      <w:r>
        <w:rPr>
          <w:b/>
        </w:rPr>
        <w:t xml:space="preserve">India sample. </w:t>
      </w:r>
      <w:r>
        <w:t>For India, the corresponding leading fields are TEA: Safety and security (0.4%); OME: Living conditions (0.7%); NME: Market access and infrastructure (0.6%). Because the scores are shared by respondents in the same year, the bars primarily summarize how the model uses annual national variation.</w:t>
      </w:r>
    </w:p>
    <w:p>
      <w:r>
        <w:br w:type="page"/>
      </w:r>
    </w:p>
    <w:p>
      <w:pPr>
        <w:pStyle w:val="Heading1"/>
      </w:pPr>
      <w:r>
        <w:t>Supplementary model tables</w:t>
      </w:r>
    </w:p>
    <w:p>
      <w:r>
        <w:t>The following tables retain all ten fitted model families for each outcome and sample. They are included for auditability; the principal tables in the results section summarize the selected models.</w:t>
      </w:r>
    </w:p>
    <w:p>
      <w:pPr>
        <w:keepNext/>
        <w:spacing w:before="140" w:after="100"/>
      </w:pPr>
      <w:r>
        <w:rPr>
          <w:b/>
          <w:sz w:val="20"/>
        </w:rPr>
        <w:t>Supplementary Table S1. Complete held-out classifier performance</w:t>
      </w:r>
    </w:p>
    <w:tbl>
      <w:tblPr>
        <w:tblW w:type="auto" w:w="0"/>
        <w:tblLayout w:type="fixed"/>
        <w:tblLook w:firstColumn="1" w:firstRow="1" w:lastColumn="0" w:lastRow="0" w:noHBand="0" w:noVBand="1" w:val="04A0"/>
      </w:tblPr>
      <w:tblGrid>
        <w:gridCol w:w="936"/>
        <w:gridCol w:w="763"/>
        <w:gridCol w:w="2232"/>
        <w:gridCol w:w="1166"/>
        <w:gridCol w:w="1166"/>
        <w:gridCol w:w="1152"/>
        <w:gridCol w:w="1152"/>
        <w:gridCol w:w="1152"/>
      </w:tblGrid>
      <w:tr>
        <w:trPr>
          <w:tblHeader/>
          <w:cantSplit/>
        </w:trPr>
        <w:tc>
          <w:tcPr>
            <w:tcW w:type="dxa" w:w="93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763"/>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23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1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ROC area</w:t>
            </w:r>
          </w:p>
        </w:tc>
        <w:tc>
          <w:tcPr>
            <w:tcW w:type="dxa" w:w="116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area</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Precision</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Recall</w:t>
            </w:r>
          </w:p>
        </w:tc>
        <w:tc>
          <w:tcPr>
            <w:tcW w:type="dxa" w:w="1152"/>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0.902</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0.437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0.572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0.993</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0.992</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0.873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0.691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0.314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0.428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0.565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0.713</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0.592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0.542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0.885</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0.257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0.357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0.969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0.980</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0.618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0.979</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0.664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0.948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0.997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0.784</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0.910</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0.612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0.586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0.984</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0.792</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0.759</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0.780</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0.887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0.755</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0.728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0.751</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0.868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0.461</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0.493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0.527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0.986</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0.747</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0.809</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0.757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0.766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0.755</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0.778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0.766</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0.987</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0.843</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0.748</w:t>
            </w:r>
          </w:p>
        </w:tc>
      </w:tr>
      <w:tr>
        <w:trPr>
          <w:cantSplit/>
        </w:trPr>
        <w:tc>
          <w:tcPr>
            <w:tcW w:type="dxa" w:w="93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763"/>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23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0.988</w:t>
            </w:r>
          </w:p>
        </w:tc>
        <w:tc>
          <w:tcPr>
            <w:tcW w:type="dxa" w:w="116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0.696</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0.837</w:t>
            </w:r>
          </w:p>
        </w:tc>
        <w:tc>
          <w:tcPr>
            <w:tcW w:type="dxa" w:w="1152"/>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0.760</w:t>
            </w:r>
          </w:p>
        </w:tc>
      </w:tr>
    </w:tbl>
    <w:p>
      <w:pPr>
        <w:spacing w:after="0"/>
      </w:pPr>
    </w:p>
    <w:p>
      <w:pPr>
        <w:spacing w:before="60" w:after="200"/>
      </w:pPr>
      <w:r>
        <w:rPr>
          <w:i/>
          <w:sz w:val="17"/>
        </w:rPr>
        <w:t>Note. All figures are measured on held-out test observations using the full predictor and control specification.</w:t>
      </w:r>
    </w:p>
    <w:p>
      <w:r>
        <w:rPr>
          <w:b/>
        </w:rPr>
        <w:t xml:space="preserve">Global sample. </w:t>
      </w:r>
      <w:r>
        <w:t>Across the global outcomes, model rankings differ in detail but several nonlinear models achieve similar discrimination. The complete table prevents the six selected results in Table 4 from obscuring the performance of alternative model families.</w:t>
      </w:r>
    </w:p>
    <w:p>
      <w:r>
        <w:rPr>
          <w:b/>
        </w:rPr>
        <w:t xml:space="preserve">India sample. </w:t>
      </w:r>
      <w:r>
        <w:t>The India rankings also vary by outcome. Comparison of the full rows is preferable to treating a small difference between the two leading models as conclusive, particularly with the smaller country-specific test sample.</w:t>
      </w:r>
    </w:p>
    <w:p>
      <w:pPr>
        <w:keepNext/>
        <w:spacing w:before="140" w:after="100"/>
      </w:pPr>
      <w:r>
        <w:rPr>
          <w:b/>
          <w:sz w:val="20"/>
        </w:rPr>
        <w:t>Supplementary Table S2. Complete held-out confusion matrices</w:t>
      </w:r>
    </w:p>
    <w:tbl>
      <w:tblPr>
        <w:tblW w:type="auto" w:w="0"/>
        <w:tblLayout w:type="fixed"/>
        <w:tblLook w:firstColumn="1" w:firstRow="1" w:lastColumn="0" w:lastRow="0" w:noHBand="0" w:noVBand="1" w:val="04A0"/>
      </w:tblPr>
      <w:tblGrid>
        <w:gridCol w:w="994"/>
        <w:gridCol w:w="821"/>
        <w:gridCol w:w="2189"/>
        <w:gridCol w:w="1426"/>
        <w:gridCol w:w="1426"/>
        <w:gridCol w:w="1426"/>
        <w:gridCol w:w="1426"/>
      </w:tblGrid>
      <w:tr>
        <w:trPr>
          <w:tblHeader/>
          <w:cantSplit/>
        </w:trPr>
        <w:tc>
          <w:tcPr>
            <w:tcW w:type="dxa" w:w="99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21"/>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189"/>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positive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positive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True negative</w:t>
            </w:r>
          </w:p>
        </w:tc>
        <w:tc>
          <w:tcPr>
            <w:tcW w:type="dxa" w:w="1426"/>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False negative</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4,772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232,920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3,518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27,417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4,782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3,467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27,270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232,830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3,614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27,418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4,788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232,904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3,466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22,673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25,655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212,037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8,211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26,837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233,189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4,047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27,329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3,540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234,152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3,555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27,298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234,026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3,586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28,054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4,293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233,399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2,830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27,496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4,623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233,069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3,388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16,974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12,200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236,359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3,043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12,205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236,354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16,988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12,143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236,416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3,029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16,952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12,207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236,352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3,065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13,412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29,279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219,280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6,605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16,863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12,980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235,579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3,154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16,576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3,441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16,523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10,014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238,545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3,494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16,621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9,919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238,640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3,396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17,227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11,858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236,701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2,790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9,391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6,683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247,907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4,595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9,410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6,670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247,920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4,576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10,112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8,561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246,029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3,874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9,414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6,677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247,913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4,572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8,156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23,559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231,031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5,830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8,449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4,977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249,613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5,537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9,896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6,058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248,532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4,090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9,918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6,130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248,460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4,068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9,925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5,975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248,615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4,061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9,655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6,352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248,238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4,331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4,808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611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233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4,640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139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4,817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605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4,822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610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4,823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44</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392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265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4,871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366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174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67</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341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124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4,953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352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117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4,960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81</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161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4,916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49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107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5,034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103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5,038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85</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209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215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4,926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160</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270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84</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5,057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99</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286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92</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5,049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83</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287</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93</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5,048</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82</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311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151</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4,990</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58</w:t>
            </w:r>
          </w:p>
        </w:tc>
      </w:tr>
      <w:tr>
        <w:trPr>
          <w:cantSplit/>
        </w:trPr>
        <w:tc>
          <w:tcPr>
            <w:tcW w:type="dxa" w:w="99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21"/>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189"/>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309</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135</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5,006</w:t>
            </w:r>
          </w:p>
        </w:tc>
        <w:tc>
          <w:tcPr>
            <w:tcW w:type="dxa" w:w="1426"/>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60</w:t>
            </w:r>
          </w:p>
        </w:tc>
      </w:tr>
    </w:tbl>
    <w:p>
      <w:pPr>
        <w:spacing w:after="0"/>
      </w:pPr>
    </w:p>
    <w:p>
      <w:pPr>
        <w:spacing w:before="60" w:after="200"/>
      </w:pPr>
      <w:r>
        <w:rPr>
          <w:i/>
          <w:sz w:val="17"/>
        </w:rPr>
        <w:t>Note. All confusion counts use the validation-selected threshold for the indicated classifier.</w:t>
      </w:r>
    </w:p>
    <w:p>
      <w:r>
        <w:rPr>
          <w:b/>
        </w:rPr>
        <w:t xml:space="preserve">Global sample. </w:t>
      </w:r>
      <w:r>
        <w:t>The global counts show how model families with similar ranking measures can produce different threshold classifications. This distinction is particularly relevant for the less prevalent motivated-entrepreneurship outcomes.</w:t>
      </w:r>
    </w:p>
    <w:p>
      <w:r>
        <w:rPr>
          <w:b/>
        </w:rPr>
        <w:t xml:space="preserve">India sample. </w:t>
      </w:r>
      <w:r>
        <w:t>India confusion counts are smaller in absolute terms because fewer observations are tested. Their interpretation depends on the balance between false positive and false negative decisions rather than on total errors alone.</w:t>
      </w:r>
    </w:p>
    <w:p>
      <w:pPr>
        <w:keepNext/>
        <w:spacing w:before="140" w:after="100"/>
      </w:pPr>
      <w:r>
        <w:rPr>
          <w:b/>
          <w:sz w:val="20"/>
        </w:rPr>
        <w:t>Supplementary Table S3. Complete matched predictor-set comparison</w:t>
      </w:r>
    </w:p>
    <w:p>
      <w:r>
        <w:rPr>
          <w:b/>
        </w:rPr>
        <w:t xml:space="preserve">Global sample. </w:t>
      </w:r>
      <w:r>
        <w:t>The global model-level changes show that the value of the additional control variables is heterogeneous across algorithms and outcomes. These are observed differences in predictive ranking rather than statistical estimates of a structural parameter.</w:t>
      </w:r>
    </w:p>
    <w:p>
      <w:r>
        <w:rPr>
          <w:b/>
        </w:rPr>
        <w:t xml:space="preserve">India sample. </w:t>
      </w:r>
      <w:r>
        <w:t>India changes should also be interpreted in light of the temporal overlap between survey year and national institutional indices. The table quantifies the predictive change from the whole control set and does not separate a year effect from an institutional effect.</w:t>
      </w:r>
    </w:p>
    <w:tbl>
      <w:tblPr>
        <w:tblW w:type="auto" w:w="0"/>
        <w:tblLayout w:type="fixed"/>
        <w:tblLook w:firstColumn="1" w:firstRow="1" w:lastColumn="0" w:lastRow="0" w:noHBand="0" w:noVBand="1" w:val="04A0"/>
      </w:tblPr>
      <w:tblGrid>
        <w:gridCol w:w="1037"/>
        <w:gridCol w:w="835"/>
        <w:gridCol w:w="2477"/>
        <w:gridCol w:w="1714"/>
        <w:gridCol w:w="1714"/>
        <w:gridCol w:w="1930"/>
      </w:tblGrid>
      <w:tr>
        <w:trPr>
          <w:tblHeader/>
          <w:cantSplit/>
        </w:trPr>
        <w:tc>
          <w:tcPr>
            <w:tcW w:type="dxa" w:w="103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left"/>
            </w:pPr>
            <w:r>
              <w:rPr>
                <w:rFonts w:ascii="Times New Roman" w:hAnsi="Times New Roman"/>
                <w:b/>
                <w:color w:val="FFFFFF"/>
                <w:sz w:val="16"/>
              </w:rPr>
              <w:t>Sample</w:t>
            </w:r>
          </w:p>
        </w:tc>
        <w:tc>
          <w:tcPr>
            <w:tcW w:type="dxa" w:w="835"/>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Outcome</w:t>
            </w:r>
          </w:p>
        </w:tc>
        <w:tc>
          <w:tcPr>
            <w:tcW w:type="dxa" w:w="2477"/>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Model</w:t>
            </w:r>
          </w:p>
        </w:tc>
        <w:tc>
          <w:tcPr>
            <w:tcW w:type="dxa" w:w="171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predictors</w:t>
            </w:r>
          </w:p>
        </w:tc>
        <w:tc>
          <w:tcPr>
            <w:tcW w:type="dxa" w:w="1714"/>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PR with controls</w:t>
            </w:r>
          </w:p>
        </w:tc>
        <w:tc>
          <w:tcPr>
            <w:tcW w:type="dxa" w:w="1930"/>
            <w:shd w:fill="424242"/>
            <w:tcBorders>
              <w:top w:val="single" w:sz="4" w:color="D9D9D9"/>
              <w:left w:val="single" w:sz="4" w:color="D9D9D9"/>
              <w:bottom w:val="single" w:sz="4" w:color="D9D9D9"/>
              <w:right w:val="single" w:sz="4" w:color="D9D9D9"/>
            </w:tcBorders>
            <w:vAlign w:val="center"/>
            <w:tcMar>
              <w:top w:w="90" w:type="dxa"/>
              <w:start w:w="70" w:type="dxa"/>
              <w:bottom w:w="90" w:type="dxa"/>
              <w:end w:w="70" w:type="dxa"/>
            </w:tcMar>
          </w:tcPr>
          <w:p>
            <w:pPr>
              <w:spacing w:after="0"/>
              <w:jc w:val="center"/>
            </w:pPr>
            <w:r>
              <w:rPr>
                <w:rFonts w:ascii="Times New Roman" w:hAnsi="Times New Roman"/>
                <w:b/>
                <w:color w:val="FFFFFF"/>
                <w:sz w:val="16"/>
              </w:rPr>
              <w:t>Change in PR area</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0.903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0.899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0.903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0.935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0.418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0.437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0.895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0.930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0.951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0.929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0.952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0.918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0.940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+0.040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0.643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0.277</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0.290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0.600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0.626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0.709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0.736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0.701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0.732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0.744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0.683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0.552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0.659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+0.107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0.558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0.515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0.642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+0.127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0.558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0.661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+0.103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0.209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0.227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0.578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0.588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0.671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0.713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+0.041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0.716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+0.037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Global</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0.659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0.691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+0.032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0.969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0.676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0.681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0.921</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0.920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0.981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0.978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TEA</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0.977</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0.561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0.812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0.789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0.839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0.846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+0.007</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0.848</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0.852</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0.858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+0.004</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OME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0.845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0.856</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+0.012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Logistic Regression</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0.796</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0.803</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+0.006</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Lasso</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+0.002</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Ridge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0.779</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+0.029</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Elastic Net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0.804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+0.001</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Naive Bayes</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0.480</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0.461</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-0.020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Decision Tree</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0.745</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0.765</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+0.020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XGBoost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0.823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0.809</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-0.013</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CatBoost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0.824</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-0.000</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Random Forest</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0.812</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0.818</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tcPr>
          <w:p>
            <w:pPr>
              <w:spacing w:after="0" w:line="240" w:lineRule="auto"/>
              <w:jc w:val="center"/>
            </w:pPr>
            <w:r>
              <w:rPr>
                <w:rFonts w:ascii="Times New Roman" w:hAnsi="Times New Roman"/>
                <w:sz w:val="16"/>
              </w:rPr>
              <w:t>+0.005</w:t>
            </w:r>
          </w:p>
        </w:tc>
      </w:tr>
      <w:tr>
        <w:trPr>
          <w:cantSplit/>
        </w:trPr>
        <w:tc>
          <w:tcPr>
            <w:tcW w:type="dxa" w:w="103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left"/>
            </w:pPr>
            <w:r>
              <w:rPr>
                <w:rFonts w:ascii="Times New Roman" w:hAnsi="Times New Roman"/>
                <w:sz w:val="16"/>
              </w:rPr>
              <w:t>India</w:t>
            </w:r>
          </w:p>
        </w:tc>
        <w:tc>
          <w:tcPr>
            <w:tcW w:type="dxa" w:w="835"/>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NME</w:t>
            </w:r>
          </w:p>
        </w:tc>
        <w:tc>
          <w:tcPr>
            <w:tcW w:type="dxa" w:w="2477"/>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H2O GBM</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0.823</w:t>
            </w:r>
          </w:p>
        </w:tc>
        <w:tc>
          <w:tcPr>
            <w:tcW w:type="dxa" w:w="1714"/>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0.830</w:t>
            </w:r>
          </w:p>
        </w:tc>
        <w:tc>
          <w:tcPr>
            <w:tcW w:type="dxa" w:w="1930"/>
            <w:vAlign w:val="center"/>
            <w:tcMar>
              <w:top w:w="70" w:type="dxa"/>
              <w:start w:w="65" w:type="dxa"/>
              <w:bottom w:w="70" w:type="dxa"/>
              <w:end w:w="65" w:type="dxa"/>
            </w:tcMar>
            <w:tcBorders>
              <w:top w:val="single" w:sz="4" w:color="D9D9D9"/>
              <w:left w:val="single" w:sz="4" w:color="D9D9D9"/>
              <w:bottom w:val="single" w:sz="4" w:color="D9D9D9"/>
              <w:right w:val="single" w:sz="4" w:color="D9D9D9"/>
            </w:tcBorders>
            <w:shd w:fill="F6F6F6"/>
          </w:tcPr>
          <w:p>
            <w:pPr>
              <w:spacing w:after="0" w:line="240" w:lineRule="auto"/>
              <w:jc w:val="center"/>
            </w:pPr>
            <w:r>
              <w:rPr>
                <w:rFonts w:ascii="Times New Roman" w:hAnsi="Times New Roman"/>
                <w:sz w:val="16"/>
              </w:rPr>
              <w:t>+0.007</w:t>
            </w:r>
          </w:p>
        </w:tc>
      </w:tr>
    </w:tbl>
    <w:p>
      <w:pPr>
        <w:spacing w:after="0"/>
      </w:pPr>
    </w:p>
    <w:p>
      <w:pPr>
        <w:spacing w:before="60" w:after="200"/>
      </w:pPr>
      <w:r>
        <w:rPr>
          <w:i/>
          <w:sz w:val="17"/>
        </w:rPr>
        <w:t>Note. Positive change means that the specification with controls has a larger held-out precision-recall area. Every pair uses identical test records.</w:t>
      </w:r>
    </w:p>
    <w:sectPr w:rsidR="00FC693F" w:rsidRPr="0006063C" w:rsidSect="00034616">
      <w:headerReference w:type="default" r:id="rId9"/>
      <w:footerReference w:type="default" r:id="rId10"/>
      <w:pgSz w:w="12240" w:h="15840"/>
      <w:pgMar w:top="1094" w:right="1109" w:bottom="1037" w:left="1109"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OBJECTIVE 2  |  RESEARCH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