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Fonts w:ascii="Arial Black" w:cs="Arial Black" w:eastAsia="Arial Black" w:hAnsi="Arial Black"/>
          <w:b w:val="1"/>
          <w:bCs w:val="1"/>
          <w:color w:val="1a365d"/>
          <w:sz w:val="44"/>
          <w:szCs w:val="44"/>
          <w:rtl w:val="0"/>
        </w:rPr>
        <w:t xml:space="preserve">Technical Specification: Secure Multiplayer Infrastructure Deployment</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color w:val="1a365d"/>
          <w:sz w:val="32"/>
          <w:szCs w:val="32"/>
          <w:rtl w:val="0"/>
        </w:rPr>
        <w:t xml:space="preserve">1. Executive Summary</w:t>
      </w:r>
      <w:r w:rsidDel="00000000" w:rsidR="00000000" w:rsidRPr="00000000">
        <w:rPr>
          <w:rtl w:val="0"/>
        </w:rPr>
      </w:r>
    </w:p>
    <w:p w:rsidR="00000000" w:rsidDel="00000000" w:rsidP="00000000" w:rsidRDefault="00000000" w:rsidRPr="00000000" w14:paraId="00000003">
      <w:pPr>
        <w:spacing w:after="240" w:line="276" w:lineRule="auto"/>
        <w:rPr/>
      </w:pPr>
      <w:r w:rsidDel="00000000" w:rsidR="00000000" w:rsidRPr="00000000">
        <w:rPr>
          <w:rtl w:val="0"/>
        </w:rPr>
        <w:t xml:space="preserve">To achieve production-ready hosting for a secure Unity WebGL multiplayer game, the server infrastructure must comply with modern browser security architectures (specifically CORS and Mixed Content protections). Under these native security policies, standard unencrypted public connections (HTTP or WS) are immediately blocked by the client browser. All public communication must traverse an encrypted TLS/SSL layer bound to fully qualified subdomains.</w:t>
      </w:r>
    </w:p>
    <w:p w:rsidR="00000000" w:rsidDel="00000000" w:rsidP="00000000" w:rsidRDefault="00000000" w:rsidRPr="00000000" w14:paraId="00000004">
      <w:pPr>
        <w:spacing w:after="360" w:lineRule="auto"/>
        <w:rPr/>
      </w:pPr>
      <w:r w:rsidDel="00000000" w:rsidR="00000000" w:rsidRPr="00000000">
        <w:rPr>
          <w:rtl w:val="0"/>
        </w:rPr>
        <w:t xml:space="preserve">This specification document serves as the formal technical deliverable list for the Backend Engineering/DevOps team to deploy the secure gateway infrastructure that supports Nakama Matchmaking and the Mirror Real-Time Dedicated Game Server.</w:t>
      </w:r>
    </w:p>
    <w:p w:rsidR="00000000" w:rsidDel="00000000" w:rsidP="00000000" w:rsidRDefault="00000000" w:rsidRPr="00000000" w14:paraId="00000005">
      <w:pPr>
        <w:pStyle w:val="Heading1"/>
        <w:rPr/>
      </w:pPr>
      <w:r w:rsidDel="00000000" w:rsidR="00000000" w:rsidRPr="00000000">
        <w:rPr>
          <w:color w:val="1a365d"/>
          <w:sz w:val="32"/>
          <w:szCs w:val="32"/>
          <w:rtl w:val="0"/>
        </w:rPr>
        <w:t xml:space="preserve">2. Network Architectural Topology</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deployment topology utilizes a Secure Reverse Proxy Gateway to isolate internal services from direct internet exposure:</w:t>
      </w:r>
    </w:p>
    <w:p w:rsidR="00000000" w:rsidDel="00000000" w:rsidP="00000000" w:rsidRDefault="00000000" w:rsidRPr="00000000" w14:paraId="00000007">
      <w:pPr>
        <w:spacing w:after="360" w:lineRule="auto"/>
        <w:ind w:left="360" w:firstLine="0"/>
        <w:rPr>
          <w:rFonts w:ascii="Consolas" w:cs="Consolas" w:eastAsia="Consolas" w:hAnsi="Consolas"/>
          <w:color w:val="4a5568"/>
          <w:sz w:val="18"/>
          <w:szCs w:val="18"/>
        </w:rPr>
      </w:pPr>
      <w:r w:rsidDel="00000000" w:rsidR="00000000" w:rsidRPr="00000000">
        <w:rPr>
          <w:rFonts w:ascii="Consolas" w:cs="Consolas" w:eastAsia="Consolas" w:hAnsi="Consolas"/>
          <w:color w:val="4a5568"/>
          <w:sz w:val="18"/>
          <w:szCs w:val="18"/>
          <w:rtl w:val="0"/>
        </w:rPr>
        <w:t xml:space="preserve">Public Internet                 Secure Gateway (Port 443)           Internal Services</w:t>
        <w:br w:type="textWrapping"/>
        <w:t xml:space="preserve">----------------------------------------------------------------------------------------------</w:t>
        <w:br w:type="textWrapping"/>
        <w:t xml:space="preserve">WebGL Client (HTTPS)   ---&gt;   [ nakama.yourdomain.com ]   ---&gt;   [ Docker Nakama: 7350 HTTP ]</w:t>
        <w:br w:type="textWrapping"/>
        <w:t xml:space="preserve">WebGL Client (WSS)     ---&gt;   [ mirror.yourdomain.com ]   ---&gt;   [ Docker Mirror: 7778 TCP ]</w:t>
        <w:br w:type="textWrapping"/>
        <w:t xml:space="preserve">Standalone (PC/Mobile) ---&gt;   [ mirror.yourdomain.com ]   ---&gt;   [ Host/Docker: 7777 UDP ]</w:t>
      </w:r>
    </w:p>
    <w:p w:rsidR="00000000" w:rsidDel="00000000" w:rsidP="00000000" w:rsidRDefault="00000000" w:rsidRPr="00000000" w14:paraId="00000008">
      <w:pPr>
        <w:spacing w:after="360" w:lineRule="auto"/>
        <w:ind w:left="360" w:hanging="360"/>
        <w:rPr>
          <w:rFonts w:ascii="Consolas" w:cs="Consolas" w:eastAsia="Consolas" w:hAnsi="Consolas"/>
          <w:color w:val="4a5568"/>
          <w:sz w:val="18"/>
          <w:szCs w:val="18"/>
        </w:rPr>
      </w:pPr>
      <w:r w:rsidDel="00000000" w:rsidR="00000000" w:rsidRPr="00000000">
        <w:rPr>
          <w:rFonts w:ascii="Consolas" w:cs="Consolas" w:eastAsia="Consolas" w:hAnsi="Consolas"/>
          <w:color w:val="4a5568"/>
          <w:sz w:val="18"/>
          <w:szCs w:val="18"/>
        </w:rPr>
        <w:drawing>
          <wp:inline distB="114300" distT="114300" distL="114300" distR="114300">
            <wp:extent cx="5486400" cy="3022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4864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color w:val="1a365d"/>
          <w:sz w:val="32"/>
          <w:szCs w:val="32"/>
          <w:rtl w:val="0"/>
        </w:rPr>
        <w:t xml:space="preserve">3. Actionable Infrastructure Deliverables</w:t>
      </w: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color w:val="2c5282"/>
          <w:rtl w:val="0"/>
        </w:rPr>
        <w:t xml:space="preserve">Task 1: DNS Subdomain Provisioning</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Provision standard A-Records mapping the target server IPv4 to two dedicated subdomains: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Matchmaking Services (Nakama API): </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nakama.yourdomain.com -&gt; [Target Server IPv4]</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2d3748"/>
          <w:sz w:val="22"/>
          <w:szCs w:val="22"/>
          <w:u w:val="none"/>
          <w:shd w:fill="auto" w:val="clear"/>
          <w:vertAlign w:val="baseline"/>
          <w:rtl w:val="0"/>
        </w:rPr>
        <w:t xml:space="preserve">Gameplay Routing (Mirror Server): </w:t>
      </w:r>
      <w:r w:rsidDel="00000000" w:rsidR="00000000" w:rsidRPr="00000000">
        <w:rPr>
          <w:rFonts w:ascii="Calibri" w:cs="Calibri" w:eastAsia="Calibri" w:hAnsi="Calibri"/>
          <w:b w:val="0"/>
          <w:bCs w:val="0"/>
          <w:i w:val="0"/>
          <w:iCs w:val="0"/>
          <w:smallCaps w:val="0"/>
          <w:strike w:val="0"/>
          <w:color w:val="2d3748"/>
          <w:sz w:val="22"/>
          <w:szCs w:val="22"/>
          <w:u w:val="none"/>
          <w:shd w:fill="auto" w:val="clear"/>
          <w:vertAlign w:val="baseline"/>
          <w:rtl w:val="0"/>
        </w:rPr>
        <w:t xml:space="preserve">mirror.yourdomain.com -&gt; [Target Server IPv4]</w:t>
      </w:r>
    </w:p>
    <w:p w:rsidR="00000000" w:rsidDel="00000000" w:rsidP="00000000" w:rsidRDefault="00000000" w:rsidRPr="00000000" w14:paraId="0000000E">
      <w:pPr>
        <w:pStyle w:val="Heading2"/>
        <w:rPr/>
      </w:pPr>
      <w:r w:rsidDel="00000000" w:rsidR="00000000" w:rsidRPr="00000000">
        <w:rPr>
          <w:color w:val="2c5282"/>
          <w:rtl w:val="0"/>
        </w:rPr>
        <w:t xml:space="preserve">Task 2: SSL/TLS Certificate Deployment</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Generate and install trusted browser SSL certificates (e.g., Certbot/Let's Encrypt, AWS ACM) for both subdomains. Termination of incoming TLS connections must occur on the standard public HTTPS Port 443.</w:t>
      </w:r>
    </w:p>
    <w:p w:rsidR="00000000" w:rsidDel="00000000" w:rsidP="00000000" w:rsidRDefault="00000000" w:rsidRPr="00000000" w14:paraId="00000010">
      <w:pPr>
        <w:pStyle w:val="Heading2"/>
        <w:rPr/>
      </w:pPr>
      <w:r w:rsidDel="00000000" w:rsidR="00000000" w:rsidRPr="00000000">
        <w:rPr>
          <w:color w:val="2c5282"/>
          <w:rtl w:val="0"/>
        </w:rPr>
        <w:t xml:space="preserve">Task 3: Reverse Proxy Routing Map</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Configure your proxy (Nginx, Traefik, HAProxy, ALB) to offload SSL and route to internal loopback targets:</w:t>
      </w:r>
    </w:p>
    <w:tbl>
      <w:tblPr>
        <w:tblStyle w:val="Table1"/>
        <w:tblW w:w="8640.0" w:type="dxa"/>
        <w:jc w:val="left"/>
        <w:tblInd w:w="-150.0" w:type="dxa"/>
        <w:tblBorders>
          <w:top w:color="4f81bd" w:space="0" w:sz="8" w:val="single"/>
          <w:bottom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shd w:fill="1a365d" w:val="clear"/>
            <w:tcMar>
              <w:top w:w="100.0" w:type="dxa"/>
              <w:left w:w="150.0" w:type="dxa"/>
              <w:bottom w:w="100.0" w:type="dxa"/>
              <w:right w:w="150.0" w:type="dxa"/>
            </w:tcMar>
          </w:tcPr>
          <w:p w:rsidR="00000000" w:rsidDel="00000000" w:rsidP="00000000" w:rsidRDefault="00000000" w:rsidRPr="00000000" w14:paraId="00000012">
            <w:pPr>
              <w:jc w:val="center"/>
              <w:rPr/>
            </w:pPr>
            <w:r w:rsidDel="00000000" w:rsidR="00000000" w:rsidRPr="00000000">
              <w:rPr>
                <w:rFonts w:ascii="Calibri" w:cs="Calibri" w:eastAsia="Calibri" w:hAnsi="Calibri"/>
                <w:b w:val="1"/>
                <w:bCs w:val="1"/>
                <w:color w:val="ffffff"/>
                <w:rtl w:val="0"/>
              </w:rPr>
              <w:t xml:space="preserve">Ingress Route</w:t>
            </w:r>
            <w:r w:rsidDel="00000000" w:rsidR="00000000" w:rsidRPr="00000000">
              <w:rPr>
                <w:rtl w:val="0"/>
              </w:rPr>
            </w:r>
          </w:p>
        </w:tc>
        <w:tc>
          <w:tcPr>
            <w:shd w:fill="1a365d" w:val="clear"/>
            <w:tcMar>
              <w:top w:w="100.0" w:type="dxa"/>
              <w:left w:w="150.0" w:type="dxa"/>
              <w:bottom w:w="100.0" w:type="dxa"/>
              <w:right w:w="150.0" w:type="dxa"/>
            </w:tcMar>
          </w:tcPr>
          <w:p w:rsidR="00000000" w:rsidDel="00000000" w:rsidP="00000000" w:rsidRDefault="00000000" w:rsidRPr="00000000" w14:paraId="00000013">
            <w:pPr>
              <w:jc w:val="center"/>
              <w:rPr/>
            </w:pPr>
            <w:r w:rsidDel="00000000" w:rsidR="00000000" w:rsidRPr="00000000">
              <w:rPr>
                <w:rFonts w:ascii="Calibri" w:cs="Calibri" w:eastAsia="Calibri" w:hAnsi="Calibri"/>
                <w:b w:val="1"/>
                <w:bCs w:val="1"/>
                <w:color w:val="ffffff"/>
                <w:rtl w:val="0"/>
              </w:rPr>
              <w:t xml:space="preserve">Edge Action</w:t>
            </w:r>
            <w:r w:rsidDel="00000000" w:rsidR="00000000" w:rsidRPr="00000000">
              <w:rPr>
                <w:rtl w:val="0"/>
              </w:rPr>
            </w:r>
          </w:p>
        </w:tc>
        <w:tc>
          <w:tcPr>
            <w:shd w:fill="1a365d" w:val="clear"/>
            <w:tcMar>
              <w:top w:w="100.0" w:type="dxa"/>
              <w:left w:w="150.0" w:type="dxa"/>
              <w:bottom w:w="100.0" w:type="dxa"/>
              <w:right w:w="150.0" w:type="dxa"/>
            </w:tcMar>
          </w:tcPr>
          <w:p w:rsidR="00000000" w:rsidDel="00000000" w:rsidP="00000000" w:rsidRDefault="00000000" w:rsidRPr="00000000" w14:paraId="00000014">
            <w:pPr>
              <w:jc w:val="center"/>
              <w:rPr/>
            </w:pPr>
            <w:r w:rsidDel="00000000" w:rsidR="00000000" w:rsidRPr="00000000">
              <w:rPr>
                <w:rFonts w:ascii="Calibri" w:cs="Calibri" w:eastAsia="Calibri" w:hAnsi="Calibri"/>
                <w:b w:val="1"/>
                <w:bCs w:val="1"/>
                <w:color w:val="ffffff"/>
                <w:rtl w:val="0"/>
              </w:rPr>
              <w:t xml:space="preserve">Internal Destination</w:t>
            </w:r>
            <w:r w:rsidDel="00000000" w:rsidR="00000000" w:rsidRPr="00000000">
              <w:rPr>
                <w:rtl w:val="0"/>
              </w:rPr>
            </w:r>
          </w:p>
        </w:tc>
        <w:tc>
          <w:tcPr>
            <w:shd w:fill="1a365d" w:val="clear"/>
            <w:tcMar>
              <w:top w:w="100.0" w:type="dxa"/>
              <w:left w:w="150.0" w:type="dxa"/>
              <w:bottom w:w="100.0" w:type="dxa"/>
              <w:right w:w="150.0" w:type="dxa"/>
            </w:tcMar>
          </w:tcPr>
          <w:p w:rsidR="00000000" w:rsidDel="00000000" w:rsidP="00000000" w:rsidRDefault="00000000" w:rsidRPr="00000000" w14:paraId="00000015">
            <w:pPr>
              <w:jc w:val="center"/>
              <w:rPr/>
            </w:pPr>
            <w:r w:rsidDel="00000000" w:rsidR="00000000" w:rsidRPr="00000000">
              <w:rPr>
                <w:rFonts w:ascii="Calibri" w:cs="Calibri" w:eastAsia="Calibri" w:hAnsi="Calibri"/>
                <w:b w:val="1"/>
                <w:bCs w:val="1"/>
                <w:color w:val="ffffff"/>
                <w:rtl w:val="0"/>
              </w:rPr>
              <w:t xml:space="preserve">Protocol Type</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16">
            <w:pPr>
              <w:rPr/>
            </w:pPr>
            <w:r w:rsidDel="00000000" w:rsidR="00000000" w:rsidRPr="00000000">
              <w:rPr>
                <w:sz w:val="19"/>
                <w:szCs w:val="19"/>
                <w:rtl w:val="0"/>
              </w:rPr>
              <w:t xml:space="preserve">https://nakama.yourdomain.com:443</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17">
            <w:pPr>
              <w:rPr/>
            </w:pPr>
            <w:r w:rsidDel="00000000" w:rsidR="00000000" w:rsidRPr="00000000">
              <w:rPr>
                <w:sz w:val="19"/>
                <w:szCs w:val="19"/>
                <w:rtl w:val="0"/>
              </w:rPr>
              <w:t xml:space="preserve">SSL Offload &amp; Proxy</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18">
            <w:pPr>
              <w:rPr/>
            </w:pPr>
            <w:r w:rsidDel="00000000" w:rsidR="00000000" w:rsidRPr="00000000">
              <w:rPr>
                <w:sz w:val="19"/>
                <w:szCs w:val="19"/>
                <w:rtl w:val="0"/>
              </w:rPr>
              <w:t xml:space="preserve">127.0.0.1:7350</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19">
            <w:pPr>
              <w:rPr/>
            </w:pPr>
            <w:r w:rsidDel="00000000" w:rsidR="00000000" w:rsidRPr="00000000">
              <w:rPr>
                <w:sz w:val="19"/>
                <w:szCs w:val="19"/>
                <w:rtl w:val="0"/>
              </w:rPr>
              <w:t xml:space="preserve">HTTP / REST</w:t>
            </w:r>
            <w:r w:rsidDel="00000000" w:rsidR="00000000" w:rsidRPr="00000000">
              <w:rPr>
                <w:rtl w:val="0"/>
              </w:rPr>
            </w:r>
          </w:p>
        </w:tc>
      </w:tr>
      <w:tr>
        <w:trPr>
          <w:cantSplit w:val="0"/>
          <w:tblHeader w:val="0"/>
        </w:trPr>
        <w:tc>
          <w:tcPr>
            <w:shd w:fill="f7fafc" w:val="clear"/>
            <w:tcMar>
              <w:top w:w="100.0" w:type="dxa"/>
              <w:left w:w="150.0" w:type="dxa"/>
              <w:bottom w:w="100.0" w:type="dxa"/>
              <w:right w:w="150.0" w:type="dxa"/>
            </w:tcMar>
          </w:tcPr>
          <w:p w:rsidR="00000000" w:rsidDel="00000000" w:rsidP="00000000" w:rsidRDefault="00000000" w:rsidRPr="00000000" w14:paraId="0000001A">
            <w:pPr>
              <w:rPr/>
            </w:pPr>
            <w:r w:rsidDel="00000000" w:rsidR="00000000" w:rsidRPr="00000000">
              <w:rPr>
                <w:sz w:val="19"/>
                <w:szCs w:val="19"/>
                <w:rtl w:val="0"/>
              </w:rPr>
              <w:t xml:space="preserve">wss://mirror.yourdomain.com:443</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1B">
            <w:pPr>
              <w:rPr/>
            </w:pPr>
            <w:r w:rsidDel="00000000" w:rsidR="00000000" w:rsidRPr="00000000">
              <w:rPr>
                <w:sz w:val="19"/>
                <w:szCs w:val="19"/>
                <w:rtl w:val="0"/>
              </w:rPr>
              <w:t xml:space="preserve">SSL Offload &amp; Proxy</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1C">
            <w:pPr>
              <w:rPr/>
            </w:pPr>
            <w:r w:rsidDel="00000000" w:rsidR="00000000" w:rsidRPr="00000000">
              <w:rPr>
                <w:sz w:val="19"/>
                <w:szCs w:val="19"/>
                <w:rtl w:val="0"/>
              </w:rPr>
              <w:t xml:space="preserve">127.0.0.1:7778</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1D">
            <w:pPr>
              <w:rPr/>
            </w:pPr>
            <w:r w:rsidDel="00000000" w:rsidR="00000000" w:rsidRPr="00000000">
              <w:rPr>
                <w:sz w:val="19"/>
                <w:szCs w:val="19"/>
                <w:rtl w:val="0"/>
              </w:rPr>
              <w:t xml:space="preserve">WebSocket (TCP)</w:t>
            </w:r>
            <w:r w:rsidDel="00000000" w:rsidR="00000000" w:rsidRPr="00000000">
              <w:rPr>
                <w:rtl w:val="0"/>
              </w:rPr>
            </w:r>
          </w:p>
        </w:tc>
      </w:tr>
    </w:tbl>
    <w:p w:rsidR="00000000" w:rsidDel="00000000" w:rsidP="00000000" w:rsidRDefault="00000000" w:rsidRPr="00000000" w14:paraId="0000001E">
      <w:pPr>
        <w:spacing w:after="120" w:lineRule="auto"/>
        <w:rPr/>
      </w:pPr>
      <w:r w:rsidDel="00000000" w:rsidR="00000000" w:rsidRPr="00000000">
        <w:rPr>
          <w:rtl w:val="0"/>
        </w:rPr>
      </w:r>
    </w:p>
    <w:p w:rsidR="00000000" w:rsidDel="00000000" w:rsidP="00000000" w:rsidRDefault="00000000" w:rsidRPr="00000000" w14:paraId="0000001F">
      <w:pPr>
        <w:pBdr>
          <w:left w:color="e53e3e" w:space="15" w:sz="36" w:val="single"/>
        </w:pBdr>
        <w:spacing w:after="360" w:lineRule="auto"/>
        <w:ind w:left="360" w:firstLine="0"/>
        <w:rPr/>
      </w:pPr>
      <w:r w:rsidDel="00000000" w:rsidR="00000000" w:rsidRPr="00000000">
        <w:rPr>
          <w:b w:val="1"/>
          <w:bCs w:val="1"/>
          <w:color w:val="c53030"/>
          <w:rtl w:val="0"/>
        </w:rPr>
        <w:t xml:space="preserve">⚠️ CRITICAL PROXY REQUIREMENT: WebSocket Upgrade Headers</w:t>
        <w:br w:type="textWrapping"/>
      </w:r>
      <w:r w:rsidDel="00000000" w:rsidR="00000000" w:rsidRPr="00000000">
        <w:rPr>
          <w:i w:val="1"/>
          <w:iCs w:val="1"/>
          <w:sz w:val="19"/>
          <w:szCs w:val="19"/>
          <w:rtl w:val="0"/>
        </w:rPr>
        <w:t xml:space="preserve">For the mirror.yourdomain.com configuration block, the proxy MUST explicitly permit and forward protocol upgrade requests. If 'Upgrade: websocket' and 'Connection: Upgrade' headers are missing from the upstream request, the Mirror handshake negotiation will immediately abort.</w:t>
      </w: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color w:val="2c5282"/>
          <w:rtl w:val="0"/>
        </w:rPr>
        <w:t xml:space="preserve">Task 4: Network Firewall Ingress Policies</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Configure VM Security Groups and OS Firewalls to whitelist external traffic as follows:</w:t>
      </w:r>
    </w:p>
    <w:tbl>
      <w:tblPr>
        <w:tblStyle w:val="Table2"/>
        <w:tblW w:w="8640.0" w:type="dxa"/>
        <w:jc w:val="left"/>
        <w:tblInd w:w="-150.0" w:type="dxa"/>
        <w:tblBorders>
          <w:top w:color="4f81bd" w:space="0" w:sz="8" w:val="single"/>
          <w:bottom w:color="4f81bd" w:space="0" w:sz="8" w:val="single"/>
        </w:tblBorders>
        <w:tblLayout w:type="fixed"/>
        <w:tblLook w:val="04A0"/>
      </w:tblPr>
      <w:tblGrid>
        <w:gridCol w:w="2160"/>
        <w:gridCol w:w="2160"/>
        <w:gridCol w:w="2160"/>
        <w:gridCol w:w="2160"/>
        <w:tblGridChange w:id="0">
          <w:tblGrid>
            <w:gridCol w:w="2160"/>
            <w:gridCol w:w="2160"/>
            <w:gridCol w:w="2160"/>
            <w:gridCol w:w="2160"/>
          </w:tblGrid>
        </w:tblGridChange>
      </w:tblGrid>
      <w:tr>
        <w:trPr>
          <w:cantSplit w:val="0"/>
          <w:tblHeader w:val="0"/>
        </w:trPr>
        <w:tc>
          <w:tcPr>
            <w:shd w:fill="2b6cb0" w:val="clear"/>
            <w:tcMar>
              <w:top w:w="100.0" w:type="dxa"/>
              <w:left w:w="150.0" w:type="dxa"/>
              <w:bottom w:w="100.0" w:type="dxa"/>
              <w:right w:w="150.0" w:type="dxa"/>
            </w:tcMar>
          </w:tcPr>
          <w:p w:rsidR="00000000" w:rsidDel="00000000" w:rsidP="00000000" w:rsidRDefault="00000000" w:rsidRPr="00000000" w14:paraId="00000022">
            <w:pPr>
              <w:jc w:val="center"/>
              <w:rPr/>
            </w:pPr>
            <w:r w:rsidDel="00000000" w:rsidR="00000000" w:rsidRPr="00000000">
              <w:rPr>
                <w:rFonts w:ascii="Calibri" w:cs="Calibri" w:eastAsia="Calibri" w:hAnsi="Calibri"/>
                <w:b w:val="1"/>
                <w:bCs w:val="1"/>
                <w:color w:val="ffffff"/>
                <w:rtl w:val="0"/>
              </w:rPr>
              <w:t xml:space="preserve">Ingress Port</w:t>
            </w:r>
            <w:r w:rsidDel="00000000" w:rsidR="00000000" w:rsidRPr="00000000">
              <w:rPr>
                <w:rtl w:val="0"/>
              </w:rPr>
            </w:r>
          </w:p>
        </w:tc>
        <w:tc>
          <w:tcPr>
            <w:shd w:fill="2b6cb0" w:val="clear"/>
            <w:tcMar>
              <w:top w:w="100.0" w:type="dxa"/>
              <w:left w:w="150.0" w:type="dxa"/>
              <w:bottom w:w="100.0" w:type="dxa"/>
              <w:right w:w="150.0" w:type="dxa"/>
            </w:tcMar>
          </w:tcPr>
          <w:p w:rsidR="00000000" w:rsidDel="00000000" w:rsidP="00000000" w:rsidRDefault="00000000" w:rsidRPr="00000000" w14:paraId="00000023">
            <w:pPr>
              <w:jc w:val="center"/>
              <w:rPr/>
            </w:pPr>
            <w:r w:rsidDel="00000000" w:rsidR="00000000" w:rsidRPr="00000000">
              <w:rPr>
                <w:rFonts w:ascii="Calibri" w:cs="Calibri" w:eastAsia="Calibri" w:hAnsi="Calibri"/>
                <w:b w:val="1"/>
                <w:bCs w:val="1"/>
                <w:color w:val="ffffff"/>
                <w:rtl w:val="0"/>
              </w:rPr>
              <w:t xml:space="preserve">Protocol</w:t>
            </w:r>
            <w:r w:rsidDel="00000000" w:rsidR="00000000" w:rsidRPr="00000000">
              <w:rPr>
                <w:rtl w:val="0"/>
              </w:rPr>
            </w:r>
          </w:p>
        </w:tc>
        <w:tc>
          <w:tcPr>
            <w:shd w:fill="2b6cb0" w:val="clear"/>
            <w:tcMar>
              <w:top w:w="100.0" w:type="dxa"/>
              <w:left w:w="150.0" w:type="dxa"/>
              <w:bottom w:w="100.0" w:type="dxa"/>
              <w:right w:w="150.0" w:type="dxa"/>
            </w:tcMar>
          </w:tcPr>
          <w:p w:rsidR="00000000" w:rsidDel="00000000" w:rsidP="00000000" w:rsidRDefault="00000000" w:rsidRPr="00000000" w14:paraId="00000024">
            <w:pPr>
              <w:jc w:val="center"/>
              <w:rPr/>
            </w:pPr>
            <w:r w:rsidDel="00000000" w:rsidR="00000000" w:rsidRPr="00000000">
              <w:rPr>
                <w:rFonts w:ascii="Calibri" w:cs="Calibri" w:eastAsia="Calibri" w:hAnsi="Calibri"/>
                <w:b w:val="1"/>
                <w:bCs w:val="1"/>
                <w:color w:val="ffffff"/>
                <w:rtl w:val="0"/>
              </w:rPr>
              <w:t xml:space="preserve">Service Scope</w:t>
            </w:r>
            <w:r w:rsidDel="00000000" w:rsidR="00000000" w:rsidRPr="00000000">
              <w:rPr>
                <w:rtl w:val="0"/>
              </w:rPr>
            </w:r>
          </w:p>
        </w:tc>
        <w:tc>
          <w:tcPr>
            <w:shd w:fill="2b6cb0" w:val="clear"/>
            <w:tcMar>
              <w:top w:w="100.0" w:type="dxa"/>
              <w:left w:w="150.0" w:type="dxa"/>
              <w:bottom w:w="100.0" w:type="dxa"/>
              <w:right w:w="150.0" w:type="dxa"/>
            </w:tcMar>
          </w:tcPr>
          <w:p w:rsidR="00000000" w:rsidDel="00000000" w:rsidP="00000000" w:rsidRDefault="00000000" w:rsidRPr="00000000" w14:paraId="00000025">
            <w:pPr>
              <w:jc w:val="center"/>
              <w:rPr/>
            </w:pPr>
            <w:r w:rsidDel="00000000" w:rsidR="00000000" w:rsidRPr="00000000">
              <w:rPr>
                <w:rFonts w:ascii="Calibri" w:cs="Calibri" w:eastAsia="Calibri" w:hAnsi="Calibri"/>
                <w:b w:val="1"/>
                <w:bCs w:val="1"/>
                <w:color w:val="ffffff"/>
                <w:rtl w:val="0"/>
              </w:rPr>
              <w:t xml:space="preserve">Destination</w:t>
            </w:r>
            <w:r w:rsidDel="00000000" w:rsidR="00000000" w:rsidRPr="00000000">
              <w:rPr>
                <w:rtl w:val="0"/>
              </w:rPr>
            </w:r>
          </w:p>
        </w:tc>
      </w:tr>
      <w:tr>
        <w:trPr>
          <w:cantSplit w:val="0"/>
          <w:tblHeader w:val="0"/>
        </w:trPr>
        <w:tc>
          <w:tcPr>
            <w:shd w:fill="ffffff" w:val="clear"/>
            <w:tcMar>
              <w:top w:w="100.0" w:type="dxa"/>
              <w:left w:w="150.0" w:type="dxa"/>
              <w:bottom w:w="100.0" w:type="dxa"/>
              <w:right w:w="150.0" w:type="dxa"/>
            </w:tcMar>
          </w:tcPr>
          <w:p w:rsidR="00000000" w:rsidDel="00000000" w:rsidP="00000000" w:rsidRDefault="00000000" w:rsidRPr="00000000" w14:paraId="00000026">
            <w:pPr>
              <w:rPr/>
            </w:pPr>
            <w:r w:rsidDel="00000000" w:rsidR="00000000" w:rsidRPr="00000000">
              <w:rPr>
                <w:sz w:val="19"/>
                <w:szCs w:val="19"/>
                <w:rtl w:val="0"/>
              </w:rPr>
              <w:t xml:space="preserve">443</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27">
            <w:pPr>
              <w:rPr/>
            </w:pPr>
            <w:r w:rsidDel="00000000" w:rsidR="00000000" w:rsidRPr="00000000">
              <w:rPr>
                <w:sz w:val="19"/>
                <w:szCs w:val="19"/>
                <w:rtl w:val="0"/>
              </w:rPr>
              <w:t xml:space="preserve">TCP</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28">
            <w:pPr>
              <w:rPr/>
            </w:pPr>
            <w:r w:rsidDel="00000000" w:rsidR="00000000" w:rsidRPr="00000000">
              <w:rPr>
                <w:sz w:val="19"/>
                <w:szCs w:val="19"/>
                <w:rtl w:val="0"/>
              </w:rPr>
              <w:t xml:space="preserve">HTTPS APIs &amp; Secure WebSockets (WebGL)</w:t>
            </w:r>
            <w:r w:rsidDel="00000000" w:rsidR="00000000" w:rsidRPr="00000000">
              <w:rPr>
                <w:rtl w:val="0"/>
              </w:rPr>
            </w:r>
          </w:p>
        </w:tc>
        <w:tc>
          <w:tcPr>
            <w:shd w:fill="ffffff" w:val="clear"/>
            <w:tcMar>
              <w:top w:w="100.0" w:type="dxa"/>
              <w:left w:w="150.0" w:type="dxa"/>
              <w:bottom w:w="100.0" w:type="dxa"/>
              <w:right w:w="150.0" w:type="dxa"/>
            </w:tcMar>
          </w:tcPr>
          <w:p w:rsidR="00000000" w:rsidDel="00000000" w:rsidP="00000000" w:rsidRDefault="00000000" w:rsidRPr="00000000" w14:paraId="00000029">
            <w:pPr>
              <w:rPr/>
            </w:pPr>
            <w:r w:rsidDel="00000000" w:rsidR="00000000" w:rsidRPr="00000000">
              <w:rPr>
                <w:sz w:val="19"/>
                <w:szCs w:val="19"/>
                <w:rtl w:val="0"/>
              </w:rPr>
              <w:t xml:space="preserve">Reverse Proxy</w:t>
            </w:r>
            <w:r w:rsidDel="00000000" w:rsidR="00000000" w:rsidRPr="00000000">
              <w:rPr>
                <w:rtl w:val="0"/>
              </w:rPr>
            </w:r>
          </w:p>
        </w:tc>
      </w:tr>
      <w:tr>
        <w:trPr>
          <w:cantSplit w:val="0"/>
          <w:tblHeader w:val="0"/>
        </w:trPr>
        <w:tc>
          <w:tcPr>
            <w:shd w:fill="f7fafc" w:val="clear"/>
            <w:tcMar>
              <w:top w:w="100.0" w:type="dxa"/>
              <w:left w:w="150.0" w:type="dxa"/>
              <w:bottom w:w="100.0" w:type="dxa"/>
              <w:right w:w="150.0" w:type="dxa"/>
            </w:tcMar>
          </w:tcPr>
          <w:p w:rsidR="00000000" w:rsidDel="00000000" w:rsidP="00000000" w:rsidRDefault="00000000" w:rsidRPr="00000000" w14:paraId="0000002A">
            <w:pPr>
              <w:rPr/>
            </w:pPr>
            <w:r w:rsidDel="00000000" w:rsidR="00000000" w:rsidRPr="00000000">
              <w:rPr>
                <w:sz w:val="19"/>
                <w:szCs w:val="19"/>
                <w:rtl w:val="0"/>
              </w:rPr>
              <w:t xml:space="preserve">7777</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2B">
            <w:pPr>
              <w:rPr/>
            </w:pPr>
            <w:r w:rsidDel="00000000" w:rsidR="00000000" w:rsidRPr="00000000">
              <w:rPr>
                <w:sz w:val="19"/>
                <w:szCs w:val="19"/>
                <w:rtl w:val="0"/>
              </w:rPr>
              <w:t xml:space="preserve">UDP</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2C">
            <w:pPr>
              <w:rPr/>
            </w:pPr>
            <w:r w:rsidDel="00000000" w:rsidR="00000000" w:rsidRPr="00000000">
              <w:rPr>
                <w:sz w:val="19"/>
                <w:szCs w:val="19"/>
                <w:rtl w:val="0"/>
              </w:rPr>
              <w:t xml:space="preserve">High-Performance Real-Time Data (Standalone EXE)</w:t>
            </w:r>
            <w:r w:rsidDel="00000000" w:rsidR="00000000" w:rsidRPr="00000000">
              <w:rPr>
                <w:rtl w:val="0"/>
              </w:rPr>
            </w:r>
          </w:p>
        </w:tc>
        <w:tc>
          <w:tcPr>
            <w:shd w:fill="f7fafc" w:val="clear"/>
            <w:tcMar>
              <w:top w:w="100.0" w:type="dxa"/>
              <w:left w:w="150.0" w:type="dxa"/>
              <w:bottom w:w="100.0" w:type="dxa"/>
              <w:right w:w="150.0" w:type="dxa"/>
            </w:tcMar>
          </w:tcPr>
          <w:p w:rsidR="00000000" w:rsidDel="00000000" w:rsidP="00000000" w:rsidRDefault="00000000" w:rsidRPr="00000000" w14:paraId="0000002D">
            <w:pPr>
              <w:rPr/>
            </w:pPr>
            <w:r w:rsidDel="00000000" w:rsidR="00000000" w:rsidRPr="00000000">
              <w:rPr>
                <w:sz w:val="19"/>
                <w:szCs w:val="19"/>
                <w:rtl w:val="0"/>
              </w:rPr>
              <w:t xml:space="preserve">Game Server (Docker)</w:t>
            </w: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br w:type="textWrapping"/>
      </w:r>
    </w:p>
    <w:p w:rsidR="00000000" w:rsidDel="00000000" w:rsidP="00000000" w:rsidRDefault="00000000" w:rsidRPr="00000000" w14:paraId="0000002F">
      <w:pPr>
        <w:rPr/>
      </w:pPr>
      <w:r w:rsidDel="00000000" w:rsidR="00000000" w:rsidRPr="00000000">
        <w:rPr>
          <w:b w:val="1"/>
          <w:bCs w:val="1"/>
          <w:color w:val="1a365d"/>
          <w:sz w:val="24"/>
          <w:szCs w:val="24"/>
          <w:rtl w:val="0"/>
        </w:rPr>
        <w:t xml:space="preserve">Conclusion &amp; Operational Target</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Provisioning these four deliverables establishes an enterprise-compliant, secured gateway. This masks internal topology and guarantees absolute security compliance with all modern Web browsers, enabling seamless global publishing.</w:t>
      </w:r>
    </w:p>
    <w:sectPr>
      <w:pgSz w:h="15840" w:w="12240" w:orient="portrait"/>
      <w:pgMar w:bottom="651.9685039370097"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d3748"/>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