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right="-5.669291338581388" w:firstLine="0"/>
        <w:jc w:val="center"/>
        <w:rPr>
          <w:rFonts w:ascii="Times New Roman" w:cs="Times New Roman" w:eastAsia="Times New Roman" w:hAnsi="Times New Roman"/>
          <w:b w:val="1"/>
          <w:sz w:val="28"/>
          <w:szCs w:val="28"/>
        </w:rPr>
      </w:pPr>
      <w:bookmarkStart w:colFirst="0" w:colLast="0" w:name="_lv1onnnqm8l7" w:id="0"/>
      <w:bookmarkEnd w:id="0"/>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AI-Power marketing content generator platform is a smart software platform that utilizes artificial intelligence technologies—mainly large language models, natural language processing, and machine learning algorithms—to generate varied marketing materials like blog articles, social media posts, email campaigns, product descriptions, and ads copy automatically. The platform evaluates brand guidelines, target audience information, and marketing goals to create contextually appropriate, on-brand content at scale, integrated with SEO optimization, trend analysis, and performance insights to maximize engagement and conversion potential. In essence, it is a virtual marketing copywriter who is able to comprehend brand voice, be platform- and audience-aware, and create high-quality content in minutes, not hours, so that business can have consistent marketing presence across multiple channels at significantly less time, cost, and human resource outlay required for content creation.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aim is to empower high-quality marketing content creation so that businesses of all sizes can compete fairly in the digital market and to free human marketers to work on higher-value strategic and creative tasks that </w:t>
      </w:r>
      <w:r w:rsidDel="00000000" w:rsidR="00000000" w:rsidRPr="00000000">
        <w:rPr>
          <w:rFonts w:ascii="Times New Roman" w:cs="Times New Roman" w:eastAsia="Times New Roman" w:hAnsi="Times New Roman"/>
          <w:sz w:val="24"/>
          <w:szCs w:val="24"/>
          <w:rtl w:val="0"/>
        </w:rPr>
        <w:t xml:space="preserve">drives</w:t>
      </w:r>
      <w:r w:rsidDel="00000000" w:rsidR="00000000" w:rsidRPr="00000000">
        <w:rPr>
          <w:rFonts w:ascii="Times New Roman" w:cs="Times New Roman" w:eastAsia="Times New Roman" w:hAnsi="Times New Roman"/>
          <w:sz w:val="24"/>
          <w:szCs w:val="24"/>
          <w:rtl w:val="0"/>
        </w:rPr>
        <w:t xml:space="preserve"> business growth.</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users are small business owners who require budget-friendly content scaling, digital marketing agencies that need effective client content creation, e-commerce managers creating product descriptions, content marketing teams that want to speed up their workflow, freelance copywriters that want to boost productivity, and social media managers who want to post regularly.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provide comprehensive AI-powered marketing content generation functionality including creating blog posts, social media content, email campaigns, product descriptions, ad copy, landing page content, and SEO-optimized articles.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AI-driven marketing content generator does the job of converting formatted inputs into optimized outputs in various formats. For blog articles, it uses inputs such as topic, keywords, audience targeting, word limit, and tone to produce SEO-optimized articles in the correct structure and meta descriptions. Social media content utilizes platform type, brand voice, campaign objective, and images to create posts, captions, and hashtags customised to each platform. Email campaigns depend on subscriber segments, objective, product information, and CTAs to provide personalized subject lines and body content. Product descriptions convert specs, features, benefits, and market data into compelling copy, and ad copy uses campaign purpose, audience personas, budget, and platform regulations to generate compelling headlines, descriptions, and calls to action.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72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