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0A" w:rsidRPr="00C11533" w:rsidRDefault="00B022E5" w:rsidP="00517822">
      <w:pPr>
        <w:contextualSpacing/>
        <w:rPr>
          <w:rFonts w:ascii="Akzidenz-Grotesk Pro Light" w:hAnsi="Akzidenz-Grotesk Pro Light"/>
          <w:sz w:val="48"/>
          <w:szCs w:val="48"/>
          <w:u w:val="single"/>
        </w:rPr>
      </w:pPr>
      <w:r>
        <w:rPr>
          <w:rFonts w:ascii="Akzidenz-Grotesk Pro Light" w:hAnsi="Akzidenz-Grotesk Pro Light"/>
          <w:sz w:val="48"/>
          <w:szCs w:val="48"/>
          <w:u w:val="single"/>
        </w:rPr>
        <w:t>Create and populate Risk and Opportunity Register</w:t>
      </w:r>
    </w:p>
    <w:p w:rsidR="0017100A" w:rsidRPr="00C11533" w:rsidRDefault="0017100A" w:rsidP="0017100A">
      <w:pPr>
        <w:contextualSpacing/>
        <w:jc w:val="center"/>
        <w:rPr>
          <w:rFonts w:ascii="Akzidenz-Grotesk Pro Light" w:hAnsi="Akzidenz-Grotesk Pro Light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Introduction</w:t>
            </w: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Definition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  <w:u w:val="single"/>
              </w:rPr>
            </w:pPr>
          </w:p>
        </w:tc>
        <w:tc>
          <w:tcPr>
            <w:tcW w:w="6157" w:type="dxa"/>
          </w:tcPr>
          <w:p w:rsidR="00E44E88" w:rsidRPr="00C11533" w:rsidRDefault="00B022E5" w:rsidP="00E765E2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Risks and Opportunities to the projected estimated final gross margin of the project</w:t>
            </w:r>
            <w:r w:rsidR="008D44AC">
              <w:rPr>
                <w:rFonts w:ascii="Akzidenz-Grotesk Pro Light" w:hAnsi="Akzidenz-Grotesk Pro Light"/>
              </w:rPr>
              <w:t xml:space="preserve"> </w:t>
            </w:r>
            <w:r>
              <w:rPr>
                <w:rFonts w:ascii="Akzidenz-Grotesk Pro Light" w:hAnsi="Akzidenz-Grotesk Pro Light"/>
              </w:rPr>
              <w:t>to be highlighted and managed throughout the life of a quote and subsequent project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</w:p>
        </w:tc>
        <w:tc>
          <w:tcPr>
            <w:tcW w:w="6157" w:type="dxa"/>
          </w:tcPr>
          <w:p w:rsidR="00E44E88" w:rsidRPr="00C11533" w:rsidRDefault="00E765E2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Importance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1F0001" w:rsidRPr="00C11533" w:rsidRDefault="00B022E5" w:rsidP="007119AE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 xml:space="preserve">Identifying the risks and opportunities against the estimated final gross margin promptly and then committing resources to either mitigate, remove (risk) </w:t>
            </w:r>
            <w:r w:rsidR="00FD7A25">
              <w:rPr>
                <w:rFonts w:ascii="Akzidenz-Grotesk Pro Light" w:hAnsi="Akzidenz-Grotesk Pro Light"/>
              </w:rPr>
              <w:t>or realise, maximise (</w:t>
            </w:r>
            <w:proofErr w:type="spellStart"/>
            <w:r w:rsidR="00FD7A25">
              <w:rPr>
                <w:rFonts w:ascii="Akzidenz-Grotesk Pro Light" w:hAnsi="Akzidenz-Grotesk Pro Light"/>
              </w:rPr>
              <w:t>opps</w:t>
            </w:r>
            <w:proofErr w:type="spellEnd"/>
            <w:r w:rsidR="00FD7A25">
              <w:rPr>
                <w:rFonts w:ascii="Akzidenz-Grotesk Pro Light" w:hAnsi="Akzidenz-Grotesk Pro Light"/>
              </w:rPr>
              <w:t xml:space="preserve">) of same will greatly enhance the effectiveness of AIS’s ability to manage and deliver projects on time and on margin.  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D547AD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 xml:space="preserve">Key </w:t>
            </w:r>
            <w:r w:rsidR="001F0001">
              <w:rPr>
                <w:rFonts w:ascii="Akzidenz-Grotesk Pro Light" w:hAnsi="Akzidenz-Grotesk Pro Light"/>
                <w:b/>
              </w:rPr>
              <w:t>Points</w:t>
            </w:r>
          </w:p>
        </w:tc>
        <w:tc>
          <w:tcPr>
            <w:tcW w:w="6157" w:type="dxa"/>
          </w:tcPr>
          <w:p w:rsidR="00FD7A25" w:rsidRDefault="00FD7A25" w:rsidP="00B022E5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 xml:space="preserve">Sales Leader is to create and populate during quote preparation using standard template; </w:t>
            </w:r>
          </w:p>
          <w:p w:rsidR="00D547AD" w:rsidRDefault="00B022E5" w:rsidP="00B022E5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Includes risk of unrecoverable cost increases</w:t>
            </w:r>
            <w:r w:rsidR="00FD7A25">
              <w:rPr>
                <w:rFonts w:ascii="Akzidenz-Grotesk Pro Light" w:hAnsi="Akzidenz-Grotesk Pro Light"/>
              </w:rPr>
              <w:t xml:space="preserve"> and opportunities that may increase margin</w:t>
            </w:r>
            <w:r>
              <w:rPr>
                <w:rFonts w:ascii="Akzidenz-Grotesk Pro Light" w:hAnsi="Akzidenz-Grotesk Pro Light"/>
              </w:rPr>
              <w:t xml:space="preserve"> associated with </w:t>
            </w:r>
          </w:p>
          <w:p w:rsidR="00B022E5" w:rsidRPr="00FD7A25" w:rsidRDefault="00B022E5" w:rsidP="00FD7A25">
            <w:pPr>
              <w:pStyle w:val="ListParagraph"/>
              <w:numPr>
                <w:ilvl w:val="0"/>
                <w:numId w:val="36"/>
              </w:numPr>
              <w:rPr>
                <w:rFonts w:ascii="Akzidenz-Grotesk Pro Light" w:hAnsi="Akzidenz-Grotesk Pro Light"/>
              </w:rPr>
            </w:pPr>
            <w:r w:rsidRPr="00FD7A25">
              <w:rPr>
                <w:rFonts w:ascii="Akzidenz-Grotesk Pro Light" w:hAnsi="Akzidenz-Grotesk Pro Light"/>
              </w:rPr>
              <w:t>Scope of works</w:t>
            </w:r>
          </w:p>
          <w:p w:rsidR="00B022E5" w:rsidRPr="00FD7A25" w:rsidRDefault="00B022E5" w:rsidP="00FD7A25">
            <w:pPr>
              <w:pStyle w:val="ListParagraph"/>
              <w:numPr>
                <w:ilvl w:val="0"/>
                <w:numId w:val="36"/>
              </w:numPr>
              <w:rPr>
                <w:rFonts w:ascii="Akzidenz-Grotesk Pro Light" w:hAnsi="Akzidenz-Grotesk Pro Light"/>
              </w:rPr>
            </w:pPr>
            <w:r w:rsidRPr="00FD7A25">
              <w:rPr>
                <w:rFonts w:ascii="Akzidenz-Grotesk Pro Light" w:hAnsi="Akzidenz-Grotesk Pro Light"/>
              </w:rPr>
              <w:t>Timescales</w:t>
            </w:r>
          </w:p>
          <w:p w:rsidR="00B022E5" w:rsidRPr="00FD7A25" w:rsidRDefault="00B022E5" w:rsidP="00FD7A25">
            <w:pPr>
              <w:pStyle w:val="ListParagraph"/>
              <w:numPr>
                <w:ilvl w:val="0"/>
                <w:numId w:val="36"/>
              </w:numPr>
              <w:rPr>
                <w:rFonts w:ascii="Akzidenz-Grotesk Pro Light" w:hAnsi="Akzidenz-Grotesk Pro Light"/>
              </w:rPr>
            </w:pPr>
            <w:r w:rsidRPr="00FD7A25">
              <w:rPr>
                <w:rFonts w:ascii="Akzidenz-Grotesk Pro Light" w:hAnsi="Akzidenz-Grotesk Pro Light"/>
              </w:rPr>
              <w:t>Resourcing</w:t>
            </w:r>
          </w:p>
          <w:p w:rsidR="00B022E5" w:rsidRPr="00FD7A25" w:rsidRDefault="00B022E5" w:rsidP="00FD7A25">
            <w:pPr>
              <w:pStyle w:val="ListParagraph"/>
              <w:numPr>
                <w:ilvl w:val="0"/>
                <w:numId w:val="36"/>
              </w:numPr>
              <w:rPr>
                <w:rFonts w:ascii="Akzidenz-Grotesk Pro Light" w:hAnsi="Akzidenz-Grotesk Pro Light"/>
              </w:rPr>
            </w:pPr>
            <w:r w:rsidRPr="00FD7A25">
              <w:rPr>
                <w:rFonts w:ascii="Akzidenz-Grotesk Pro Light" w:hAnsi="Akzidenz-Grotesk Pro Light"/>
              </w:rPr>
              <w:t>OEM cost and availability</w:t>
            </w:r>
          </w:p>
          <w:p w:rsidR="00B022E5" w:rsidRPr="00FD7A25" w:rsidRDefault="00B022E5" w:rsidP="00FD7A25">
            <w:pPr>
              <w:pStyle w:val="ListParagraph"/>
              <w:numPr>
                <w:ilvl w:val="0"/>
                <w:numId w:val="36"/>
              </w:numPr>
              <w:rPr>
                <w:rFonts w:ascii="Akzidenz-Grotesk Pro Light" w:hAnsi="Akzidenz-Grotesk Pro Light"/>
              </w:rPr>
            </w:pPr>
            <w:r w:rsidRPr="00FD7A25">
              <w:rPr>
                <w:rFonts w:ascii="Akzidenz-Grotesk Pro Light" w:hAnsi="Akzidenz-Grotesk Pro Light"/>
              </w:rPr>
              <w:t>Bid assumptions, clarifications, exclusions</w:t>
            </w:r>
          </w:p>
        </w:tc>
      </w:tr>
      <w:tr w:rsidR="00E44E88" w:rsidRPr="00C11533" w:rsidTr="00E44E88">
        <w:tc>
          <w:tcPr>
            <w:tcW w:w="3085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E44E88" w:rsidRPr="00C11533" w:rsidRDefault="00E44E88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  <w:tr w:rsidR="00D547AD" w:rsidRPr="00C11533" w:rsidTr="00E44E88">
        <w:tc>
          <w:tcPr>
            <w:tcW w:w="3085" w:type="dxa"/>
          </w:tcPr>
          <w:p w:rsidR="00D547AD" w:rsidRPr="00C11533" w:rsidRDefault="007E124A" w:rsidP="00AA7C84">
            <w:pPr>
              <w:contextualSpacing/>
              <w:rPr>
                <w:rFonts w:ascii="Akzidenz-Grotesk Pro Light" w:hAnsi="Akzidenz-Grotesk Pro Light"/>
                <w:b/>
              </w:rPr>
            </w:pPr>
            <w:r w:rsidRPr="00C11533">
              <w:rPr>
                <w:rFonts w:ascii="Akzidenz-Grotesk Pro Light" w:hAnsi="Akzidenz-Grotesk Pro Light"/>
                <w:b/>
              </w:rPr>
              <w:t>Output</w:t>
            </w:r>
          </w:p>
        </w:tc>
        <w:tc>
          <w:tcPr>
            <w:tcW w:w="6157" w:type="dxa"/>
          </w:tcPr>
          <w:p w:rsidR="00D547AD" w:rsidRPr="00C11533" w:rsidRDefault="00FD7A25" w:rsidP="00AA7C84">
            <w:pPr>
              <w:contextualSpacing/>
              <w:rPr>
                <w:rFonts w:ascii="Akzidenz-Grotesk Pro Light" w:hAnsi="Akzidenz-Grotesk Pro Light"/>
              </w:rPr>
            </w:pPr>
            <w:r>
              <w:rPr>
                <w:rFonts w:ascii="Akzidenz-Grotesk Pro Light" w:hAnsi="Akzidenz-Grotesk Pro Light"/>
              </w:rPr>
              <w:t>Quotation Risk and Opportunities register</w:t>
            </w:r>
          </w:p>
        </w:tc>
      </w:tr>
      <w:tr w:rsidR="00D547AD" w:rsidRPr="00C11533" w:rsidTr="00E44E88">
        <w:tc>
          <w:tcPr>
            <w:tcW w:w="3085" w:type="dxa"/>
          </w:tcPr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  <w:tc>
          <w:tcPr>
            <w:tcW w:w="6157" w:type="dxa"/>
          </w:tcPr>
          <w:p w:rsidR="00D547AD" w:rsidRPr="00C11533" w:rsidRDefault="00D547AD" w:rsidP="00AA7C84">
            <w:pPr>
              <w:contextualSpacing/>
              <w:rPr>
                <w:rFonts w:ascii="Akzidenz-Grotesk Pro Light" w:hAnsi="Akzidenz-Grotesk Pro Light"/>
              </w:rPr>
            </w:pPr>
          </w:p>
        </w:tc>
      </w:tr>
    </w:tbl>
    <w:p w:rsidR="00AA7C84" w:rsidRPr="00C11533" w:rsidRDefault="00AA7C84" w:rsidP="00AA7C84">
      <w:pPr>
        <w:contextualSpacing/>
        <w:rPr>
          <w:rFonts w:ascii="Akzidenz-Grotesk Pro Light" w:hAnsi="Akzidenz-Grotesk Pro Light"/>
          <w:b/>
          <w:u w:val="single"/>
        </w:rPr>
      </w:pPr>
    </w:p>
    <w:sectPr w:rsidR="00AA7C84" w:rsidRPr="00C11533" w:rsidSect="00FD0D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FEB" w:rsidRDefault="00A10FEB" w:rsidP="00C23EF1">
      <w:pPr>
        <w:spacing w:after="0" w:line="240" w:lineRule="auto"/>
      </w:pPr>
      <w:r>
        <w:separator/>
      </w:r>
    </w:p>
  </w:endnote>
  <w:endnote w:type="continuationSeparator" w:id="0">
    <w:p w:rsidR="00A10FEB" w:rsidRDefault="00A10FEB" w:rsidP="00C2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zidenz-Grotesk Pro Light">
    <w:panose1 w:val="02000506040000020003"/>
    <w:charset w:val="00"/>
    <w:family w:val="modern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FEB" w:rsidRDefault="00A10FEB" w:rsidP="00C23EF1">
      <w:pPr>
        <w:spacing w:after="0" w:line="240" w:lineRule="auto"/>
      </w:pPr>
      <w:r>
        <w:separator/>
      </w:r>
    </w:p>
  </w:footnote>
  <w:footnote w:type="continuationSeparator" w:id="0">
    <w:p w:rsidR="00A10FEB" w:rsidRDefault="00A10FEB" w:rsidP="00C2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EF1" w:rsidRDefault="005A26C5" w:rsidP="006E63AC">
    <w:pPr>
      <w:pStyle w:val="Header"/>
    </w:pPr>
    <w:r>
      <w:rPr>
        <w:noProof/>
      </w:rPr>
      <w:drawing>
        <wp:inline distT="0" distB="0" distL="0" distR="0">
          <wp:extent cx="792000" cy="792956"/>
          <wp:effectExtent l="19050" t="0" r="8100" b="0"/>
          <wp:docPr id="3" name="Picture 2" descr="g2_acorn_bloc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2_acorn_bloc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792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63AC">
      <w:t>Explanation</w:t>
    </w:r>
  </w:p>
  <w:p w:rsidR="00C23EF1" w:rsidRDefault="00C23E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140"/>
    <w:multiLevelType w:val="hybridMultilevel"/>
    <w:tmpl w:val="50CC2ED0"/>
    <w:lvl w:ilvl="0" w:tplc="544A07DA">
      <w:start w:val="1"/>
      <w:numFmt w:val="bullet"/>
      <w:lvlText w:val=""/>
      <w:lvlJc w:val="left"/>
      <w:pPr>
        <w:ind w:left="1077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2F40669"/>
    <w:multiLevelType w:val="hybridMultilevel"/>
    <w:tmpl w:val="1DCA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27FF"/>
    <w:multiLevelType w:val="hybridMultilevel"/>
    <w:tmpl w:val="229AD02E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102F1"/>
    <w:multiLevelType w:val="hybridMultilevel"/>
    <w:tmpl w:val="ED4047CC"/>
    <w:lvl w:ilvl="0" w:tplc="087CBF56">
      <w:start w:val="2"/>
      <w:numFmt w:val="bullet"/>
      <w:lvlText w:val="-"/>
      <w:lvlJc w:val="left"/>
      <w:pPr>
        <w:ind w:left="720" w:hanging="360"/>
      </w:pPr>
      <w:rPr>
        <w:rFonts w:ascii="Akzidenz-Grotesk Pro Light" w:eastAsiaTheme="minorEastAsia" w:hAnsi="Akzidenz-Grotesk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70FD5"/>
    <w:multiLevelType w:val="hybridMultilevel"/>
    <w:tmpl w:val="CBB6BF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53F5"/>
    <w:multiLevelType w:val="hybridMultilevel"/>
    <w:tmpl w:val="2A9E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21848"/>
    <w:multiLevelType w:val="hybridMultilevel"/>
    <w:tmpl w:val="8F869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31DA6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99009A"/>
    <w:multiLevelType w:val="hybridMultilevel"/>
    <w:tmpl w:val="683E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8C6"/>
    <w:multiLevelType w:val="hybridMultilevel"/>
    <w:tmpl w:val="22B84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36647A"/>
    <w:multiLevelType w:val="hybridMultilevel"/>
    <w:tmpl w:val="C568B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117F7"/>
    <w:multiLevelType w:val="hybridMultilevel"/>
    <w:tmpl w:val="91062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C606D"/>
    <w:multiLevelType w:val="hybridMultilevel"/>
    <w:tmpl w:val="070A7406"/>
    <w:lvl w:ilvl="0" w:tplc="61349EBC">
      <w:start w:val="2"/>
      <w:numFmt w:val="bullet"/>
      <w:lvlText w:val="-"/>
      <w:lvlJc w:val="left"/>
      <w:pPr>
        <w:ind w:left="720" w:hanging="360"/>
      </w:pPr>
      <w:rPr>
        <w:rFonts w:ascii="Akzidenz-Grotesk Pro Light" w:eastAsiaTheme="minorEastAsia" w:hAnsi="Akzidenz-Grotesk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FF0"/>
    <w:multiLevelType w:val="hybridMultilevel"/>
    <w:tmpl w:val="CC98788A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7BFE"/>
    <w:multiLevelType w:val="hybridMultilevel"/>
    <w:tmpl w:val="A6A8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B6471"/>
    <w:multiLevelType w:val="hybridMultilevel"/>
    <w:tmpl w:val="0E80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B2518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B75730E"/>
    <w:multiLevelType w:val="hybridMultilevel"/>
    <w:tmpl w:val="2A0445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03547D"/>
    <w:multiLevelType w:val="hybridMultilevel"/>
    <w:tmpl w:val="54662C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15DB1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A02EEB"/>
    <w:multiLevelType w:val="hybridMultilevel"/>
    <w:tmpl w:val="606A3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FAB"/>
    <w:multiLevelType w:val="hybridMultilevel"/>
    <w:tmpl w:val="EFDA304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D8563E3"/>
    <w:multiLevelType w:val="hybridMultilevel"/>
    <w:tmpl w:val="AFBAE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A07D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  <w:color w:val="8014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B70B0"/>
    <w:multiLevelType w:val="hybridMultilevel"/>
    <w:tmpl w:val="A8FC6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76A24"/>
    <w:multiLevelType w:val="hybridMultilevel"/>
    <w:tmpl w:val="9A38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3093E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DB5629C"/>
    <w:multiLevelType w:val="hybridMultilevel"/>
    <w:tmpl w:val="6CD6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084585"/>
    <w:multiLevelType w:val="hybridMultilevel"/>
    <w:tmpl w:val="67386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81F18"/>
    <w:multiLevelType w:val="hybridMultilevel"/>
    <w:tmpl w:val="34B0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B144F0"/>
    <w:multiLevelType w:val="hybridMultilevel"/>
    <w:tmpl w:val="00449598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6A4C69"/>
    <w:multiLevelType w:val="hybridMultilevel"/>
    <w:tmpl w:val="9A38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5202"/>
    <w:multiLevelType w:val="hybridMultilevel"/>
    <w:tmpl w:val="D2BA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7233D"/>
    <w:multiLevelType w:val="singleLevel"/>
    <w:tmpl w:val="10806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3A217D4"/>
    <w:multiLevelType w:val="hybridMultilevel"/>
    <w:tmpl w:val="DAC68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B6814"/>
    <w:multiLevelType w:val="hybridMultilevel"/>
    <w:tmpl w:val="85C68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440F3"/>
    <w:multiLevelType w:val="hybridMultilevel"/>
    <w:tmpl w:val="B90C9EE2"/>
    <w:lvl w:ilvl="0" w:tplc="544A07D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color w:val="8014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8"/>
  </w:num>
  <w:num w:numId="4">
    <w:abstractNumId w:val="9"/>
  </w:num>
  <w:num w:numId="5">
    <w:abstractNumId w:val="5"/>
  </w:num>
  <w:num w:numId="6">
    <w:abstractNumId w:val="25"/>
  </w:num>
  <w:num w:numId="7">
    <w:abstractNumId w:val="32"/>
  </w:num>
  <w:num w:numId="8">
    <w:abstractNumId w:val="1"/>
  </w:num>
  <w:num w:numId="9">
    <w:abstractNumId w:val="21"/>
  </w:num>
  <w:num w:numId="10">
    <w:abstractNumId w:val="7"/>
  </w:num>
  <w:num w:numId="11">
    <w:abstractNumId w:val="19"/>
  </w:num>
  <w:num w:numId="12">
    <w:abstractNumId w:val="16"/>
  </w:num>
  <w:num w:numId="13">
    <w:abstractNumId w:val="27"/>
  </w:num>
  <w:num w:numId="14">
    <w:abstractNumId w:val="15"/>
  </w:num>
  <w:num w:numId="15">
    <w:abstractNumId w:val="29"/>
  </w:num>
  <w:num w:numId="16">
    <w:abstractNumId w:val="22"/>
  </w:num>
  <w:num w:numId="17">
    <w:abstractNumId w:val="2"/>
  </w:num>
  <w:num w:numId="18">
    <w:abstractNumId w:val="0"/>
  </w:num>
  <w:num w:numId="19">
    <w:abstractNumId w:val="13"/>
  </w:num>
  <w:num w:numId="20">
    <w:abstractNumId w:val="35"/>
  </w:num>
  <w:num w:numId="21">
    <w:abstractNumId w:val="11"/>
  </w:num>
  <w:num w:numId="22">
    <w:abstractNumId w:val="30"/>
  </w:num>
  <w:num w:numId="23">
    <w:abstractNumId w:val="12"/>
  </w:num>
  <w:num w:numId="24">
    <w:abstractNumId w:val="3"/>
  </w:num>
  <w:num w:numId="25">
    <w:abstractNumId w:val="24"/>
  </w:num>
  <w:num w:numId="26">
    <w:abstractNumId w:val="14"/>
  </w:num>
  <w:num w:numId="27">
    <w:abstractNumId w:val="17"/>
  </w:num>
  <w:num w:numId="28">
    <w:abstractNumId w:val="20"/>
  </w:num>
  <w:num w:numId="29">
    <w:abstractNumId w:val="33"/>
  </w:num>
  <w:num w:numId="30">
    <w:abstractNumId w:val="6"/>
  </w:num>
  <w:num w:numId="31">
    <w:abstractNumId w:val="18"/>
  </w:num>
  <w:num w:numId="32">
    <w:abstractNumId w:val="34"/>
  </w:num>
  <w:num w:numId="33">
    <w:abstractNumId w:val="4"/>
  </w:num>
  <w:num w:numId="34">
    <w:abstractNumId w:val="10"/>
  </w:num>
  <w:num w:numId="35">
    <w:abstractNumId w:val="31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100A"/>
    <w:rsid w:val="00040CEB"/>
    <w:rsid w:val="00045207"/>
    <w:rsid w:val="00096A8D"/>
    <w:rsid w:val="00103ECB"/>
    <w:rsid w:val="00113A00"/>
    <w:rsid w:val="00151E8C"/>
    <w:rsid w:val="0017100A"/>
    <w:rsid w:val="00187002"/>
    <w:rsid w:val="00197151"/>
    <w:rsid w:val="001C5D2F"/>
    <w:rsid w:val="001E13AF"/>
    <w:rsid w:val="001F0001"/>
    <w:rsid w:val="00200F26"/>
    <w:rsid w:val="00220E1E"/>
    <w:rsid w:val="00226E46"/>
    <w:rsid w:val="002414AC"/>
    <w:rsid w:val="00281E6E"/>
    <w:rsid w:val="00287197"/>
    <w:rsid w:val="00316944"/>
    <w:rsid w:val="00327BD7"/>
    <w:rsid w:val="003329B4"/>
    <w:rsid w:val="00337294"/>
    <w:rsid w:val="00355994"/>
    <w:rsid w:val="003A30D3"/>
    <w:rsid w:val="003B1909"/>
    <w:rsid w:val="00415974"/>
    <w:rsid w:val="00466D67"/>
    <w:rsid w:val="00470214"/>
    <w:rsid w:val="00482C5F"/>
    <w:rsid w:val="00484F86"/>
    <w:rsid w:val="004B63B2"/>
    <w:rsid w:val="004D48A1"/>
    <w:rsid w:val="005077B3"/>
    <w:rsid w:val="00513343"/>
    <w:rsid w:val="00517822"/>
    <w:rsid w:val="00533DCC"/>
    <w:rsid w:val="00537283"/>
    <w:rsid w:val="0056657F"/>
    <w:rsid w:val="00580B29"/>
    <w:rsid w:val="005A26C5"/>
    <w:rsid w:val="005A624F"/>
    <w:rsid w:val="005A7F3C"/>
    <w:rsid w:val="005B36A5"/>
    <w:rsid w:val="005E5EE7"/>
    <w:rsid w:val="006047F9"/>
    <w:rsid w:val="0060506F"/>
    <w:rsid w:val="006D094D"/>
    <w:rsid w:val="006E63AC"/>
    <w:rsid w:val="007047FF"/>
    <w:rsid w:val="007119AE"/>
    <w:rsid w:val="0072029F"/>
    <w:rsid w:val="0073794F"/>
    <w:rsid w:val="00752081"/>
    <w:rsid w:val="00780806"/>
    <w:rsid w:val="00790620"/>
    <w:rsid w:val="007A068C"/>
    <w:rsid w:val="007C2F34"/>
    <w:rsid w:val="007D3092"/>
    <w:rsid w:val="007E124A"/>
    <w:rsid w:val="007E463B"/>
    <w:rsid w:val="007F6898"/>
    <w:rsid w:val="008243A6"/>
    <w:rsid w:val="00874990"/>
    <w:rsid w:val="008B0607"/>
    <w:rsid w:val="008C6135"/>
    <w:rsid w:val="008D44AC"/>
    <w:rsid w:val="009007B1"/>
    <w:rsid w:val="0093433B"/>
    <w:rsid w:val="00962FF7"/>
    <w:rsid w:val="009645DF"/>
    <w:rsid w:val="009665CC"/>
    <w:rsid w:val="00996F59"/>
    <w:rsid w:val="009A1F41"/>
    <w:rsid w:val="009C15C3"/>
    <w:rsid w:val="009F57B9"/>
    <w:rsid w:val="00A10FEB"/>
    <w:rsid w:val="00A25C27"/>
    <w:rsid w:val="00A95B38"/>
    <w:rsid w:val="00AA7C84"/>
    <w:rsid w:val="00AD070F"/>
    <w:rsid w:val="00AE7457"/>
    <w:rsid w:val="00B022E5"/>
    <w:rsid w:val="00B1401B"/>
    <w:rsid w:val="00B47AE2"/>
    <w:rsid w:val="00C11533"/>
    <w:rsid w:val="00C15963"/>
    <w:rsid w:val="00C23EF1"/>
    <w:rsid w:val="00C36E3F"/>
    <w:rsid w:val="00C860AF"/>
    <w:rsid w:val="00CA3277"/>
    <w:rsid w:val="00CC4780"/>
    <w:rsid w:val="00CD47A3"/>
    <w:rsid w:val="00CD68D3"/>
    <w:rsid w:val="00CF0784"/>
    <w:rsid w:val="00CF1585"/>
    <w:rsid w:val="00D01E59"/>
    <w:rsid w:val="00D547AD"/>
    <w:rsid w:val="00DC4FDD"/>
    <w:rsid w:val="00DF0DBE"/>
    <w:rsid w:val="00E44E88"/>
    <w:rsid w:val="00E64B37"/>
    <w:rsid w:val="00E765E2"/>
    <w:rsid w:val="00EB2994"/>
    <w:rsid w:val="00F7153F"/>
    <w:rsid w:val="00F94E73"/>
    <w:rsid w:val="00FB05FE"/>
    <w:rsid w:val="00FD0DB7"/>
    <w:rsid w:val="00FD7A25"/>
    <w:rsid w:val="00FE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D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E5D3F"/>
    <w:pPr>
      <w:widowControl w:val="0"/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5D3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E5D3F"/>
    <w:pPr>
      <w:spacing w:after="0" w:line="240" w:lineRule="auto"/>
      <w:ind w:left="144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E5D3F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E5D3F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E5D3F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96A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6A8D"/>
  </w:style>
  <w:style w:type="paragraph" w:styleId="Header">
    <w:name w:val="header"/>
    <w:basedOn w:val="Normal"/>
    <w:link w:val="Head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F1"/>
  </w:style>
  <w:style w:type="paragraph" w:styleId="Footer">
    <w:name w:val="footer"/>
    <w:basedOn w:val="Normal"/>
    <w:link w:val="Foot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F1"/>
  </w:style>
  <w:style w:type="paragraph" w:styleId="BalloonText">
    <w:name w:val="Balloon Text"/>
    <w:basedOn w:val="Normal"/>
    <w:link w:val="BalloonTextChar"/>
    <w:uiPriority w:val="99"/>
    <w:semiHidden/>
    <w:unhideWhenUsed/>
    <w:rsid w:val="00C2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D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E5D3F"/>
    <w:pPr>
      <w:widowControl w:val="0"/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5D3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E5D3F"/>
    <w:pPr>
      <w:spacing w:after="0" w:line="240" w:lineRule="auto"/>
      <w:ind w:left="144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E5D3F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E5D3F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E5D3F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96A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6A8D"/>
  </w:style>
  <w:style w:type="paragraph" w:styleId="Header">
    <w:name w:val="header"/>
    <w:basedOn w:val="Normal"/>
    <w:link w:val="Head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F1"/>
  </w:style>
  <w:style w:type="paragraph" w:styleId="Footer">
    <w:name w:val="footer"/>
    <w:basedOn w:val="Normal"/>
    <w:link w:val="FooterChar"/>
    <w:uiPriority w:val="99"/>
    <w:unhideWhenUsed/>
    <w:rsid w:val="00C23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F1"/>
  </w:style>
  <w:style w:type="paragraph" w:styleId="BalloonText">
    <w:name w:val="Balloon Text"/>
    <w:basedOn w:val="Normal"/>
    <w:link w:val="BalloonTextChar"/>
    <w:uiPriority w:val="99"/>
    <w:semiHidden/>
    <w:unhideWhenUsed/>
    <w:rsid w:val="00C2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D35CC219694499732B00B89F46B70" ma:contentTypeVersion="1" ma:contentTypeDescription="Create a new document." ma:contentTypeScope="" ma:versionID="06a9f08b52a21b7f2ff85a1b34c5719f">
  <xsd:schema xmlns:xsd="http://www.w3.org/2001/XMLSchema" xmlns:xs="http://www.w3.org/2001/XMLSchema" xmlns:p="http://schemas.microsoft.com/office/2006/metadata/properties" xmlns:ns3="a3dc92ca-f538-4412-8440-702912f7802e" targetNamespace="http://schemas.microsoft.com/office/2006/metadata/properties" ma:root="true" ma:fieldsID="6acfb93ff2c71dbd23af315ae9757bbc" ns3:_="">
    <xsd:import namespace="a3dc92ca-f538-4412-8440-702912f7802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c92ca-f538-4412-8440-702912f78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D6B514-8709-4568-8982-7EEAF722BDD1}"/>
</file>

<file path=customXml/itemProps2.xml><?xml version="1.0" encoding="utf-8"?>
<ds:datastoreItem xmlns:ds="http://schemas.openxmlformats.org/officeDocument/2006/customXml" ds:itemID="{1D19DE5F-7E33-4A26-8481-D60EFB9744F0}"/>
</file>

<file path=customXml/itemProps3.xml><?xml version="1.0" encoding="utf-8"?>
<ds:datastoreItem xmlns:ds="http://schemas.openxmlformats.org/officeDocument/2006/customXml" ds:itemID="{54BC9FF4-F6AD-4AF4-844F-5C62C6C00F92}"/>
</file>

<file path=customXml/itemProps4.xml><?xml version="1.0" encoding="utf-8"?>
<ds:datastoreItem xmlns:ds="http://schemas.openxmlformats.org/officeDocument/2006/customXml" ds:itemID="{7D7313BC-C4B8-4344-BFBA-2EF2AF98D4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Redfern</cp:lastModifiedBy>
  <cp:revision>3</cp:revision>
  <dcterms:created xsi:type="dcterms:W3CDTF">2012-03-28T09:46:00Z</dcterms:created>
  <dcterms:modified xsi:type="dcterms:W3CDTF">2012-03-28T10:01:00Z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0x01010010DD35CC219694499732B00B89F46B70</vt:lpwstr>
  </property>
  <property fmtid="{D5CDD505-2E9C-101B-9397-08002B2CF9AE}" pid="3" name="IsMyDocuments">
    <vt:bool>true</vt:bool>
  </property>
</Properties>
</file>