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Default="00B913AD"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sz w:val="24"/>
          <w:szCs w:val="24"/>
        </w:rPr>
        <w:t xml:space="preserve">Title: </w:t>
      </w:r>
      <w:r w:rsidR="00097811"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AD2007" w:rsidRDefault="00AD2007" w:rsidP="006822F8">
      <w:pPr>
        <w:spacing w:line="276" w:lineRule="auto"/>
        <w:jc w:val="both"/>
        <w:rPr>
          <w:rFonts w:ascii="Times New Roman" w:hAnsi="Times New Roman" w:cs="Times New Roman"/>
          <w:b/>
          <w:bCs/>
          <w:sz w:val="24"/>
          <w:szCs w:val="24"/>
        </w:rPr>
      </w:pPr>
    </w:p>
    <w:p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BD6F8A" w:rsidRPr="00BD6F8A" w:rsidRDefault="00BD6F8A" w:rsidP="00BD6F8A">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BD6F8A">
        <w:rPr>
          <w:rFonts w:ascii="Times New Roman" w:hAnsi="Times New Roman" w:cs="Times New Roman"/>
          <w:bCs/>
          <w:sz w:val="24"/>
          <w:szCs w:val="24"/>
        </w:rPr>
        <w:t>Conversely, mixed choice responses towards the perceived utility of grafted pepper plants for flood and disease tolerance throw light on the importance of institutional validation for decision-making regarding technological adoption.</w:t>
      </w:r>
      <w:r w:rsidRPr="00172348">
        <w:rPr>
          <w:rFonts w:ascii="Times New Roman" w:hAnsi="Times New Roman" w:cs="Times New Roman"/>
          <w:bCs/>
          <w:sz w:val="24"/>
          <w:szCs w:val="24"/>
        </w:rPr>
        <w:t xml:space="preserve">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BD6F8A">
        <w:rPr>
          <w:rFonts w:ascii="Times New Roman" w:hAnsi="Times New Roman" w:cs="Times New Roman"/>
          <w:bCs/>
          <w:sz w:val="24"/>
          <w:szCs w:val="24"/>
        </w:rPr>
        <w:t>These findings provide valuable insights for policymakers and agricultural stakeholders and guide future pathways of adaptation decisions aiming to promote climate-resilient practices and enhance the sustainability of smallholder farming systems.</w:t>
      </w:r>
    </w:p>
    <w:p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r w:rsidR="002B167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Best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BD6F8A" w:rsidRPr="00A364E2" w:rsidRDefault="009839B8" w:rsidP="00BD6F8A">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Ravindran</w:t>
      </w:r>
      <w:proofErr w:type="spellEnd"/>
      <w:r w:rsidR="009E36F2" w:rsidRPr="009E36F2">
        <w:rPr>
          <w:rFonts w:ascii="Times New Roman" w:hAnsi="Times New Roman" w:cs="Times New Roman"/>
          <w:sz w:val="24"/>
          <w:szCs w:val="24"/>
        </w:rPr>
        <w:t xml:space="preserve"> </w:t>
      </w:r>
      <w:r w:rsidR="00F57355">
        <w:rPr>
          <w:rFonts w:ascii="Times New Roman" w:hAnsi="Times New Roman" w:cs="Times New Roman"/>
          <w:sz w:val="24"/>
          <w:szCs w:val="24"/>
        </w:rPr>
        <w:t>&amp;</w:t>
      </w:r>
      <w:r w:rsidR="009E36F2" w:rsidRP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xml:space="preserve">.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w:t>
      </w:r>
      <w:r w:rsidR="00BD6F8A" w:rsidRPr="00BD6F8A">
        <w:rPr>
          <w:rFonts w:ascii="Times New Roman" w:hAnsi="Times New Roman" w:cs="Times New Roman"/>
          <w:sz w:val="24"/>
          <w:szCs w:val="24"/>
        </w:rPr>
        <w:t>pests and diseases</w:t>
      </w:r>
      <w:r w:rsidR="004C74BF">
        <w:rPr>
          <w:rFonts w:ascii="Times New Roman" w:hAnsi="Times New Roman" w:cs="Times New Roman"/>
          <w:sz w:val="24"/>
          <w:szCs w:val="24"/>
        </w:rPr>
        <w:t xml:space="preserve"> </w:t>
      </w:r>
      <w:r w:rsidR="00BD6F8A" w:rsidRPr="00A364E2">
        <w:rPr>
          <w:rFonts w:ascii="Times New Roman" w:hAnsi="Times New Roman" w:cs="Times New Roman"/>
          <w:sz w:val="24"/>
          <w:szCs w:val="24"/>
        </w:rPr>
        <w:t>and economic volatility.</w:t>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{"citationID":"TrxwRhwa","properties":{"formattedCitation":"(Anith et al., 2018)","plainCitation":"(Anith et al., 2018)","noteIndex":0},"citationItems":[{"id":268,"uris":["http://zotero.org/users/11737140/items/RCZBW4UV"],"itemData":{"id":268,"type":"article-journal","abstract":"Plant growth and yield characteristics of black pepper (Piper nigrum L.) on inoculation with the root endophytic fungus Piriformospora indica are reported. Experiments were carried out using plants raised from the lateral branches of black pepper which develop into miniature plants known as “bush pepper” that bear fruits in the same year of planting. P. indica (Pi) inoculated plants put forth more number of leaves and leaf area per plant compared to the control plants throughout the period of the experiment. There was significant difference between the inoculated and uninoculated plants with respect to the chlorophyll a and total chlorophyll content of leaf tissues. Early flowering and spike setting was observed in plants inoculated with Pi. The total fresh and dry weights of berries harvested from the Pi inoculated plants were significantly higher than that from the control plants. Inoculation with the fungus also increased the total oleoresin and piperine content in the berries.","container-title":"Biocatalysis and Agricultural Biotechnology","DOI":"10.1016/j.bcab.2018.03.012","ISSN":"1878-8181","journalAbbreviation":"Biocatalysis and Agricultural Biotechnology","page":"215-220","source":"ScienceDirect","title":"Root colonization by the endophytic fungus &lt;i&gt;Piriformospora indica&lt;/i&gt; improves growth, yield and piperine content in black pepper (&lt;i&gt;Piper nigurm&lt;/i&gt; L.)","volume":"14","author":[{"family":"Anith","given":"K. N."},{"family":"Aswini","given":"S."},{"family":"Varkey","given":"Shilpa"},{"family":"Radhakrishnan","given":"N. V."},{"family":"Nair","given":"Deepa S."}],"issued":{"date-parts":[["2018",4,1]]}}}],"schema":"https://github.com/citation-style-language/schema/raw/master/csl-citation.json"} </w:instrText>
      </w:r>
      <w:r w:rsidR="00211152" w:rsidRPr="00BD6F8A">
        <w:rPr>
          <w:rFonts w:ascii="Times New Roman" w:hAnsi="Times New Roman" w:cs="Times New Roman"/>
          <w:sz w:val="24"/>
          <w:szCs w:val="24"/>
        </w:rPr>
        <w:fldChar w:fldCharType="separate"/>
      </w:r>
      <w:r w:rsidR="00BD6F8A" w:rsidRPr="00BD6F8A">
        <w:rPr>
          <w:rFonts w:ascii="Times New Roman" w:hAnsi="Times New Roman" w:cs="Times New Roman"/>
          <w:sz w:val="24"/>
          <w:szCs w:val="24"/>
        </w:rPr>
        <w:t xml:space="preserve">(Anith </w:t>
      </w:r>
      <w:r w:rsidR="00BD6F8A" w:rsidRPr="00F57355">
        <w:rPr>
          <w:rFonts w:ascii="Times New Roman" w:hAnsi="Times New Roman" w:cs="Times New Roman"/>
          <w:i/>
          <w:sz w:val="24"/>
          <w:szCs w:val="24"/>
        </w:rPr>
        <w:t>et al</w:t>
      </w:r>
      <w:r w:rsidR="00BD6F8A" w:rsidRPr="00BD6F8A">
        <w:rPr>
          <w:rFonts w:ascii="Times New Roman" w:hAnsi="Times New Roman" w:cs="Times New Roman"/>
          <w:sz w:val="24"/>
          <w:szCs w:val="24"/>
        </w:rPr>
        <w:t>., 2018</w:t>
      </w:r>
      <w:r w:rsidR="004C74BF">
        <w:rPr>
          <w:rFonts w:ascii="Times New Roman" w:hAnsi="Times New Roman" w:cs="Times New Roman"/>
          <w:sz w:val="24"/>
          <w:szCs w:val="24"/>
        </w:rPr>
        <w:t xml:space="preserve">; </w:t>
      </w:r>
      <w:r w:rsidR="00211152" w:rsidRPr="00BD6F8A">
        <w:rPr>
          <w:rFonts w:ascii="Times New Roman" w:hAnsi="Times New Roman" w:cs="Times New Roman"/>
          <w:sz w:val="24"/>
          <w:szCs w:val="24"/>
        </w:rPr>
        <w:fldChar w:fldCharType="end"/>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{"citationID":"YldFkB0o","properties":{"formattedCitation":"(KANDIANNAN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BD6F8A">
        <w:rPr>
          <w:rFonts w:ascii="Times New Roman" w:hAnsi="Times New Roman" w:cs="Times New Roman"/>
          <w:sz w:val="24"/>
          <w:szCs w:val="24"/>
        </w:rPr>
        <w:fldChar w:fldCharType="separate"/>
      </w:r>
      <w:r w:rsidR="004C74BF" w:rsidRPr="00BD6F8A">
        <w:rPr>
          <w:rFonts w:ascii="Times New Roman" w:hAnsi="Times New Roman" w:cs="Times New Roman"/>
          <w:sz w:val="24"/>
          <w:szCs w:val="24"/>
        </w:rPr>
        <w:t>Kandiannan</w:t>
      </w:r>
      <w:r w:rsidR="00BD6F8A" w:rsidRPr="00BD6F8A">
        <w:rPr>
          <w:rFonts w:ascii="Times New Roman" w:hAnsi="Times New Roman" w:cs="Times New Roman"/>
          <w:sz w:val="24"/>
          <w:szCs w:val="24"/>
        </w:rPr>
        <w:t xml:space="preserve"> </w:t>
      </w:r>
      <w:r w:rsidR="00BD6F8A" w:rsidRPr="004C74BF">
        <w:rPr>
          <w:rFonts w:ascii="Times New Roman" w:hAnsi="Times New Roman" w:cs="Times New Roman"/>
          <w:i/>
          <w:sz w:val="24"/>
          <w:szCs w:val="24"/>
        </w:rPr>
        <w:t>et al</w:t>
      </w:r>
      <w:r w:rsidR="00BD6F8A" w:rsidRPr="00BD6F8A">
        <w:rPr>
          <w:rFonts w:ascii="Times New Roman" w:hAnsi="Times New Roman" w:cs="Times New Roman"/>
          <w:sz w:val="24"/>
          <w:szCs w:val="24"/>
        </w:rPr>
        <w:t>., 2014)</w:t>
      </w:r>
      <w:r w:rsidR="00211152" w:rsidRPr="00BD6F8A">
        <w:rPr>
          <w:rFonts w:ascii="Times New Roman" w:hAnsi="Times New Roman" w:cs="Times New Roman"/>
          <w:sz w:val="24"/>
          <w:szCs w:val="24"/>
        </w:rPr>
        <w:fldChar w:fldCharType="end"/>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w:t>
      </w:r>
      <w:r w:rsidRPr="00A364E2">
        <w:rPr>
          <w:rFonts w:ascii="Times New Roman" w:hAnsi="Times New Roman" w:cs="Times New Roman"/>
          <w:sz w:val="24"/>
          <w:szCs w:val="24"/>
        </w:rPr>
        <w:lastRenderedPageBreak/>
        <w:t>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sidR="00F57355">
        <w:rPr>
          <w:rFonts w:ascii="Times New Roman" w:hAnsi="Times New Roman" w:cs="Times New Roman"/>
          <w:sz w:val="24"/>
          <w:szCs w:val="24"/>
        </w:rPr>
        <w:t xml:space="preserve"> </w:t>
      </w:r>
      <w:r w:rsidR="00533C3E">
        <w:rPr>
          <w:rFonts w:ascii="Times New Roman" w:hAnsi="Times New Roman" w:cs="Times New Roman"/>
          <w:sz w:val="24"/>
          <w:szCs w:val="24"/>
        </w:rPr>
        <w:t>(</w:t>
      </w:r>
      <w:proofErr w:type="spellStart"/>
      <w:r w:rsidR="00533C3E">
        <w:rPr>
          <w:rFonts w:ascii="Times New Roman" w:hAnsi="Times New Roman" w:cs="Times New Roman"/>
          <w:sz w:val="24"/>
          <w:szCs w:val="24"/>
        </w:rPr>
        <w:t>Hema</w:t>
      </w:r>
      <w:proofErr w:type="spellEnd"/>
      <w:r w:rsidR="00533C3E">
        <w:rPr>
          <w:rFonts w:ascii="Times New Roman" w:hAnsi="Times New Roman" w:cs="Times New Roman"/>
          <w:sz w:val="24"/>
          <w:szCs w:val="24"/>
        </w:rPr>
        <w:t xml:space="preserve">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r>
        <w:rPr>
          <w:rFonts w:ascii="Times New Roman" w:hAnsi="Times New Roman" w:cs="Times New Roman"/>
          <w:sz w:val="24"/>
          <w:szCs w:val="24"/>
        </w:rPr>
        <w:t xml:space="preserve">Phiri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(Ola &amp; Menapace, 2020</w:t>
      </w:r>
      <w:r w:rsidR="00F57355">
        <w:rPr>
          <w:rFonts w:ascii="Times New Roman" w:hAnsi="Times New Roman" w:cs="Times New Roman"/>
          <w:sz w:val="24"/>
        </w:rPr>
        <w:t xml:space="preserve">; </w:t>
      </w:r>
      <w:r w:rsidR="00211152" w:rsidRPr="00533C3E">
        <w:rPr>
          <w:rFonts w:ascii="Times New Roman" w:hAnsi="Times New Roman" w:cs="Times New Roman"/>
          <w:color w:val="000000" w:themeColor="text1"/>
          <w:sz w:val="24"/>
          <w:szCs w:val="24"/>
        </w:rPr>
        <w:fldChar w:fldCharType="end"/>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Burnham &amp; Ma, 2016)</w:t>
      </w:r>
      <w:r w:rsidR="00211152" w:rsidRPr="00533C3E">
        <w:rPr>
          <w:rFonts w:ascii="Times New Roman" w:hAnsi="Times New Roman" w:cs="Times New Roman"/>
          <w:color w:val="000000" w:themeColor="text1"/>
          <w:sz w:val="24"/>
          <w:szCs w:val="24"/>
        </w:rPr>
        <w:fldChar w:fldCharType="end"/>
      </w:r>
    </w:p>
    <w:p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(Smith </w:t>
      </w:r>
      <w:r w:rsidRPr="00AA3CD5">
        <w:rPr>
          <w:rFonts w:ascii="Times New Roman" w:hAnsi="Times New Roman" w:cs="Times New Roman"/>
          <w:i/>
          <w:iCs/>
          <w:sz w:val="24"/>
          <w:szCs w:val="24"/>
        </w:rPr>
        <w:t>et al</w:t>
      </w:r>
      <w:r>
        <w:rPr>
          <w:rFonts w:ascii="Times New Roman" w:hAnsi="Times New Roman" w:cs="Times New Roman"/>
          <w:sz w:val="24"/>
          <w:szCs w:val="24"/>
        </w:rPr>
        <w:t>., 1999).</w:t>
      </w:r>
      <w:proofErr w:type="gramEnd"/>
      <w:r>
        <w:rPr>
          <w:rFonts w:ascii="Times New Roman" w:hAnsi="Times New Roman" w:cs="Times New Roman"/>
          <w:sz w:val="24"/>
          <w:szCs w:val="24"/>
        </w:rPr>
        <w:t xml:space="preserve"> </w:t>
      </w:r>
      <w:r w:rsidRPr="00A364E2">
        <w:rPr>
          <w:rFonts w:ascii="Times New Roman" w:hAnsi="Times New Roman" w:cs="Times New Roman"/>
          <w:sz w:val="24"/>
          <w:szCs w:val="24"/>
        </w:rPr>
        <w:t xml:space="preserve">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w:t>
      </w:r>
      <w:r w:rsidRPr="00A364E2">
        <w:rPr>
          <w:rFonts w:ascii="Times New Roman" w:hAnsi="Times New Roman" w:cs="Times New Roman"/>
          <w:sz w:val="24"/>
          <w:szCs w:val="24"/>
        </w:rPr>
        <w:lastRenderedPageBreak/>
        <w:t>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proofErr w:type="spellEnd"/>
      <w:r w:rsidR="00E85DD4">
        <w:rPr>
          <w:rFonts w:ascii="Times New Roman" w:hAnsi="Times New Roman" w:cs="Times New Roman"/>
          <w:sz w:val="24"/>
          <w:szCs w:val="24"/>
        </w:rPr>
        <w:t xml:space="preserve"> </w:t>
      </w:r>
      <w:r w:rsidRPr="00EB6FE6">
        <w:rPr>
          <w:rFonts w:ascii="Times New Roman" w:hAnsi="Times New Roman" w:cs="Times New Roman"/>
          <w:i/>
          <w:iCs/>
          <w:sz w:val="24"/>
          <w:szCs w:val="24"/>
        </w:rPr>
        <w:t>et al.</w:t>
      </w:r>
      <w:r>
        <w:rPr>
          <w:rFonts w:ascii="Times New Roman" w:hAnsi="Times New Roman" w:cs="Times New Roman"/>
          <w:sz w:val="24"/>
          <w:szCs w:val="24"/>
        </w:rPr>
        <w:t xml:space="preserve">, 2023; Shittu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selection of study areas was based on the consideration of multiple factors, primarily f</w:t>
      </w:r>
      <w:r w:rsidR="00861CFE">
        <w:rPr>
          <w:rFonts w:ascii="Times New Roman" w:hAnsi="Times New Roman" w:cs="Times New Roman"/>
          <w:color w:val="000000" w:themeColor="text1"/>
          <w:sz w:val="24"/>
          <w:szCs w:val="24"/>
        </w:rPr>
        <w:t xml:space="preserve">ocusing on the significance of </w:t>
      </w:r>
      <w:r w:rsidRPr="00787EBF">
        <w:rPr>
          <w:rFonts w:ascii="Times New Roman" w:hAnsi="Times New Roman" w:cs="Times New Roman"/>
          <w:color w:val="000000" w:themeColor="text1"/>
          <w:sz w:val="24"/>
          <w:szCs w:val="24"/>
        </w:rPr>
        <w:t xml:space="preserve">two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w:t>
      </w:r>
      <w:r w:rsidRPr="00787EBF">
        <w:rPr>
          <w:rFonts w:ascii="Times New Roman" w:hAnsi="Times New Roman" w:cs="Times New Roman"/>
          <w:color w:val="000000" w:themeColor="text1"/>
          <w:sz w:val="24"/>
          <w:szCs w:val="24"/>
        </w:rPr>
        <w:lastRenderedPageBreak/>
        <w:t>in the light of climate resilience, thereby justifying their selection as primary areas of focus in the study.</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rsidR="00465AAE" w:rsidRPr="0056226C" w:rsidRDefault="00787EBF" w:rsidP="006822F8">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 xml:space="preserve">The survey was conducted during the period 2022-23 and 2023-24. </w:t>
      </w:r>
      <w:proofErr w:type="gramStart"/>
      <w:r w:rsidRPr="00787EBF">
        <w:rPr>
          <w:rFonts w:ascii="Times New Roman" w:hAnsi="Times New Roman" w:cs="Times New Roman"/>
          <w:color w:val="000000" w:themeColor="text1"/>
          <w:sz w:val="24"/>
          <w:szCs w:val="24"/>
        </w:rPr>
        <w:t>The best-worst scaling of climate change adaptation alternatives from 198 smallholder farmers of which 150 farmers provided valid responses.</w:t>
      </w:r>
      <w:proofErr w:type="gramEnd"/>
      <w:r w:rsidRPr="00787EBF">
        <w:rPr>
          <w:rFonts w:ascii="Times New Roman" w:hAnsi="Times New Roman" w:cs="Times New Roman"/>
          <w:color w:val="000000" w:themeColor="text1"/>
          <w:sz w:val="24"/>
          <w:szCs w:val="24"/>
        </w:rPr>
        <w:t xml:space="preserve"> Therefore, the effective sample size became 150.</w:t>
      </w:r>
    </w:p>
    <w:p w:rsidR="00CB37EF" w:rsidRPr="006822F8"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documentation and analysis of adaptation strategies observed during pilot survey revealed that the motivations behind farmers’ climate change-related decisions (CCRDs) lie beyond traditional concepts of rational decision-making aimed at utility maximisation as </w:t>
      </w:r>
      <w:proofErr w:type="spellStart"/>
      <w:r>
        <w:rPr>
          <w:rFonts w:ascii="Times New Roman" w:hAnsi="Times New Roman" w:cs="Times New Roman"/>
          <w:sz w:val="24"/>
          <w:szCs w:val="24"/>
        </w:rPr>
        <w:t>empahasised</w:t>
      </w:r>
      <w:proofErr w:type="spellEnd"/>
      <w:r>
        <w:rPr>
          <w:rFonts w:ascii="Times New Roman" w:hAnsi="Times New Roman" w:cs="Times New Roman"/>
          <w:sz w:val="24"/>
          <w:szCs w:val="24"/>
        </w:rPr>
        <w:t xml:space="preserve"> by </w:t>
      </w:r>
      <w:proofErr w:type="spellStart"/>
      <w:r w:rsidRPr="00085EE0">
        <w:rPr>
          <w:rFonts w:ascii="Times New Roman" w:hAnsi="Times New Roman" w:cs="Times New Roman"/>
          <w:sz w:val="24"/>
          <w:szCs w:val="24"/>
        </w:rPr>
        <w:t>Habtemariam</w:t>
      </w:r>
      <w:proofErr w:type="spellEnd"/>
      <w:r w:rsidRPr="00085EE0">
        <w:rPr>
          <w:rFonts w:ascii="Times New Roman" w:hAnsi="Times New Roman" w:cs="Times New Roman"/>
          <w:sz w:val="24"/>
          <w:szCs w:val="24"/>
        </w:rPr>
        <w:t xml:space="preserve"> </w:t>
      </w:r>
      <w:r w:rsidRPr="00861CFE">
        <w:rPr>
          <w:rFonts w:ascii="Times New Roman" w:hAnsi="Times New Roman" w:cs="Times New Roman"/>
          <w:i/>
          <w:sz w:val="24"/>
          <w:szCs w:val="24"/>
        </w:rPr>
        <w:t>et al</w:t>
      </w:r>
      <w:r w:rsidRPr="00085EE0">
        <w:rPr>
          <w:rFonts w:ascii="Times New Roman" w:hAnsi="Times New Roman" w:cs="Times New Roman"/>
          <w:sz w:val="24"/>
          <w:szCs w:val="24"/>
        </w:rPr>
        <w:t>. (20</w:t>
      </w:r>
      <w:r w:rsidR="005D11A7">
        <w:rPr>
          <w:rFonts w:ascii="Times New Roman" w:hAnsi="Times New Roman" w:cs="Times New Roman"/>
          <w:sz w:val="24"/>
          <w:szCs w:val="24"/>
        </w:rPr>
        <w:t>19</w:t>
      </w:r>
      <w:r w:rsidRPr="00085EE0">
        <w:rPr>
          <w:rFonts w:ascii="Times New Roman" w:hAnsi="Times New Roman" w:cs="Times New Roman"/>
          <w:sz w:val="24"/>
          <w:szCs w:val="24"/>
        </w:rPr>
        <w:t>).</w:t>
      </w:r>
      <w:r>
        <w:rPr>
          <w:rFonts w:ascii="Times New Roman" w:hAnsi="Times New Roman" w:cs="Times New Roman"/>
          <w:sz w:val="24"/>
          <w:szCs w:val="24"/>
        </w:rPr>
        <w:t>So,</w:t>
      </w:r>
      <w:r w:rsidR="00861CFE">
        <w:rPr>
          <w:rFonts w:ascii="Times New Roman" w:hAnsi="Times New Roman" w:cs="Times New Roman"/>
          <w:sz w:val="24"/>
          <w:szCs w:val="24"/>
        </w:rPr>
        <w:t xml:space="preserve"> </w:t>
      </w:r>
      <w:r>
        <w:rPr>
          <w:rFonts w:ascii="Times New Roman" w:hAnsi="Times New Roman" w:cs="Times New Roman"/>
          <w:sz w:val="24"/>
          <w:szCs w:val="24"/>
        </w:rPr>
        <w:t>the</w:t>
      </w:r>
      <w:r w:rsidR="00861CFE">
        <w:rPr>
          <w:rFonts w:ascii="Times New Roman" w:hAnsi="Times New Roman" w:cs="Times New Roman"/>
          <w:sz w:val="24"/>
          <w:szCs w:val="24"/>
        </w:rPr>
        <w:t xml:space="preserve"> </w:t>
      </w:r>
      <w:r w:rsidRPr="006822F8">
        <w:rPr>
          <w:rFonts w:ascii="Times New Roman" w:hAnsi="Times New Roman" w:cs="Times New Roman"/>
          <w:sz w:val="24"/>
          <w:szCs w:val="24"/>
        </w:rPr>
        <w:t xml:space="preserve">theoretical framework guiding this study </w:t>
      </w:r>
      <w:r>
        <w:rPr>
          <w:rFonts w:ascii="Times New Roman" w:hAnsi="Times New Roman" w:cs="Times New Roman"/>
          <w:sz w:val="24"/>
          <w:szCs w:val="24"/>
        </w:rPr>
        <w:t xml:space="preserve">is built upon Herbert </w:t>
      </w:r>
      <w:r w:rsidRPr="006822F8">
        <w:rPr>
          <w:rFonts w:ascii="Times New Roman" w:hAnsi="Times New Roman" w:cs="Times New Roman"/>
          <w:sz w:val="24"/>
          <w:szCs w:val="24"/>
        </w:rPr>
        <w:t>Simon's concept of bounded rationality (1955).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decision.The</w:t>
      </w:r>
      <w:r>
        <w:rPr>
          <w:rFonts w:ascii="Times New Roman" w:hAnsi="Times New Roman" w:cs="Times New Roman"/>
          <w:sz w:val="24"/>
          <w:szCs w:val="24"/>
        </w:rPr>
        <w:t xml:space="preserve"> decision making is constrained by  </w:t>
      </w:r>
      <w:r w:rsidRPr="006822F8">
        <w:rPr>
          <w:rFonts w:ascii="Times New Roman" w:hAnsi="Times New Roman" w:cs="Times New Roman"/>
          <w:sz w:val="24"/>
          <w:szCs w:val="24"/>
        </w:rPr>
        <w:t xml:space="preserve"> emotional influences, social dynamics, incomplete information processing, heuristics, and cognitive biases, as elucidated by </w:t>
      </w:r>
      <w:r w:rsidR="00861CFE">
        <w:rPr>
          <w:rFonts w:ascii="Times New Roman" w:hAnsi="Times New Roman" w:cs="Times New Roman"/>
          <w:sz w:val="24"/>
          <w:szCs w:val="24"/>
        </w:rPr>
        <w:t xml:space="preserve">seminal works such as those of </w:t>
      </w:r>
      <w:proofErr w:type="spellStart"/>
      <w:r w:rsidRPr="006822F8">
        <w:rPr>
          <w:rFonts w:ascii="Times New Roman" w:hAnsi="Times New Roman" w:cs="Times New Roman"/>
          <w:sz w:val="24"/>
          <w:szCs w:val="24"/>
        </w:rPr>
        <w:t>Tversky</w:t>
      </w:r>
      <w:proofErr w:type="spellEnd"/>
      <w:r w:rsidRPr="006822F8">
        <w:rPr>
          <w:rFonts w:ascii="Times New Roman" w:hAnsi="Times New Roman" w:cs="Times New Roman"/>
          <w:sz w:val="24"/>
          <w:szCs w:val="24"/>
        </w:rPr>
        <w:t xml:space="preserve"> and </w:t>
      </w:r>
      <w:proofErr w:type="spellStart"/>
      <w:r w:rsidRPr="006822F8">
        <w:rPr>
          <w:rFonts w:ascii="Times New Roman" w:hAnsi="Times New Roman" w:cs="Times New Roman"/>
          <w:sz w:val="24"/>
          <w:szCs w:val="24"/>
        </w:rPr>
        <w:t>Kahneman</w:t>
      </w:r>
      <w:proofErr w:type="spellEnd"/>
      <w:r w:rsidRPr="006822F8">
        <w:rPr>
          <w:rFonts w:ascii="Times New Roman" w:hAnsi="Times New Roman" w:cs="Times New Roman"/>
          <w:sz w:val="24"/>
          <w:szCs w:val="24"/>
        </w:rPr>
        <w:t xml:space="preserve"> (1974).</w:t>
      </w:r>
    </w:p>
    <w:p w:rsidR="00CB37EF" w:rsidRPr="004376C1" w:rsidRDefault="00CB37EF" w:rsidP="00CB37EF">
      <w:pPr>
        <w:spacing w:line="276" w:lineRule="auto"/>
        <w:jc w:val="both"/>
        <w:rPr>
          <w:rFonts w:ascii="Times New Roman" w:hAnsi="Times New Roman" w:cs="Times New Roman"/>
          <w:color w:val="2F5496" w:themeColor="accent1" w:themeShade="BF"/>
          <w:sz w:val="24"/>
          <w:szCs w:val="24"/>
        </w:rPr>
      </w:pPr>
      <w:r w:rsidRPr="00330B18">
        <w:rPr>
          <w:rFonts w:ascii="Times New Roman" w:hAnsi="Times New Roman" w:cs="Times New Roman"/>
          <w:sz w:val="24"/>
          <w:szCs w:val="24"/>
        </w:rPr>
        <w:t>The farmers in the study area, having directly experienced climate risks to varying degrees, are expected to be significantly influenced by these differences in risk exposure when making decisions.</w:t>
      </w:r>
      <w:r w:rsidRPr="008A295C">
        <w:rPr>
          <w:rFonts w:ascii="Times New Roman" w:hAnsi="Times New Roman" w:cs="Times New Roman"/>
          <w:sz w:val="24"/>
          <w:szCs w:val="24"/>
        </w:rPr>
        <w:t xml:space="preserve">The Protection Motivation Theory (Rogers, 1983) and the work of Grothmann and Patt (2005) suggest that perceiving risk is a key aspect of how individuals make decisions to adapt. According to this perspective, individuals begin considering taking action in response to climate change threats to their livelihoods once they perceive the risks involved.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{"citationID":"3S4BPd94","properties":{"formattedCitation":"(Habtemariam et al., 2020)","plainCitation":"(Habtemariam et al., 2020)","noteIndex":0},"citationItems":[{"id":213,"uris":["http://zotero.org/users/11737140/items/FELL3AK3"],"itemData":{"id":213,"type":"article-journal","abstract":"Farm level adaptation can offset some of the negative impacts of climate change on agriculture. Thus, it is vital to understand the process of farmers’ adaptation decisions when informing policy interventions. It is hypothesized that farmers’ decisions to take actions against climate change are related to risk experience as well as a range of socio-economic variables. Although evidence indicates that socio-economic variables are relevant, the empirical evidence on the role of risk experience on adaptation decisions is limited. The present study assesses whether perceived risk experience in terms of agricultural production shocks and yield reduction influence farmers’ decisions to adapt. Data collected from smallholder farmers in Ethiopia is used for this purpose. The study applies a multivariate endogenous probit model and controls for potential endogeneity of perceived risk experiences to adaptation decision. The results indicate that farmers who perceive having experienced production shocks are more likely to decide to adapt. However, experiencing simply yield reduction is not associated with adaptation decision. Other socio-economic, institutional, and agro-ecological variables are also found to be associated with adaptation decisions. It is concluded that the role of risk experience on farmers’ decision to adapt is a function of the severity of the experienced risk.","container-title":"Climate and Development","DOI":"10.1080/17565529.2019.1630351","ISSN":"1756-5529","issue":"4","note":"publisher: Taylor &amp; Francis\n_eprint: https://doi.org/10.1080/17565529.2019.1630351","page":"385–393","source":"Taylor and Francis+NEJM","title":"Risk experience and smallholder farmers’ climate change adaptation decision","volume":"12","author":[{"family":"Habtemariam","given":"Lemlem Teklegiorgis"},{"family":"Gandorfer","given":"Markus"},{"family":"Kassa","given":"Getachew Abate"},{"family":"Sieber","given":"Stefan"}],"issued":{"date-parts":[["2020",4,20]]}}}],"schema":"https://github.com/citation-style-language/schema/raw/master/csl-citation.json"}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8A295C">
        <w:rPr>
          <w:rFonts w:ascii="Times New Roman" w:hAnsi="Times New Roman" w:cs="Times New Roman"/>
          <w:sz w:val="24"/>
          <w:szCs w:val="24"/>
        </w:rPr>
        <w:t>., 20</w:t>
      </w:r>
      <w:r w:rsidR="005D11A7">
        <w:rPr>
          <w:rFonts w:ascii="Times New Roman" w:hAnsi="Times New Roman" w:cs="Times New Roman"/>
          <w:sz w:val="24"/>
          <w:szCs w:val="24"/>
        </w:rPr>
        <w:t>19</w:t>
      </w:r>
      <w:r w:rsidR="00861CFE">
        <w:rPr>
          <w:rFonts w:ascii="Times New Roman" w:hAnsi="Times New Roman" w:cs="Times New Roman"/>
          <w:sz w:val="24"/>
          <w:szCs w:val="24"/>
        </w:rPr>
        <w:t xml:space="preserve">; </w:t>
      </w:r>
      <w:r w:rsidR="00211152" w:rsidRPr="008A295C">
        <w:rPr>
          <w:rFonts w:ascii="Times New Roman" w:hAnsi="Times New Roman" w:cs="Times New Roman"/>
          <w:sz w:val="24"/>
          <w:szCs w:val="24"/>
        </w:rPr>
        <w:fldChar w:fldCharType="end"/>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{"citationID":"RGBh7n48","properties":{"formattedCitation":"(Delfiyan et al., 2021)","plainCitation":"(Delfiyan et al., 2021)","noteIndex":0},"citationItems":[{"id":272,"uris":["http://zotero.org/users/11737140/items/LYL5T7W4"],"itemData":{"id":272,"type":"article-journal","abstract":"Empirical evidence has revealed that farmers can manage the negative impact of drought effectively by changing and adapting their current farming practices. Adaptation is thus a focal point in reducing farmers' vulnerability. Knowledge of what farmers do in response to drought events can broaden adaptation options and improve resilience within the sector. To design effective public drought adaptation strategies, it is crucial to understand farmers' adaptive decision-making at the farm level. The aim of this study was thus to investigate farmers' ongoing adaptation measures and to identify factors influencing their choice of methods. To identify the factors influencing farmers' decisions, we used Protection Motivation. The study was designed as a cross-sectional survey. The population of interest consisted of farmers in Dehloran, in the Ilam Province of southwestern Iran. The study sample consisted of 320 farmers selected through a multistage random sampling procedure. The structural equation modelling result revealed that the response efficacy, perceived vulnerability and response cost respectively had a significant effect on the adaptive response. From the practical point of view, the present study provides a justification for using constructs of the Protection Motivation Theory in policy and decision-making aimed at encouraging farmers to reduce drought risks.","container-title":"Climate and Development","DOI":"10.1080/17565529.2020.1737797","ISSN":"1756-5529","issue":"2","note":"publisher: Taylor &amp; Francis\n_eprint: https://doi.org/10.1080/17565529.2020.1737797","page":"152–163","source":"Taylor and Francis+NEJM","title":"Farmers' adaptation to drought risk through farm–level decisions: the case of farmers in Dehloran county, Southwest of Iran","title-short":"Farmers' adaptation to drought risk through farm–level decisions","volume":"13","author":[{"family":"Delfiyan","given":"Farah"},{"family":"Yazdanpanah","given":"Masoud"},{"family":"Forouzani","given":"Masoumeh"},{"family":"Yaghoubi","given":"Jafar"}],"issued":{"date-parts":[["2021",2,7]]}}}],"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Delfiyan </w:t>
      </w:r>
      <w:r w:rsidRPr="00861CFE">
        <w:rPr>
          <w:rFonts w:ascii="Times New Roman" w:hAnsi="Times New Roman" w:cs="Times New Roman"/>
          <w:i/>
          <w:sz w:val="24"/>
          <w:szCs w:val="24"/>
        </w:rPr>
        <w:t>et al</w:t>
      </w:r>
      <w:r w:rsidRPr="008A295C">
        <w:rPr>
          <w:rFonts w:ascii="Times New Roman" w:hAnsi="Times New Roman" w:cs="Times New Roman"/>
          <w:sz w:val="24"/>
          <w:szCs w:val="24"/>
        </w:rPr>
        <w:t>., 202</w:t>
      </w:r>
      <w:r w:rsidR="005D11A7">
        <w:rPr>
          <w:rFonts w:ascii="Times New Roman" w:hAnsi="Times New Roman" w:cs="Times New Roman"/>
          <w:sz w:val="24"/>
          <w:szCs w:val="24"/>
        </w:rPr>
        <w:t>0</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end"/>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Pr="006822F8">
        <w:rPr>
          <w:rFonts w:ascii="Times New Roman" w:hAnsi="Times New Roman" w:cs="Times New Roman"/>
          <w:sz w:val="24"/>
          <w:szCs w:val="24"/>
        </w:rPr>
        <w:t xml:space="preserve">observed </w:t>
      </w:r>
      <w:r>
        <w:rPr>
          <w:rFonts w:ascii="Times New Roman" w:hAnsi="Times New Roman" w:cs="Times New Roman"/>
          <w:sz w:val="24"/>
          <w:szCs w:val="24"/>
        </w:rPr>
        <w:t xml:space="preserve">that a few </w:t>
      </w:r>
      <w:r w:rsidRPr="006822F8">
        <w:rPr>
          <w:rFonts w:ascii="Times New Roman" w:hAnsi="Times New Roman" w:cs="Times New Roman"/>
          <w:sz w:val="24"/>
          <w:szCs w:val="24"/>
        </w:rPr>
        <w:t xml:space="preserve">adaptation </w:t>
      </w:r>
      <w:r>
        <w:rPr>
          <w:rFonts w:ascii="Times New Roman" w:hAnsi="Times New Roman" w:cs="Times New Roman"/>
          <w:sz w:val="24"/>
          <w:szCs w:val="24"/>
        </w:rPr>
        <w:t xml:space="preserve">decisions </w:t>
      </w:r>
      <w:r w:rsidRPr="006822F8">
        <w:rPr>
          <w:rFonts w:ascii="Times New Roman" w:hAnsi="Times New Roman" w:cs="Times New Roman"/>
          <w:sz w:val="24"/>
          <w:szCs w:val="24"/>
        </w:rPr>
        <w:t xml:space="preserve">including grafting with resistant rootstocks and leveraging traditional knowledge </w:t>
      </w:r>
      <w:r>
        <w:rPr>
          <w:rFonts w:ascii="Times New Roman" w:hAnsi="Times New Roman" w:cs="Times New Roman"/>
          <w:sz w:val="24"/>
          <w:szCs w:val="24"/>
        </w:rPr>
        <w:t>of</w:t>
      </w:r>
      <w:r w:rsidRPr="006822F8">
        <w:rPr>
          <w:rFonts w:ascii="Times New Roman" w:hAnsi="Times New Roman" w:cs="Times New Roman"/>
          <w:sz w:val="24"/>
          <w:szCs w:val="24"/>
        </w:rPr>
        <w:t xml:space="preserve"> landraces for commercial nursery businesses </w:t>
      </w:r>
      <w:r w:rsidRPr="006822F8">
        <w:rPr>
          <w:rFonts w:ascii="Times New Roman" w:hAnsi="Times New Roman" w:cs="Times New Roman"/>
          <w:sz w:val="24"/>
          <w:szCs w:val="24"/>
        </w:rPr>
        <w:lastRenderedPageBreak/>
        <w:t>resonate with the theor</w:t>
      </w:r>
      <w:r>
        <w:rPr>
          <w:rFonts w:ascii="Times New Roman" w:hAnsi="Times New Roman" w:cs="Times New Roman"/>
          <w:sz w:val="24"/>
          <w:szCs w:val="24"/>
        </w:rPr>
        <w:t>ies</w:t>
      </w:r>
      <w:r w:rsidR="00861CFE">
        <w:rPr>
          <w:rFonts w:ascii="Times New Roman" w:hAnsi="Times New Roman" w:cs="Times New Roman"/>
          <w:sz w:val="24"/>
          <w:szCs w:val="24"/>
        </w:rPr>
        <w:t xml:space="preserve"> </w:t>
      </w:r>
      <w:r>
        <w:rPr>
          <w:rFonts w:ascii="Times New Roman" w:hAnsi="Times New Roman" w:cs="Times New Roman"/>
          <w:sz w:val="24"/>
          <w:szCs w:val="24"/>
        </w:rPr>
        <w:t>put forward</w:t>
      </w:r>
      <w:r w:rsidRPr="006822F8">
        <w:rPr>
          <w:rFonts w:ascii="Times New Roman" w:hAnsi="Times New Roman" w:cs="Times New Roman"/>
          <w:sz w:val="24"/>
          <w:szCs w:val="24"/>
        </w:rPr>
        <w:t xml:space="preserve"> by </w:t>
      </w:r>
      <w:r>
        <w:rPr>
          <w:rFonts w:ascii="Times New Roman" w:hAnsi="Times New Roman" w:cs="Times New Roman"/>
          <w:sz w:val="24"/>
          <w:szCs w:val="24"/>
        </w:rPr>
        <w:t xml:space="preserve">Nelson and Winter in 1982 </w:t>
      </w:r>
      <w:r w:rsidRPr="006822F8">
        <w:rPr>
          <w:rFonts w:ascii="Times New Roman" w:hAnsi="Times New Roman" w:cs="Times New Roman"/>
          <w:sz w:val="24"/>
          <w:szCs w:val="24"/>
        </w:rPr>
        <w:t>regarding organizational routines and tacit knowledge.</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{"citationID":"WcwOqo0O","properties":{"formattedCitation":"(Becker, 2004)","plainCitation":"(Becker, 2004)","noteIndex":0},"citationItems":[{"id":281,"uris":["http://zotero.org/users/11737140/items/3V7TQ8XM"],"itemData":{"id":281,"type":"article-journal","container-title":"Industrial and Corporate Change","DOI":"10.1093/icc/dth026","ISSN":"1464-3650","issue":"4","journalAbbreviation":"Industrial and Corporate Change","language":"en","page":"643-678","source":"DOI.org (Crossref)","title":"Organizational routines: a review of the literature","title-short":"Organizational routines","volume":"13","author":[{"family":"Becker","given":"M. C."}],"issued":{"date-parts":[["2004",8,1]]}}}],"schema":"https://github.com/citation-style-language/schema/raw/master/csl-citation.json"} </w:instrText>
      </w:r>
      <w:r w:rsidR="00211152">
        <w:rPr>
          <w:rFonts w:ascii="Times New Roman" w:hAnsi="Times New Roman" w:cs="Times New Roman"/>
          <w:sz w:val="24"/>
          <w:szCs w:val="24"/>
        </w:rPr>
        <w:fldChar w:fldCharType="separate"/>
      </w:r>
      <w:proofErr w:type="gramStart"/>
      <w:r w:rsidRPr="000713E3">
        <w:rPr>
          <w:rFonts w:ascii="Times New Roman" w:hAnsi="Times New Roman" w:cs="Times New Roman"/>
          <w:sz w:val="24"/>
        </w:rPr>
        <w:t>(Becker, 2004)</w:t>
      </w:r>
      <w:r w:rsidR="00211152">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The adaptation pathways emerging out of such organisational routines are poised to give future policy recommendations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{"citationID":"7zaa8gJV","properties":{"formattedCitation":"(Newsham et al., 2023)","plainCitation":"(Newsham et al., 2023)","noteIndex":0},"citationItems":[{"id":288,"uris":["http://zotero.org/users/11737140/items/NCX8DH95"],"itemData":{"id":288,"type":"article-journal","abstract":"Smallholder agricultural commercialization is a central objective across Africa, one linked to poverty reduction, sectoral transformation and increasingly, climate resilience and adaptation. There is much attention given to the extent to which agricultural commercialization serves to reduce poverty, but less to the commercialization pathways that lead towards or away from that outcome. There are, likewise, many studies that project hugely adverse future impacts of climate change on commercial agricultural production, but surprisingly little empirical work on how climate impacts are affecting current agricultural commercialization prospects and pathways for smallholder farmers. This paper, therefore, offers an analysis of levels of climate vulnerability and resilience within existing commercialization pathways in Tanzania and Zimbabwe. It embeds the account within an analysis of the underlying causes of uneven distributions of vulnerability and resilience. We find that while being able to practise commercially viable agriculture can contribute to resilience, it does not do so for the people who most need commercialization to reduce poverty. It is more common for farmers to face what we term an adaptation trap. We conclude by considering what these cases add to our understanding of climate-smart agriculture (CSA).","container-title":"Climate and Development","DOI":"10.1080/17565529.2023.2229775","ISSN":"1756-5529","issue":"0","note":"publisher: Taylor &amp; Francis\n_eprint: https://doi.org/10.1080/17565529.2023.2229775","page":"1–15","source":"Taylor and Francis+NEJM","title":"Precarious prospects? Exploring climate resilience of agricultural commercialization pathways in Tanzania and Zimbabwe","title-short":"Precarious prospects?","volume":"0","author":[{"family":"Newsham","given":"Andrew"},{"family":"Naess","given":"Lars Otto"},{"family":"Mutabazi","given":"Khamaldin"},{"family":"Shonhe","given":"Toendepi"},{"family":"Boniface","given":"Gideon"},{"family":"Bvute","given":"Tsitsidzashe"}],"issued":{"date-parts":[["2023"]]}}}],"schema":"https://github.com/citation-style-language/schema/raw/master/csl-citation.json"} </w:instrText>
      </w:r>
      <w:r w:rsidR="00211152">
        <w:rPr>
          <w:rFonts w:ascii="Times New Roman" w:hAnsi="Times New Roman" w:cs="Times New Roman"/>
          <w:sz w:val="24"/>
          <w:szCs w:val="24"/>
        </w:rPr>
        <w:fldChar w:fldCharType="separate"/>
      </w:r>
      <w:r w:rsidRPr="00702BA4">
        <w:rPr>
          <w:rFonts w:ascii="Times New Roman" w:hAnsi="Times New Roman" w:cs="Times New Roman"/>
          <w:sz w:val="24"/>
        </w:rPr>
        <w:t xml:space="preserve">(Newsham </w:t>
      </w:r>
      <w:r w:rsidRPr="00861CFE">
        <w:rPr>
          <w:rFonts w:ascii="Times New Roman" w:hAnsi="Times New Roman" w:cs="Times New Roman"/>
          <w:i/>
          <w:sz w:val="24"/>
        </w:rPr>
        <w:t>et al</w:t>
      </w:r>
      <w:r w:rsidRPr="00702BA4">
        <w:rPr>
          <w:rFonts w:ascii="Times New Roman" w:hAnsi="Times New Roman" w:cs="Times New Roman"/>
          <w:sz w:val="24"/>
        </w:rPr>
        <w:t>., 2023)</w:t>
      </w:r>
      <w:r w:rsidR="00211152">
        <w:rPr>
          <w:rFonts w:ascii="Times New Roman" w:hAnsi="Times New Roman" w:cs="Times New Roman"/>
          <w:sz w:val="24"/>
          <w:szCs w:val="24"/>
        </w:rPr>
        <w:fldChar w:fldCharType="end"/>
      </w:r>
      <w:r>
        <w:rPr>
          <w:rFonts w:ascii="Times New Roman" w:hAnsi="Times New Roman" w:cs="Times New Roman"/>
          <w:sz w:val="24"/>
          <w:szCs w:val="24"/>
        </w:rPr>
        <w:t>.</w:t>
      </w:r>
    </w:p>
    <w:p w:rsidR="00CB37EF" w:rsidRPr="00085EE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w:t>
      </w:r>
      <w:r>
        <w:rPr>
          <w:rFonts w:ascii="Times New Roman" w:hAnsi="Times New Roman" w:cs="Times New Roman"/>
          <w:sz w:val="24"/>
          <w:szCs w:val="24"/>
        </w:rPr>
        <w:t xml:space="preserve">study </w:t>
      </w:r>
      <w:r w:rsidRPr="006822F8">
        <w:rPr>
          <w:rFonts w:ascii="Times New Roman" w:hAnsi="Times New Roman" w:cs="Times New Roman"/>
          <w:sz w:val="24"/>
          <w:szCs w:val="24"/>
        </w:rPr>
        <w:t xml:space="preserve">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w:t>
      </w:r>
      <w:r>
        <w:rPr>
          <w:rFonts w:ascii="Times New Roman" w:hAnsi="Times New Roman" w:cs="Times New Roman"/>
          <w:sz w:val="24"/>
          <w:szCs w:val="24"/>
        </w:rPr>
        <w:t xml:space="preserve">e </w:t>
      </w:r>
      <w:r w:rsidRPr="006822F8">
        <w:rPr>
          <w:rFonts w:ascii="Times New Roman" w:hAnsi="Times New Roman" w:cs="Times New Roman"/>
          <w:sz w:val="24"/>
          <w:szCs w:val="24"/>
        </w:rPr>
        <w:t>acknowledgment of decision-making inconsistency,</w:t>
      </w:r>
      <w:r>
        <w:rPr>
          <w:rFonts w:ascii="Times New Roman" w:hAnsi="Times New Roman" w:cs="Times New Roman"/>
          <w:sz w:val="24"/>
          <w:szCs w:val="24"/>
        </w:rPr>
        <w:t xml:space="preserve"> asserted by March (1978) and </w:t>
      </w:r>
      <w:r w:rsidRPr="006822F8">
        <w:rPr>
          <w:rFonts w:ascii="Times New Roman" w:hAnsi="Times New Roman" w:cs="Times New Roman"/>
          <w:sz w:val="24"/>
          <w:szCs w:val="24"/>
        </w:rPr>
        <w:t xml:space="preserve">  emphasized by Fiori (2011), motivates the utilization of</w:t>
      </w:r>
      <w:r w:rsidR="00652A40">
        <w:rPr>
          <w:rFonts w:ascii="Times New Roman" w:hAnsi="Times New Roman" w:cs="Times New Roman"/>
          <w:sz w:val="24"/>
          <w:szCs w:val="24"/>
        </w:rPr>
        <w:t xml:space="preserve"> </w:t>
      </w:r>
      <w:r w:rsidRPr="008A295C">
        <w:rPr>
          <w:rFonts w:ascii="Times New Roman" w:hAnsi="Times New Roman" w:cs="Times New Roman"/>
          <w:sz w:val="24"/>
          <w:szCs w:val="24"/>
        </w:rPr>
        <w:t xml:space="preserve">choice </w:t>
      </w:r>
      <w:r w:rsidR="0040502D" w:rsidRPr="008A295C">
        <w:rPr>
          <w:rFonts w:ascii="Times New Roman" w:hAnsi="Times New Roman" w:cs="Times New Roman"/>
          <w:sz w:val="24"/>
          <w:szCs w:val="24"/>
        </w:rPr>
        <w:t>modelling</w:t>
      </w:r>
      <w:r w:rsidRPr="008A295C">
        <w:rPr>
          <w:rFonts w:ascii="Times New Roman" w:hAnsi="Times New Roman" w:cs="Times New Roman"/>
          <w:sz w:val="24"/>
          <w:szCs w:val="24"/>
        </w:rPr>
        <w:t xml:space="preserve"> and Best-Worst Scaling in gathering responses.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{"citationID":"7vBn8PPv","properties":{"formattedCitation":"(Ola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(Ola &amp; Menapace, 2020)</w:t>
      </w:r>
      <w:r w:rsidR="00211152" w:rsidRPr="008A295C">
        <w:rPr>
          <w:rFonts w:ascii="Times New Roman" w:hAnsi="Times New Roman" w:cs="Times New Roman"/>
          <w:sz w:val="24"/>
          <w:szCs w:val="24"/>
        </w:rPr>
        <w:fldChar w:fldCharType="end"/>
      </w:r>
    </w:p>
    <w:p w:rsidR="00CB37EF" w:rsidRPr="00652A4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w:t>
      </w:r>
      <w:r>
        <w:rPr>
          <w:rFonts w:ascii="Times New Roman" w:hAnsi="Times New Roman" w:cs="Times New Roman"/>
          <w:sz w:val="24"/>
          <w:szCs w:val="24"/>
        </w:rPr>
        <w:t>Best Worst scaling (BWS) theory (</w:t>
      </w:r>
      <w:r w:rsidR="00E85DD4" w:rsidRPr="006822F8">
        <w:rPr>
          <w:rFonts w:ascii="Times New Roman" w:hAnsi="Times New Roman" w:cs="Times New Roman"/>
          <w:sz w:val="24"/>
          <w:szCs w:val="24"/>
          <w:shd w:val="clear" w:color="auto" w:fill="FFFFFF"/>
        </w:rPr>
        <w:t xml:space="preserve">Louviere </w:t>
      </w:r>
      <w:r w:rsidR="00E85DD4" w:rsidRPr="006822F8">
        <w:rPr>
          <w:rFonts w:ascii="Times New Roman" w:hAnsi="Times New Roman" w:cs="Times New Roman"/>
          <w:i/>
          <w:iCs/>
          <w:sz w:val="24"/>
          <w:szCs w:val="24"/>
          <w:shd w:val="clear" w:color="auto" w:fill="FFFFFF"/>
        </w:rPr>
        <w:t>et al</w:t>
      </w:r>
      <w:r w:rsidR="00E85DD4" w:rsidRPr="006822F8">
        <w:rPr>
          <w:rFonts w:ascii="Times New Roman" w:hAnsi="Times New Roman" w:cs="Times New Roman"/>
          <w:sz w:val="24"/>
          <w:szCs w:val="24"/>
          <w:shd w:val="clear" w:color="auto" w:fill="FFFFFF"/>
        </w:rPr>
        <w:t>., 2015</w:t>
      </w:r>
      <w:r>
        <w:rPr>
          <w:rFonts w:ascii="Times New Roman" w:hAnsi="Times New Roman" w:cs="Times New Roman"/>
          <w:sz w:val="24"/>
          <w:szCs w:val="24"/>
        </w:rPr>
        <w:t xml:space="preserve">) </w:t>
      </w:r>
      <w:r w:rsidRPr="006822F8">
        <w:rPr>
          <w:rFonts w:ascii="Times New Roman" w:hAnsi="Times New Roman" w:cs="Times New Roman"/>
          <w:sz w:val="24"/>
          <w:szCs w:val="24"/>
        </w:rPr>
        <w:t xml:space="preserve">that aligns with the structured information search process inherent in </w:t>
      </w:r>
      <w:r>
        <w:rPr>
          <w:rFonts w:ascii="Times New Roman" w:hAnsi="Times New Roman" w:cs="Times New Roman"/>
          <w:sz w:val="24"/>
          <w:szCs w:val="24"/>
        </w:rPr>
        <w:t xml:space="preserve">the </w:t>
      </w:r>
      <w:r w:rsidRPr="006822F8">
        <w:rPr>
          <w:rFonts w:ascii="Times New Roman" w:hAnsi="Times New Roman" w:cs="Times New Roman"/>
          <w:sz w:val="24"/>
          <w:szCs w:val="24"/>
        </w:rPr>
        <w:t xml:space="preserve">decision-making </w:t>
      </w:r>
      <w:r w:rsidR="00652A40" w:rsidRPr="006822F8">
        <w:rPr>
          <w:rFonts w:ascii="Times New Roman" w:hAnsi="Times New Roman" w:cs="Times New Roman"/>
          <w:sz w:val="24"/>
          <w:szCs w:val="24"/>
        </w:rPr>
        <w:t>environment</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By employing this approach, we aim</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 xml:space="preserve">to uncover the decision-making patterns followed by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w:t>
      </w:r>
      <w:r>
        <w:rPr>
          <w:rFonts w:ascii="Times New Roman" w:hAnsi="Times New Roman" w:cs="Times New Roman"/>
          <w:sz w:val="24"/>
          <w:szCs w:val="24"/>
        </w:rPr>
        <w:t>.</w:t>
      </w:r>
    </w:p>
    <w:p w:rsidR="00465AAE" w:rsidRPr="006822F8" w:rsidRDefault="00CB37EF"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specific factors that guide individuals in giving varied responses are captured by defining attributes and attribute levels for each adaptation practice. The study refrains from quantifying the costs associated </w:t>
      </w:r>
      <w:r>
        <w:rPr>
          <w:rFonts w:ascii="Times New Roman" w:hAnsi="Times New Roman" w:cs="Times New Roman"/>
          <w:sz w:val="24"/>
          <w:szCs w:val="24"/>
        </w:rPr>
        <w:t>with attribute levels</w:t>
      </w:r>
      <w:r w:rsidRPr="006822F8">
        <w:rPr>
          <w:rFonts w:ascii="Times New Roman" w:hAnsi="Times New Roman" w:cs="Times New Roman"/>
          <w:sz w:val="24"/>
          <w:szCs w:val="24"/>
        </w:rPr>
        <w:t xml:space="preserve"> assuming that these costs are implicitly reflected in the selection of relevant profiles by respondent farmers.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00343C6B">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were conducted to identify relevant attributes that influence farmers' choices in this context. These attributes represent key factors or characteristics that farmers consider when making decisions related to climate resilience.</w:t>
      </w:r>
      <w:r w:rsidR="00343C6B">
        <w:rPr>
          <w:rFonts w:ascii="Times New Roman" w:hAnsi="Times New Roman" w:cs="Times New Roman"/>
          <w:sz w:val="24"/>
          <w:szCs w:val="24"/>
          <w:shd w:val="clear" w:color="auto" w:fill="FFFFFF"/>
        </w:rPr>
        <w:t xml:space="preserve"> </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xml:space="preserve">, which represent different conditions or characteristics within that attribute given in Table 1. These </w:t>
      </w:r>
      <w:r w:rsidRPr="006822F8">
        <w:rPr>
          <w:rFonts w:ascii="Times New Roman" w:hAnsi="Times New Roman" w:cs="Times New Roman"/>
          <w:sz w:val="24"/>
          <w:szCs w:val="24"/>
          <w:shd w:val="clear" w:color="auto" w:fill="FFFFFF"/>
        </w:rPr>
        <w:lastRenderedPageBreak/>
        <w:t>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1"/>
        <w:gridCol w:w="4378"/>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43C6B">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r w:rsidRPr="006822F8">
              <w:rPr>
                <w:rFonts w:ascii="Times New Roman" w:eastAsia="Arial" w:hAnsi="Times New Roman" w:cs="Times New Roman"/>
                <w:sz w:val="24"/>
                <w:szCs w:val="24"/>
                <w:lang w:val="en-GB"/>
              </w:rPr>
              <w:t>as</w:t>
            </w:r>
            <w:proofErr w:type="spellEnd"/>
            <w:r w:rsidRPr="006822F8">
              <w:rPr>
                <w:rFonts w:ascii="Times New Roman" w:eastAsia="Arial" w:hAnsi="Times New Roman" w:cs="Times New Roman"/>
                <w:sz w:val="24"/>
                <w:szCs w:val="24"/>
                <w:lang w:val="en-GB"/>
              </w:rPr>
              <w:t xml:space="preserve"> rootstock on </w:t>
            </w:r>
            <w:r w:rsidR="00AD2007">
              <w:rPr>
                <w:rFonts w:ascii="Times New Roman" w:eastAsia="Arial" w:hAnsi="Times New Roman" w:cs="Times New Roman"/>
                <w:sz w:val="24"/>
                <w:szCs w:val="24"/>
                <w:lang w:val="en-GB"/>
              </w:rPr>
              <w:t>black pepper</w:t>
            </w:r>
            <w:r w:rsidR="00343C6B">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abiotic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Raising grafted plants with irrigation in the main field increases abiotic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00DB0BE0">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lastRenderedPageBreak/>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DB0BE0" w:rsidP="006822F8">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BWS </w:t>
      </w:r>
      <w:r w:rsidR="00947CD4" w:rsidRPr="006822F8">
        <w:rPr>
          <w:rFonts w:ascii="Times New Roman" w:hAnsi="Times New Roman" w:cs="Times New Roman"/>
          <w:sz w:val="24"/>
          <w:szCs w:val="24"/>
          <w:shd w:val="clear" w:color="auto" w:fill="FFFFFF"/>
        </w:rPr>
        <w:t xml:space="preserve">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r w:rsidR="00AD2007">
        <w:rPr>
          <w:rFonts w:ascii="Times New Roman" w:hAnsi="Times New Roman" w:cs="Times New Roman"/>
          <w:sz w:val="24"/>
          <w:szCs w:val="24"/>
          <w:shd w:val="clear" w:color="auto" w:fill="FFFFFF"/>
        </w:rPr>
        <w:t>pepper</w:t>
      </w:r>
      <w:r w:rsidR="00947CD4"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00ED3DF0">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12BED">
        <w:rPr>
          <w:rFonts w:ascii="Times New Roman" w:hAnsi="Times New Roman" w:cs="Times New Roman"/>
          <w:sz w:val="24"/>
          <w:szCs w:val="24"/>
          <w:shd w:val="clear" w:color="auto" w:fill="FFFFFF"/>
        </w:rPr>
        <w:t xml:space="preserve"> </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C12BED">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w:t>
      </w:r>
      <w:r w:rsidR="00C12BED">
        <w:rPr>
          <w:rFonts w:ascii="Times New Roman" w:hAnsi="Times New Roman" w:cs="Times New Roman"/>
          <w:sz w:val="24"/>
          <w:szCs w:val="24"/>
          <w:shd w:val="clear" w:color="auto" w:fill="FFFFFF"/>
        </w:rPr>
        <w:t xml:space="preserve">from resultant OA </w:t>
      </w:r>
      <w:r w:rsidR="00FB4B0C" w:rsidRPr="006822F8">
        <w:rPr>
          <w:rFonts w:ascii="Times New Roman" w:hAnsi="Times New Roman" w:cs="Times New Roman"/>
          <w:sz w:val="24"/>
          <w:szCs w:val="24"/>
          <w:shd w:val="clear" w:color="auto" w:fill="FFFFFF"/>
        </w:rPr>
        <w:t xml:space="preserve">are shown </w:t>
      </w:r>
      <w:r w:rsidR="00C12BED">
        <w:rPr>
          <w:rFonts w:ascii="Times New Roman" w:hAnsi="Times New Roman" w:cs="Times New Roman"/>
          <w:sz w:val="24"/>
          <w:szCs w:val="24"/>
          <w:shd w:val="clear" w:color="auto" w:fill="FFFFFF"/>
        </w:rPr>
        <w:t>in Table 2</w:t>
      </w:r>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AD5C5A">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lastRenderedPageBreak/>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3</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001462A5">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questionnaire design for this study was based on design method proposed by Louviere </w:t>
      </w:r>
      <w:r w:rsidRPr="00E245CD">
        <w:rPr>
          <w:rFonts w:ascii="Times New Roman" w:hAnsi="Times New Roman" w:cs="Times New Roman"/>
          <w:i/>
          <w:sz w:val="24"/>
          <w:szCs w:val="24"/>
        </w:rPr>
        <w:t>et al</w:t>
      </w:r>
      <w:r w:rsidRPr="006822F8">
        <w:rPr>
          <w:rFonts w:ascii="Times New Roman" w:hAnsi="Times New Roman" w:cs="Times New Roman"/>
          <w:sz w:val="24"/>
          <w:szCs w:val="24"/>
        </w:rPr>
        <w:t>.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E245CD">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 xml:space="preserve">package(Sailer,2022)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5,</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6,</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7,</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2,</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4,</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5,</w:t>
      </w:r>
      <w:r w:rsidR="00E245CD">
        <w:rPr>
          <w:rFonts w:ascii="Times New Roman" w:hAnsi="Times New Roman" w:cs="Times New Roman"/>
          <w:sz w:val="24"/>
          <w:szCs w:val="24"/>
        </w:rPr>
        <w:t xml:space="preserve"> 6</w:t>
      </w:r>
      <w:r w:rsidR="00C60690" w:rsidRPr="006822F8">
        <w:rPr>
          <w:rFonts w:ascii="Times New Roman" w:hAnsi="Times New Roman" w:cs="Times New Roman"/>
          <w:sz w:val="24"/>
          <w:szCs w:val="24"/>
        </w:rPr>
        <w:t xml:space="preserve"> and 9.</w:t>
      </w:r>
      <w:r w:rsidR="001D581B" w:rsidRPr="006822F8">
        <w:rPr>
          <w:rFonts w:ascii="Times New Roman" w:hAnsi="Times New Roman" w:cs="Times New Roman"/>
          <w:sz w:val="24"/>
          <w:szCs w:val="24"/>
        </w:rPr>
        <w:t xml:space="preserve"> A model choice set is given in Figure 2.</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lastRenderedPageBreak/>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4</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BC5599" w:rsidP="006822F8">
      <w:pPr>
        <w:keepNext/>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622550"/>
            <wp:effectExtent l="19050" t="0" r="2540" b="0"/>
            <wp:docPr id="4" name="Picture 3"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2B167E">
        <w:rPr>
          <w:rFonts w:ascii="Times New Roman" w:hAnsi="Times New Roman" w:cs="Times New Roman"/>
          <w:i w:val="0"/>
          <w:iCs w:val="0"/>
          <w:color w:val="auto"/>
          <w:sz w:val="24"/>
          <w:szCs w:val="24"/>
        </w:rPr>
        <w:t xml:space="preserve"> </w:t>
      </w:r>
      <w:proofErr w:type="gramStart"/>
      <w:r w:rsidRPr="006822F8">
        <w:rPr>
          <w:rFonts w:ascii="Times New Roman" w:hAnsi="Times New Roman" w:cs="Times New Roman"/>
          <w:i w:val="0"/>
          <w:iCs w:val="0"/>
          <w:color w:val="auto"/>
          <w:sz w:val="24"/>
          <w:szCs w:val="24"/>
        </w:rPr>
        <w:t>5</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proofErr w:type="gramEnd"/>
      <w:r w:rsidRPr="006822F8">
        <w:rPr>
          <w:rFonts w:ascii="Times New Roman" w:hAnsi="Times New Roman" w:cs="Times New Roman"/>
          <w:i w:val="0"/>
          <w:iCs w:val="0"/>
          <w:color w:val="auto"/>
          <w:sz w:val="24"/>
          <w:szCs w:val="24"/>
        </w:rPr>
        <w:t>,</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844E76">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002B167E">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844E76">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00844E76">
        <w:rPr>
          <w:rFonts w:ascii="Times New Roman" w:hAnsi="Times New Roman" w:cs="Times New Roman"/>
          <w:i/>
          <w:iCs/>
          <w:sz w:val="24"/>
          <w:szCs w:val="24"/>
        </w:rPr>
        <w:t xml:space="preserve"> </w:t>
      </w:r>
      <w:r w:rsidRPr="006822F8">
        <w:rPr>
          <w:rFonts w:ascii="Times New Roman" w:hAnsi="Times New Roman" w:cs="Times New Roman"/>
          <w:sz w:val="24"/>
          <w:szCs w:val="24"/>
        </w:rPr>
        <w:t>=</w:t>
      </w:r>
      <w:r w:rsidR="00844E76">
        <w:rPr>
          <w:rFonts w:ascii="Times New Roman" w:hAnsi="Times New Roman" w:cs="Times New Roman"/>
          <w:sz w:val="24"/>
          <w:szCs w:val="24"/>
        </w:rPr>
        <w:t xml:space="preserve"> </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844E76">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844E76">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w:t>
      </w:r>
      <w:r w:rsidR="00844E76">
        <w:rPr>
          <w:rFonts w:ascii="Times New Roman" w:hAnsi="Times New Roman" w:cs="Times New Roman"/>
          <w:sz w:val="24"/>
          <w:szCs w:val="24"/>
        </w:rPr>
        <w:t xml:space="preserve">&amp; Louviere 1992; Lee, </w:t>
      </w:r>
      <w:proofErr w:type="spellStart"/>
      <w:r w:rsidR="00844E76">
        <w:rPr>
          <w:rFonts w:ascii="Times New Roman" w:hAnsi="Times New Roman" w:cs="Times New Roman"/>
          <w:sz w:val="24"/>
          <w:szCs w:val="24"/>
        </w:rPr>
        <w:t>Soutar</w:t>
      </w:r>
      <w:proofErr w:type="spellEnd"/>
      <w:r w:rsidR="00844E76">
        <w:rPr>
          <w:rFonts w:ascii="Times New Roman" w:hAnsi="Times New Roman" w:cs="Times New Roman"/>
          <w:sz w:val="24"/>
          <w:szCs w:val="24"/>
        </w:rPr>
        <w:t xml:space="preserve"> &amp; </w:t>
      </w:r>
      <w:r w:rsidR="00363003" w:rsidRPr="006822F8">
        <w:rPr>
          <w:rFonts w:ascii="Times New Roman" w:hAnsi="Times New Roman" w:cs="Times New Roman"/>
          <w:sz w:val="24"/>
          <w:szCs w:val="24"/>
        </w:rPr>
        <w:t>Louviere 2007</w:t>
      </w:r>
      <w:r w:rsidR="00844E76">
        <w:rPr>
          <w:rFonts w:ascii="Times New Roman" w:hAnsi="Times New Roman" w:cs="Times New Roman"/>
          <w:sz w:val="24"/>
          <w:szCs w:val="24"/>
        </w:rPr>
        <w:t>a; Cohen 2009; Mueller, Francis &amp;</w:t>
      </w:r>
      <w:r w:rsidR="00363003" w:rsidRPr="006822F8">
        <w:rPr>
          <w:rFonts w:ascii="Times New Roman" w:hAnsi="Times New Roman" w:cs="Times New Roman"/>
          <w:sz w:val="24"/>
          <w:szCs w:val="24"/>
        </w:rPr>
        <w:t xml:space="preserve">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w:r w:rsidR="0042581C">
        <w:rPr>
          <w:rFonts w:ascii="Times New Roman" w:hAnsi="Times New Roman" w:cs="Times New Roman"/>
          <w:spacing w:val="3"/>
          <w:sz w:val="24"/>
          <w:szCs w:val="24"/>
          <w:shd w:val="clear" w:color="auto" w:fill="FFFFFF"/>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844E76">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 xml:space="preserve">appears across all </w:t>
      </w:r>
      <w:r w:rsidR="0095387B" w:rsidRPr="006822F8">
        <w:rPr>
          <w:rFonts w:ascii="Times New Roman" w:eastAsiaTheme="minorEastAsia" w:hAnsi="Times New Roman" w:cs="Times New Roman"/>
          <w:sz w:val="24"/>
          <w:szCs w:val="24"/>
        </w:rPr>
        <w:lastRenderedPageBreak/>
        <w:t>choice sets.</w:t>
      </w:r>
      <w:r w:rsidR="00844E76">
        <w:rPr>
          <w:rFonts w:ascii="Times New Roman" w:eastAsiaTheme="minorEastAsia" w:hAnsi="Times New Roman" w:cs="Times New Roman"/>
          <w:sz w:val="24"/>
          <w:szCs w:val="24"/>
        </w:rPr>
        <w:t xml:space="preserve"> </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w:r w:rsidR="00844E76">
        <w:rPr>
          <w:rFonts w:ascii="Times New Roman" w:eastAsiaTheme="minorEastAsia" w:hAnsi="Times New Roman" w:cs="Times New Roman"/>
          <w:sz w:val="24"/>
          <w:szCs w:val="24"/>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844E76">
        <w:rPr>
          <w:rFonts w:ascii="Times New Roman" w:eastAsiaTheme="minorEastAsia" w:hAnsi="Times New Roman" w:cs="Times New Roman"/>
          <w:spacing w:val="3"/>
          <w:sz w:val="24"/>
          <w:szCs w:val="24"/>
          <w:shd w:val="clear" w:color="auto" w:fill="FFFFFF"/>
        </w:rPr>
        <w:t xml:space="preserve"> </w:t>
      </w:r>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w:t>
      </w:r>
      <w:r w:rsidR="00844E76">
        <w:rPr>
          <w:rFonts w:ascii="Times New Roman" w:eastAsiaTheme="minorEastAsia" w:hAnsi="Times New Roman" w:cs="Times New Roman"/>
          <w:spacing w:val="3"/>
          <w:sz w:val="24"/>
          <w:szCs w:val="24"/>
          <w:shd w:val="clear" w:color="auto" w:fill="FFFFFF"/>
        </w:rPr>
        <w:t xml:space="preserve"> </w:t>
      </w:r>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 xml:space="preserve">standardized </w:t>
      </w:r>
      <w:proofErr w:type="spellStart"/>
      <w:r w:rsidR="000F2A44" w:rsidRPr="006822F8">
        <w:rPr>
          <w:rFonts w:ascii="Times New Roman" w:eastAsiaTheme="minorEastAsia" w:hAnsi="Times New Roman" w:cs="Times New Roman"/>
          <w:spacing w:val="3"/>
          <w:sz w:val="24"/>
          <w:szCs w:val="24"/>
          <w:shd w:val="clear" w:color="auto" w:fill="FFFFFF"/>
        </w:rPr>
        <w:t>score</w:t>
      </w:r>
      <w:r w:rsidR="006972B5" w:rsidRPr="006822F8">
        <w:rPr>
          <w:rFonts w:ascii="Times New Roman" w:eastAsiaTheme="minorEastAsia" w:hAnsi="Times New Roman" w:cs="Times New Roman"/>
          <w:sz w:val="24"/>
          <w:szCs w:val="24"/>
        </w:rPr>
        <w:t>is</w:t>
      </w:r>
      <w:proofErr w:type="spellEnd"/>
      <w:r w:rsidR="006972B5" w:rsidRPr="006822F8">
        <w:rPr>
          <w:rFonts w:ascii="Times New Roman" w:eastAsiaTheme="minorEastAsia" w:hAnsi="Times New Roman" w:cs="Times New Roman"/>
          <w:sz w:val="24"/>
          <w:szCs w:val="24"/>
        </w:rPr>
        <w:t xml:space="preserve">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211152"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1</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211152"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2</w:t>
      </w:r>
      <w:r w:rsidR="00211152"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3</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4</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7E4">
        <w:rPr>
          <w:rFonts w:ascii="Times New Roman" w:eastAsiaTheme="minorEastAsia" w:hAnsi="Times New Roman" w:cs="Times New Roman"/>
          <w:spacing w:val="3"/>
          <w:sz w:val="24"/>
          <w:szCs w:val="24"/>
          <w:shd w:val="clear" w:color="auto" w:fill="FFFFFF"/>
        </w:rPr>
        <w:t xml:space="preserve"> </w:t>
      </w:r>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proofErr w:type="spellEnd"/>
      <w:r w:rsidR="003637E4">
        <w:rPr>
          <w:rFonts w:ascii="Times New Roman" w:hAnsi="Times New Roman" w:cs="Times New Roman"/>
          <w:sz w:val="24"/>
          <w:szCs w:val="24"/>
        </w:rPr>
        <w:t xml:space="preserve"> </w:t>
      </w:r>
      <w:r w:rsidR="00387148" w:rsidRPr="006822F8">
        <w:rPr>
          <w:rFonts w:ascii="Times New Roman" w:hAnsi="Times New Roman" w:cs="Times New Roman"/>
          <w:i/>
          <w:iCs/>
          <w:sz w:val="24"/>
          <w:szCs w:val="24"/>
        </w:rPr>
        <w:t>et al</w:t>
      </w:r>
      <w:r w:rsidR="00387148" w:rsidRPr="006822F8">
        <w:rPr>
          <w:rFonts w:ascii="Times New Roman" w:hAnsi="Times New Roman" w:cs="Times New Roman"/>
          <w:sz w:val="24"/>
          <w:szCs w:val="24"/>
        </w:rPr>
        <w:t xml:space="preserve">. (2013) and Marley </w:t>
      </w:r>
      <w:r w:rsidR="003637E4">
        <w:rPr>
          <w:rFonts w:ascii="Times New Roman" w:hAnsi="Times New Roman" w:cs="Times New Roman"/>
          <w:sz w:val="24"/>
          <w:szCs w:val="24"/>
        </w:rPr>
        <w:t>&amp;</w:t>
      </w:r>
      <w:r w:rsidR="00387148" w:rsidRPr="006822F8">
        <w:rPr>
          <w:rFonts w:ascii="Times New Roman" w:hAnsi="Times New Roman" w:cs="Times New Roman"/>
          <w:sz w:val="24"/>
          <w:szCs w:val="24"/>
        </w:rPr>
        <w:t xml:space="preserve">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r w:rsidR="00387148" w:rsidRPr="006822F8">
        <w:rPr>
          <w:rFonts w:ascii="Times New Roman" w:hAnsi="Times New Roman" w:cs="Times New Roman"/>
          <w:i/>
          <w:iCs/>
          <w:sz w:val="24"/>
          <w:szCs w:val="24"/>
        </w:rPr>
        <w:t>i</w:t>
      </w:r>
      <w:proofErr w:type="spellEnd"/>
      <w:r w:rsidR="003637E4">
        <w:rPr>
          <w:rFonts w:ascii="Times New Roman" w:hAnsi="Times New Roman" w:cs="Times New Roman"/>
          <w:i/>
          <w:iCs/>
          <w:sz w:val="24"/>
          <w:szCs w:val="24"/>
        </w:rPr>
        <w:t xml:space="preserve"> </w:t>
      </w:r>
      <w:r w:rsidR="00387148" w:rsidRPr="006822F8">
        <w:rPr>
          <w:rFonts w:ascii="Times New Roman" w:hAnsi="Times New Roman" w:cs="Times New Roman"/>
          <w:sz w:val="24"/>
          <w:szCs w:val="24"/>
        </w:rPr>
        <w:lastRenderedPageBreak/>
        <w:t xml:space="preserve">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211152"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5</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92"/>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211152"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211152"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211152"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p>
          <w:p w:rsidR="000F2A44" w:rsidRPr="006822F8" w:rsidRDefault="00211152"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5</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w:t>
      </w:r>
      <w:r w:rsidRPr="006822F8">
        <w:rPr>
          <w:rFonts w:ascii="Times New Roman" w:hAnsi="Times New Roman" w:cs="Times New Roman"/>
          <w:spacing w:val="3"/>
          <w:sz w:val="24"/>
          <w:szCs w:val="24"/>
          <w:shd w:val="clear" w:color="auto" w:fill="FFFFFF"/>
        </w:rPr>
        <w:lastRenderedPageBreak/>
        <w:t>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3</w:t>
      </w:r>
      <w:r w:rsidR="00211152"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Scatterplot based on </w:t>
      </w:r>
      <w:r w:rsidR="009D3570" w:rsidRPr="006822F8">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proofErr w:type="gramStart"/>
      <w:r w:rsidR="0077050C">
        <w:rPr>
          <w:rFonts w:ascii="Times New Roman" w:hAnsi="Times New Roman" w:cs="Times New Roman"/>
          <w:i w:val="0"/>
          <w:noProof/>
          <w:color w:val="auto"/>
          <w:sz w:val="24"/>
          <w:szCs w:val="24"/>
        </w:rPr>
        <w:t>4</w:t>
      </w:r>
      <w:r w:rsidR="00211152" w:rsidRPr="006822F8">
        <w:rPr>
          <w:rFonts w:ascii="Times New Roman" w:hAnsi="Times New Roman" w:cs="Times New Roman"/>
          <w:i w:val="0"/>
          <w:color w:val="auto"/>
          <w:sz w:val="24"/>
          <w:szCs w:val="24"/>
        </w:rPr>
        <w:fldChar w:fldCharType="end"/>
      </w:r>
      <w:r w:rsidR="0042581C">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proofErr w:type="gramStart"/>
      <w:r w:rsidR="0077050C">
        <w:rPr>
          <w:rFonts w:ascii="Times New Roman" w:hAnsi="Times New Roman" w:cs="Times New Roman"/>
          <w:i w:val="0"/>
          <w:noProof/>
          <w:color w:val="auto"/>
          <w:sz w:val="24"/>
          <w:szCs w:val="24"/>
        </w:rPr>
        <w:t>5</w:t>
      </w:r>
      <w:r w:rsidR="00211152" w:rsidRPr="006822F8">
        <w:rPr>
          <w:rFonts w:ascii="Times New Roman" w:hAnsi="Times New Roman" w:cs="Times New Roman"/>
          <w:i w:val="0"/>
          <w:color w:val="auto"/>
          <w:sz w:val="24"/>
          <w:szCs w:val="24"/>
        </w:rPr>
        <w:fldChar w:fldCharType="end"/>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FF3309">
        <w:rPr>
          <w:rFonts w:ascii="Times New Roman" w:eastAsia="Arial" w:hAnsi="Times New Roman" w:cs="Times New Roman"/>
          <w:sz w:val="24"/>
          <w:szCs w:val="24"/>
          <w:lang w:val="en-GB"/>
        </w:rPr>
        <w:t xml:space="preserve">of the corresponding profile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D57FBB">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w:t>
      </w:r>
      <w:r w:rsidR="00E927DA" w:rsidRPr="006822F8">
        <w:rPr>
          <w:rFonts w:ascii="Times New Roman" w:hAnsi="Times New Roman" w:cs="Times New Roman"/>
          <w:sz w:val="24"/>
          <w:szCs w:val="24"/>
        </w:rPr>
        <w:lastRenderedPageBreak/>
        <w:t xml:space="preserve">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FF3309">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w:t>
      </w:r>
      <w:r w:rsidR="00E927DA" w:rsidRPr="00D57FBB">
        <w:rPr>
          <w:rFonts w:ascii="Times New Roman" w:hAnsi="Times New Roman" w:cs="Times New Roman"/>
          <w:sz w:val="24"/>
          <w:szCs w:val="24"/>
        </w:rPr>
        <w:t>1</w:t>
      </w:r>
      <w:r w:rsidR="00FF3309">
        <w:rPr>
          <w:rFonts w:ascii="Times New Roman" w:hAnsi="Times New Roman" w:cs="Times New Roman"/>
          <w:sz w:val="24"/>
          <w:szCs w:val="24"/>
        </w:rPr>
        <w:t xml:space="preserve"> </w:t>
      </w:r>
      <w:proofErr w:type="spellStart"/>
      <w:r w:rsidR="00FF3309">
        <w:rPr>
          <w:rFonts w:ascii="Times New Roman" w:hAnsi="Times New Roman" w:cs="Times New Roman"/>
          <w:sz w:val="24"/>
          <w:szCs w:val="24"/>
        </w:rPr>
        <w:t>varities</w:t>
      </w:r>
      <w:proofErr w:type="spellEnd"/>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211152"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00D57FBB">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211152"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w:t>
      </w:r>
      <w:r w:rsidR="00F501F8" w:rsidRPr="006822F8">
        <w:rPr>
          <w:rFonts w:ascii="Times New Roman" w:hAnsi="Times New Roman" w:cs="Times New Roman"/>
          <w:sz w:val="24"/>
          <w:szCs w:val="24"/>
        </w:rPr>
        <w:lastRenderedPageBreak/>
        <w:t xml:space="preserve">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p>
    <w:tbl>
      <w:tblPr>
        <w:tblW w:w="9731" w:type="dxa"/>
        <w:jc w:val="center"/>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87624E" w:rsidRPr="008A295C" w:rsidRDefault="0087624E" w:rsidP="0087624E">
      <w:pPr>
        <w:spacing w:line="276" w:lineRule="auto"/>
        <w:jc w:val="both"/>
        <w:rPr>
          <w:rFonts w:ascii="Times New Roman" w:hAnsi="Times New Roman" w:cs="Times New Roman"/>
          <w:sz w:val="24"/>
          <w:szCs w:val="24"/>
        </w:rPr>
      </w:pPr>
      <w:r w:rsidRPr="008A295C">
        <w:rPr>
          <w:rFonts w:ascii="Times New Roman" w:hAnsi="Times New Roman" w:cs="Times New Roman"/>
          <w:sz w:val="24"/>
          <w:szCs w:val="24"/>
        </w:rPr>
        <w:t>In contrast, attribute levels B</w:t>
      </w:r>
      <w:r w:rsidRPr="00D57FBB">
        <w:rPr>
          <w:rFonts w:ascii="Times New Roman" w:hAnsi="Times New Roman" w:cs="Times New Roman"/>
          <w:sz w:val="24"/>
          <w:szCs w:val="24"/>
          <w:vertAlign w:val="subscript"/>
        </w:rPr>
        <w:t>1</w:t>
      </w:r>
      <w:r w:rsidRPr="008A295C">
        <w:rPr>
          <w:rFonts w:ascii="Times New Roman" w:hAnsi="Times New Roman" w:cs="Times New Roman"/>
          <w:sz w:val="24"/>
          <w:szCs w:val="24"/>
        </w:rPr>
        <w:t xml:space="preserve"> and B</w:t>
      </w:r>
      <w:r w:rsidRPr="00D57FBB">
        <w:rPr>
          <w:rFonts w:ascii="Times New Roman" w:hAnsi="Times New Roman" w:cs="Times New Roman"/>
          <w:sz w:val="24"/>
          <w:szCs w:val="24"/>
          <w:vertAlign w:val="subscript"/>
        </w:rPr>
        <w:t>3</w:t>
      </w:r>
      <w:r w:rsidRPr="008A295C">
        <w:rPr>
          <w:rFonts w:ascii="Times New Roman" w:hAnsi="Times New Roman" w:cs="Times New Roman"/>
          <w:sz w:val="24"/>
          <w:szCs w:val="24"/>
        </w:rPr>
        <w:t xml:space="preserve"> demonstrate significant negative effects (</w:t>
      </w:r>
      <m:oMath>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0.654, </m:t>
        </m:r>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0.407)</m:t>
        </m:r>
      </m:oMath>
      <w:r w:rsidRPr="008A295C">
        <w:rPr>
          <w:rFonts w:ascii="Times New Roman" w:hAnsi="Times New Roman" w:cs="Times New Roman"/>
          <w:sz w:val="24"/>
          <w:szCs w:val="24"/>
        </w:rPr>
        <w:t xml:space="preserve"> on preference with odds ratio less than one when compared to reference level, indicating that respondents are less inclined to favour these levels compared to the reference level, which involves the production and sale of bush pepper plants grafted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(Anju </w:t>
      </w:r>
      <w:r w:rsidRPr="00D57FBB">
        <w:rPr>
          <w:rFonts w:ascii="Times New Roman" w:hAnsi="Times New Roman" w:cs="Times New Roman"/>
          <w:i/>
          <w:sz w:val="24"/>
          <w:szCs w:val="24"/>
        </w:rPr>
        <w:t>et al</w:t>
      </w:r>
      <w:r w:rsidRPr="008A295C">
        <w:rPr>
          <w:rFonts w:ascii="Times New Roman" w:hAnsi="Times New Roman" w:cs="Times New Roman"/>
          <w:sz w:val="24"/>
          <w:szCs w:val="24"/>
        </w:rPr>
        <w:t xml:space="preserve">., 2023). In response, farmers seeking to enhance resistance to this disease and impart better flood tolerance have turned to grafted plants on the rootstock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bush pepper production as a means to enhance their income. The diverse skill sets possessed by members of the farmer family </w:t>
      </w:r>
      <w:r w:rsidR="00D57FBB">
        <w:rPr>
          <w:rFonts w:ascii="Times New Roman" w:hAnsi="Times New Roman" w:cs="Times New Roman"/>
          <w:sz w:val="24"/>
          <w:szCs w:val="24"/>
        </w:rPr>
        <w:t>a</w:t>
      </w:r>
      <w:r w:rsidRPr="008A295C">
        <w:rPr>
          <w:rFonts w:ascii="Times New Roman" w:hAnsi="Times New Roman" w:cs="Times New Roman"/>
          <w:sz w:val="24"/>
          <w:szCs w:val="24"/>
        </w:rPr>
        <w:t xml:space="preserve">re organised into routines and drive decision-making </w:t>
      </w:r>
      <w:r w:rsidR="00D57FBB" w:rsidRPr="008A295C">
        <w:rPr>
          <w:rFonts w:ascii="Times New Roman" w:hAnsi="Times New Roman" w:cs="Times New Roman"/>
          <w:sz w:val="24"/>
          <w:szCs w:val="24"/>
        </w:rPr>
        <w:t>behaviour</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{"citationID":"4eCeLCQ1","properties":{"formattedCitation":"(Meisch et al., 2022)","plainCitation":"(Meisch et al., 2022)","noteIndex":0},"citationItems":[{"id":302,"uris":["http://zotero.org/users/11737140/items/GRY6JAH4"],"itemData":{"id":302,"type":"article-journal","abstract":"This paper explores the implications of assessing tacit knowledges of climatic change in extended peer communities, as applied in two European research projects on climate action. Post-normal science (PNS) proposes the extension of the peer community to co-produce better quality knowledge for decision-making on issues like climate change, where facts are uncertain, values in dispute, stakes high and decisions urgent. The paper has two aims. The first, more practical, is to explore methods for critically appraising tacit knowledges for climate action, using the example of two ongoing research projects. The second, more conceptual, is to improve practices and discourses surrounding tacit knowledge in current PNS praxis, with close consideration to the implications and challenges involved in including these forms of knowledge in decision making processes. By exploring theoretical perspectives on the topic of tacit knowledge, four challenges facing extended peer communities in engaging with tacit forms of knowledge have been identified: communication, representation, appropriation, and assessment.","container-title":"Futures","DOI":"10.1016/j.futures.2021.102868","ISSN":"0016-3287","journalAbbreviation":"Futures","page":"102868","source":"ScienceDirect","title":"Extended Peer Communities: Appraising the contributions of tacit knowledges in climate change decision-making","title-short":"Extended Peer Communities","volume":"135","author":[{"family":"Meisch","given":"Simon P."},{"family":"Bremer","given":"Scott"},{"family":"Young","given":"Mark Thomas"},{"family":"Funtowicz","given":"Silvio O."}],"issued":{"date-parts":[["2022",1,1]]}}}],"schema":"https://github.com/citation-style-language/schema/raw/master/csl-citation.json"}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(Meisch </w:t>
      </w:r>
      <w:r w:rsidRPr="00D57FBB">
        <w:rPr>
          <w:rFonts w:ascii="Times New Roman" w:hAnsi="Times New Roman" w:cs="Times New Roman"/>
          <w:i/>
          <w:sz w:val="24"/>
          <w:szCs w:val="24"/>
        </w:rPr>
        <w:t>et al</w:t>
      </w:r>
      <w:r w:rsidRPr="008A295C">
        <w:rPr>
          <w:rFonts w:ascii="Times New Roman" w:hAnsi="Times New Roman" w:cs="Times New Roman"/>
          <w:sz w:val="24"/>
          <w:szCs w:val="24"/>
        </w:rPr>
        <w:t>., 2022)</w:t>
      </w:r>
      <w:r w:rsidR="00211152" w:rsidRPr="008A295C">
        <w:rPr>
          <w:rFonts w:ascii="Times New Roman" w:hAnsi="Times New Roman" w:cs="Times New Roman"/>
          <w:sz w:val="24"/>
          <w:szCs w:val="24"/>
        </w:rPr>
        <w:fldChar w:fldCharType="end"/>
      </w:r>
    </w:p>
    <w:p w:rsidR="0087624E" w:rsidRPr="006822F8"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(Hema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2007). Therefore, the lack of scientific validation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{"citationID":"kImj71tT","properties":{"formattedCitation":"(Gilles et al., 2023)","plainCitation":"(Gilles et al., 2023)","noteIndex":0},"citationItems":[{"id":305,"uris":["http://zotero.org/users/11737140/items/776XYGN2"],"itemData":{"id":305,"type":"article-journal","abstract":"This study validates local forecast indicators used by indigenous Aymara in Bolivia’s Northern and Central Altiplano. In Bolivia, the use of traditional forecasting methods is declining even though climate services cannot provide useful forecasts because of a low density of stations and lack outreach services. Validating local knowledge can reduce the erosion of local knowledge by resolving debates over their utility within communities and by gaining support of public agencies charged with promoting indigenous knowledge. The research had three phases, first key informants identified forecast indicators, then 95 farmers were asked to evaluate their reliability. In the North, four indicators were rated as highly reliable and in the Central region, three. Finally, a seasonal forecast indicator and two indicators of the onset of rains were evaluating using historical meteorological data. The seasonal indicator was the minimum temperature on the Fiesta de San Juan, and the rainy season onset was the flowering pattern of two plant species. The minimum temperature explained 55.5% of the variance in growing season precipitation. Flowering patterns are affected by severe frosts, and there was a correlation between frosts and later rains. Results show local knowledge’s potential for improving agrometeorological forecasts and for managing weather-related risks.","container-title":"Climate and Development","DOI":"10.1080/17565529.2022.2077692","ISSN":"1756-5529","issue":"4","note":"publisher: Taylor &amp; Francis\n_eprint: https://doi.org/10.1080/17565529.2022.2077692","page":"280–291","source":"Taylor and Francis+NEJM","title":"Validating local meteorological forecast knowledge in the Bolivian Altiplano: moving toward the co-production of agricultural forecasts","title-short":"Validating local meteorological forecast knowledge in the Bolivian Altiplano","volume":"15","author":[{"family":"Gilles","given":"Jere L."},{"family":"García","given":"Magali"},{"family":"Yucra","given":"Edwin S."},{"family":"Quispe","given":"Rogelio"},{"family":"Poma","given":"Aymara"},{"family":"Quispe","given":"Janneth M."},{"family":"Rojas","given":"Katherine"},{"family":"Cabrera","given":"Pablo"}],"issued":{"date-parts":[["2023",4,21]]}}}],"schema":"https://github.com/citation-style-language/schema/raw/master/csl-citation.json"} </w:instrText>
      </w:r>
      <w:r w:rsidR="00211152">
        <w:rPr>
          <w:rFonts w:ascii="Times New Roman" w:hAnsi="Times New Roman" w:cs="Times New Roman"/>
          <w:sz w:val="24"/>
          <w:szCs w:val="24"/>
        </w:rPr>
        <w:fldChar w:fldCharType="separate"/>
      </w:r>
      <w:r w:rsidRPr="00D73B35">
        <w:rPr>
          <w:rFonts w:ascii="Times New Roman" w:hAnsi="Times New Roman" w:cs="Times New Roman"/>
          <w:sz w:val="24"/>
        </w:rPr>
        <w:t>(Gilles et al., 2023)</w:t>
      </w:r>
      <w:r w:rsidR="00211152">
        <w:rPr>
          <w:rFonts w:ascii="Times New Roman" w:hAnsi="Times New Roman" w:cs="Times New Roman"/>
          <w:sz w:val="24"/>
          <w:szCs w:val="24"/>
        </w:rPr>
        <w:fldChar w:fldCharType="end"/>
      </w:r>
      <w:r w:rsidR="00D57FBB">
        <w:rPr>
          <w:rFonts w:ascii="Times New Roman" w:hAnsi="Times New Roman" w:cs="Times New Roman"/>
          <w:sz w:val="24"/>
          <w:szCs w:val="24"/>
        </w:rPr>
        <w:t xml:space="preserve"> </w:t>
      </w:r>
      <w:r w:rsidRPr="006822F8">
        <w:rPr>
          <w:rFonts w:ascii="Times New Roman" w:hAnsi="Times New Roman" w:cs="Times New Roman"/>
          <w:sz w:val="24"/>
          <w:szCs w:val="24"/>
        </w:rPr>
        <w:t xml:space="preserve">and the practical challenges associated with irrigation may contribute to the reduced preference for this adaptation practice among the majority of farmers. </w:t>
      </w:r>
    </w:p>
    <w:p w:rsidR="0087624E" w:rsidRPr="00CE3B6A"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1,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5, </w:t>
      </w:r>
      <w:r w:rsidRPr="00D57FBB">
        <w:rPr>
          <w:rFonts w:ascii="Times New Roman" w:hAnsi="Times New Roman" w:cs="Times New Roman"/>
          <w:i/>
          <w:sz w:val="24"/>
          <w:szCs w:val="24"/>
        </w:rPr>
        <w:t>Vijay</w:t>
      </w:r>
      <w:r w:rsidRPr="006822F8">
        <w:rPr>
          <w:rFonts w:ascii="Times New Roman" w:hAnsi="Times New Roman" w:cs="Times New Roman"/>
          <w:sz w:val="24"/>
          <w:szCs w:val="24"/>
        </w:rPr>
        <w:t xml:space="preserve">, and the </w:t>
      </w:r>
      <w:r w:rsidRPr="006822F8">
        <w:rPr>
          <w:rFonts w:ascii="Times New Roman" w:hAnsi="Times New Roman" w:cs="Times New Roman"/>
          <w:sz w:val="24"/>
          <w:szCs w:val="24"/>
        </w:rPr>
        <w:lastRenderedPageBreak/>
        <w:t xml:space="preserve">landrace </w:t>
      </w:r>
      <w:proofErr w:type="spellStart"/>
      <w:r w:rsidRPr="00D57FBB">
        <w:rPr>
          <w:rFonts w:ascii="Times New Roman" w:hAnsi="Times New Roman" w:cs="Times New Roman"/>
          <w:i/>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r w:rsidR="00D57FBB" w:rsidRPr="006822F8">
        <w:rPr>
          <w:rFonts w:ascii="Times New Roman" w:hAnsi="Times New Roman" w:cs="Times New Roman"/>
          <w:sz w:val="24"/>
          <w:szCs w:val="24"/>
        </w:rPr>
        <w:t>favoured</w:t>
      </w:r>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r w:rsidR="00D57FBB" w:rsidRPr="006822F8">
        <w:rPr>
          <w:rFonts w:ascii="Times New Roman" w:hAnsi="Times New Roman" w:cs="Times New Roman"/>
          <w:sz w:val="24"/>
          <w:szCs w:val="24"/>
        </w:rPr>
        <w:t>preferred</w:t>
      </w:r>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{"citationID":"X2G5miXN","properties":{"formattedCitation":"(Wertz-Kanounnikoff et al., 2011)","plainCitation":"(Wertz-Kanounnikoff et al., 2011)","noteIndex":0},"citationItems":[{"id":216,"uris":["http://zotero.org/users/11737140/items/UNR8AK2J"],"itemData":{"id":216,"type":"article-journal","abstract":"In recent years, there has been a growing interest in payments for environmental services (PES) for ecosystem-based adaptation (EBA). So far, however, experiences and theoretical analyses of PES specifically for adaptation have not been well documented. This paper addresses this gap by analysing the opportunities and constraints of PES as an instrument for EBA. Specifically, we examine the potential for PES to address key elements for adaptation by focusing on three pathways: the user side, the provider side and institutional and societal change. In addition, we assess whether PES fulfils key requirements for adaptation policy instruments, notably effectiveness, efficiency, equity and legitimacy. We find that PES are not a panacea for all environmental services and country contexts, but can be promising adaptation policy instruments where certain preconditions are met and synergies prevail. We conclude on four points especially relevant for the practical scope for PES-adaptation synergies: (i) natural adaptation co-benefits (where the targeted environmental service serves a dual function, e.g. secured water quality and increased adaptive capacity), (ii) piggy-backing (where adaptation benefits are coincidental outcomes), (iii) adaptation-relevant institutional and sectoral spillovers from PES schemes, and (iv) direct payments for adaptation benefits.","container-title":"Climate and Development","DOI":"10.1080/17565529.2011.582277","ISSN":"1756-5529","issue":"2","note":"publisher: Taylor &amp; Francis\n_eprint: https://doi.org/10.1080/17565529.2011.582277","page":"143–158","source":"Taylor and Francis+NEJM","title":"Ecosystem-based adaptation to climate change: What scope for payments for environmental services?","title-short":"Ecosystem-based adaptation to climate change","volume":"3","author":[{"family":"Wertz-Kanounnikoff","given":"Sheila"},{"family":"Locatelli","given":"Bruno"},{"family":"Wunder","given":"Sven"},{"family":"Brockhaus","given":"Maria"}],"issued":{"date-parts":[["2011",4,1]]}}}],"schema":"https://github.com/citation-style-language/schema/raw/master/csl-citation.json"} </w:instrText>
      </w:r>
      <w:r w:rsidR="00211152">
        <w:rPr>
          <w:rFonts w:ascii="Times New Roman" w:hAnsi="Times New Roman" w:cs="Times New Roman"/>
          <w:sz w:val="24"/>
          <w:szCs w:val="24"/>
        </w:rPr>
        <w:fldChar w:fldCharType="separate"/>
      </w:r>
      <w:proofErr w:type="gramStart"/>
      <w:r w:rsidRPr="00722CA1">
        <w:rPr>
          <w:rFonts w:ascii="Times New Roman" w:hAnsi="Times New Roman" w:cs="Times New Roman"/>
          <w:sz w:val="24"/>
          <w:szCs w:val="24"/>
        </w:rPr>
        <w:t xml:space="preserve">(Wertz-Kanounnikoff </w:t>
      </w:r>
      <w:r w:rsidR="00D57FBB">
        <w:rPr>
          <w:rFonts w:ascii="Times New Roman" w:hAnsi="Times New Roman" w:cs="Times New Roman"/>
          <w:i/>
          <w:sz w:val="24"/>
          <w:szCs w:val="24"/>
        </w:rPr>
        <w:t xml:space="preserve">et </w:t>
      </w:r>
      <w:r w:rsidRPr="00D57FBB">
        <w:rPr>
          <w:rFonts w:ascii="Times New Roman" w:hAnsi="Times New Roman" w:cs="Times New Roman"/>
          <w:i/>
          <w:sz w:val="24"/>
          <w:szCs w:val="24"/>
        </w:rPr>
        <w:t>al</w:t>
      </w:r>
      <w:r w:rsidRPr="00722CA1">
        <w:rPr>
          <w:rFonts w:ascii="Times New Roman" w:hAnsi="Times New Roman" w:cs="Times New Roman"/>
          <w:sz w:val="24"/>
          <w:szCs w:val="24"/>
        </w:rPr>
        <w:t>., 2011)</w:t>
      </w:r>
      <w:r w:rsidR="00211152">
        <w:rPr>
          <w:rFonts w:ascii="Times New Roman" w:hAnsi="Times New Roman" w:cs="Times New Roman"/>
          <w:sz w:val="24"/>
          <w:szCs w:val="24"/>
        </w:rPr>
        <w:fldChar w:fldCharType="end"/>
      </w:r>
      <w:r w:rsidR="00722CA1" w:rsidRPr="00722CA1">
        <w:rPr>
          <w:rFonts w:ascii="Times New Roman" w:hAnsi="Times New Roman" w:cs="Times New Roman"/>
          <w:sz w:val="24"/>
          <w:szCs w:val="24"/>
        </w:rPr>
        <w:t>.</w:t>
      </w:r>
      <w:proofErr w:type="gramEnd"/>
      <w:r w:rsidR="00722CA1" w:rsidRPr="00722CA1">
        <w:rPr>
          <w:rFonts w:ascii="Times New Roman" w:hAnsi="Times New Roman" w:cs="Times New Roman"/>
          <w:sz w:val="24"/>
          <w:szCs w:val="24"/>
        </w:rPr>
        <w:t xml:space="preserve"> </w:t>
      </w:r>
      <w:proofErr w:type="spellStart"/>
      <w:r w:rsidR="00722CA1" w:rsidRPr="00722CA1">
        <w:rPr>
          <w:rFonts w:ascii="Times New Roman" w:hAnsi="Times New Roman" w:cs="Times New Roman"/>
          <w:sz w:val="24"/>
          <w:szCs w:val="24"/>
        </w:rPr>
        <w:t>Peermade</w:t>
      </w:r>
      <w:proofErr w:type="spellEnd"/>
      <w:r w:rsidR="00722CA1" w:rsidRPr="00722CA1">
        <w:rPr>
          <w:rFonts w:ascii="Times New Roman" w:hAnsi="Times New Roman" w:cs="Times New Roman"/>
          <w:sz w:val="24"/>
          <w:szCs w:val="24"/>
        </w:rPr>
        <w:t xml:space="preserve"> Development Society (PDS), a farm-centric Non-Governmental Organization, significantly contributes to raising stakeholders' awareness regarding climate-resilient landraces.</w:t>
      </w:r>
      <w:r w:rsidR="00211152">
        <w:rPr>
          <w:rFonts w:ascii="Times New Roman" w:hAnsi="Times New Roman" w:cs="Times New Roman"/>
          <w:sz w:val="24"/>
          <w:szCs w:val="24"/>
        </w:rPr>
        <w:fldChar w:fldCharType="begin"/>
      </w:r>
      <w:r w:rsidR="00722CA1">
        <w:rPr>
          <w:rFonts w:ascii="Times New Roman" w:hAnsi="Times New Roman" w:cs="Times New Roman"/>
          <w:sz w:val="24"/>
          <w:szCs w:val="24"/>
        </w:rPr>
        <w:instrText xml:space="preserve"> ADDIN ZOTERO_ITEM CSL_CITATION {"citationID":"AHjk0mlm","properties":{"formattedCitation":"(Adhikari &amp; Taylor, 2012)","plainCitation":"(Adhikari &amp; Taylor, 2012)","noteIndex":0},"citationItems":[{"id":266,"uris":["http://zotero.org/users/11737140/items/33BRVMAY"],"itemData":{"id":266,"type":"article-journal","abstract":"This article explores community-based adaptation strategies drawing lessons from the field in four different countries of Asia and Africa. The analysis explores several key factors in successful adaptation at the community level, including the importance of culture, the role of institutions and the significance of mainstreaming and good governance. The influence that policy has on adaptation and the way in which policy can be used to support autonomous adaptations is emphasized to show linkages between local action and national policy. The article also recommends several policy implications for future adaptation efforts, concluding that while policy from the top must support adaptation at the bottom, community adaptation should circle upwards to influence policy strongly.","container-title":"Climate and Development","DOI":"10.1080/17565529.2012.664958","journalAbbreviation":"Climate and Development","page":"1-16","source":"ResearchGate","title":"Vulnerability and adaptation to climate change: A review of local actions and national policy response","title-short":"Vulnerability and adaptation to climate change","volume":"4","author":[{"family":"Adhikari","given":"Bhim"},{"family":"Taylor","given":"Krista"}],"issued":{"date-parts":[["2012",1,1]]}}}],"schema":"https://github.com/citation-style-language/schema/raw/master/csl-citation.json"} </w:instrText>
      </w:r>
      <w:r w:rsidR="00211152">
        <w:rPr>
          <w:rFonts w:ascii="Times New Roman" w:hAnsi="Times New Roman" w:cs="Times New Roman"/>
          <w:sz w:val="24"/>
          <w:szCs w:val="24"/>
        </w:rPr>
        <w:fldChar w:fldCharType="separate"/>
      </w:r>
      <w:r w:rsidR="00722CA1" w:rsidRPr="00722CA1">
        <w:rPr>
          <w:rFonts w:ascii="Times New Roman" w:hAnsi="Times New Roman" w:cs="Times New Roman"/>
          <w:sz w:val="24"/>
        </w:rPr>
        <w:t>(Adhikari &amp; Taylor, 2012)</w:t>
      </w:r>
      <w:r w:rsidR="00211152">
        <w:rPr>
          <w:rFonts w:ascii="Times New Roman" w:hAnsi="Times New Roman" w:cs="Times New Roman"/>
          <w:sz w:val="24"/>
          <w:szCs w:val="24"/>
        </w:rPr>
        <w:fldChar w:fldCharType="end"/>
      </w:r>
    </w:p>
    <w:p w:rsidR="00094784" w:rsidRPr="008A295C" w:rsidRDefault="0087624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w:t>
      </w:r>
      <w:r w:rsidR="00D57FBB">
        <w:rPr>
          <w:rFonts w:ascii="Times New Roman" w:hAnsi="Times New Roman" w:cs="Times New Roman"/>
          <w:sz w:val="24"/>
          <w:szCs w:val="24"/>
        </w:rPr>
        <w:t xml:space="preserve"> </w:t>
      </w:r>
      <w:r w:rsidRPr="008A295C">
        <w:rPr>
          <w:rFonts w:ascii="Times New Roman" w:hAnsi="Times New Roman" w:cs="Times New Roman"/>
          <w:sz w:val="24"/>
          <w:szCs w:val="24"/>
        </w:rPr>
        <w:t>Farmers frequently replace vines that are declining due to foot rot disease, senility, or other causes. The newly planted vines face challenges in flourishing, especially amidst cardamom intercropping. A gradual shift in the cropping system is underway.</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{"citationID":"6eomgxqP","properties":{"formattedCitation":"(Fazey et al., 2016)","plainCitation":"(Fazey et al., 2016)","noteIndex":0},"citationItems":[{"id":286,"uris":["http://zotero.org/users/11737140/items/7EJGDNX4"],"itemData":{"id":286,"type":"article-journal","abstract":"Adaptation pathways are increasingly being used as a foresight tool to help guide the implementation of climate change adaptation and deliberate transformation. This paper applies a pathways lens as a hindsight tool to provide new understanding about past change and adaptation relevant for improving future adaptation pathways approaches. Four case studies of past adaptations to change are examined: Solomon Islands Communities, Canadian forest-dependent communities, a Transylvanian village, and responses to climate adaptation policies in Australia. The results highlight that responses to change in these diverse case studies involve complex transitions that gradually create new conditions and trajectories; manifest as multiple but inter-related pathways of change and response at different social or spatial scales (e.g. different paths for different households or communities); have legacies and continuities across time that affect future pathways of change; are affected by power in complex ways; and can create further change and need for adaptation. Analyses also highlight that when working with prospective adaptation approaches as a response to climate change there is a need to consider: (1) underlying assumptions, values and principles associated with the future; (2) the existence of inter-connected multiple pathways and their implications for reinforcing existing social inequalities; and (3) how understanding past change provides inspiration for new and transformative futures. Overall, the paper concludes that shifts towards analyses for change rather than simply about change, such as adaptation pathways, will require more careful consideration of underlying ontological assumptions about the relationships between past, present and future.","container-title":"Climate and Development","DOI":"10.1080/17565529.2014.989192","ISSN":"1756-5529","issue":"1","note":"publisher: Taylor &amp; Francis\n_eprint: https://doi.org/10.1080/17565529.2014.989192","page":"26–44","source":"Taylor and Francis+NEJM","title":"Past and future adaptation pathways","volume":"8","author":[{"family":"Fazey","given":"Ioan"},{"family":"Wise","given":"Russell M."},{"family":"Lyon","given":"Christopher"},{"family":"Câmpeanu","given":"Claudia"},{"family":"Moug","given":"Peter"},{"family":"Davies","given":"Tammy E."}],"issued":{"date-parts":[["2016",1,1]]}}}],"schema":"https://github.com/citation-style-language/schema/raw/master/csl-citation.json"}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(Fazey </w:t>
      </w:r>
      <w:r w:rsidRPr="00D57FBB">
        <w:rPr>
          <w:rFonts w:ascii="Times New Roman" w:hAnsi="Times New Roman" w:cs="Times New Roman"/>
          <w:i/>
          <w:sz w:val="24"/>
          <w:szCs w:val="24"/>
        </w:rPr>
        <w:t>et al</w:t>
      </w:r>
      <w:r w:rsidRPr="008A295C">
        <w:rPr>
          <w:rFonts w:ascii="Times New Roman" w:hAnsi="Times New Roman" w:cs="Times New Roman"/>
          <w:sz w:val="24"/>
          <w:szCs w:val="24"/>
        </w:rPr>
        <w:t>., 2016)</w:t>
      </w:r>
      <w:r w:rsidR="00211152" w:rsidRPr="008A295C">
        <w:rPr>
          <w:rFonts w:ascii="Times New Roman" w:hAnsi="Times New Roman" w:cs="Times New Roman"/>
          <w:sz w:val="24"/>
          <w:szCs w:val="24"/>
        </w:rPr>
        <w:fldChar w:fldCharType="end"/>
      </w:r>
    </w:p>
    <w:p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w:t>
      </w:r>
      <w:r w:rsidR="0040502D">
        <w:rPr>
          <w:rFonts w:ascii="Times New Roman" w:hAnsi="Times New Roman" w:cs="Times New Roman"/>
          <w:color w:val="000000" w:themeColor="text1"/>
          <w:sz w:val="24"/>
          <w:szCs w:val="24"/>
        </w:rPr>
        <w:t xml:space="preserve">ly due to rising cardamom prices, which agrees with the study of Biggs </w:t>
      </w:r>
      <w:r w:rsidR="0040502D" w:rsidRPr="0040502D">
        <w:rPr>
          <w:rFonts w:ascii="Times New Roman" w:hAnsi="Times New Roman" w:cs="Times New Roman"/>
          <w:i/>
          <w:color w:val="000000" w:themeColor="text1"/>
          <w:sz w:val="24"/>
          <w:szCs w:val="24"/>
        </w:rPr>
        <w:t>et al</w:t>
      </w:r>
      <w:r w:rsidR="0040502D">
        <w:rPr>
          <w:rFonts w:ascii="Times New Roman" w:hAnsi="Times New Roman" w:cs="Times New Roman"/>
          <w:color w:val="000000" w:themeColor="text1"/>
          <w:sz w:val="24"/>
          <w:szCs w:val="24"/>
        </w:rPr>
        <w:t xml:space="preserve">. (2013) </w:t>
      </w:r>
      <w:r w:rsidRPr="00094784">
        <w:rPr>
          <w:rFonts w:ascii="Times New Roman" w:hAnsi="Times New Roman" w:cs="Times New Roman"/>
          <w:color w:val="000000" w:themeColor="text1"/>
          <w:sz w:val="24"/>
          <w:szCs w:val="24"/>
        </w:rPr>
        <w:t xml:space="preserve"> Coffee provides natural shade and mulching, particularly beneficial in inter-row spaces, mitigating soil parching observed after floods in 2018 and 2019</w:t>
      </w:r>
      <w:r w:rsidR="00D57FBB">
        <w:rPr>
          <w:rFonts w:ascii="Times New Roman" w:hAnsi="Times New Roman" w:cs="Times New Roman"/>
          <w:color w:val="000000" w:themeColor="text1"/>
          <w:sz w:val="24"/>
          <w:szCs w:val="24"/>
        </w:rPr>
        <w:t xml:space="preserve"> </w:t>
      </w:r>
      <w:r w:rsidR="00211152"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094784">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w:t>
      </w:r>
      <w:r w:rsidR="00D57FBB" w:rsidRPr="00722CA1">
        <w:rPr>
          <w:rFonts w:ascii="Times New Roman" w:hAnsi="Times New Roman" w:cs="Times New Roman"/>
          <w:sz w:val="24"/>
        </w:rPr>
        <w:t>Kandiannan</w:t>
      </w:r>
      <w:r w:rsidR="00722CA1" w:rsidRPr="00722CA1">
        <w:rPr>
          <w:rFonts w:ascii="Times New Roman" w:hAnsi="Times New Roman" w:cs="Times New Roman"/>
          <w:sz w:val="24"/>
        </w:rPr>
        <w:t xml:space="preserve"> </w:t>
      </w:r>
      <w:r w:rsidR="00722CA1" w:rsidRPr="00D57FBB">
        <w:rPr>
          <w:rFonts w:ascii="Times New Roman" w:hAnsi="Times New Roman" w:cs="Times New Roman"/>
          <w:i/>
          <w:sz w:val="24"/>
        </w:rPr>
        <w:t>et al</w:t>
      </w:r>
      <w:r w:rsidR="00722CA1" w:rsidRPr="00722CA1">
        <w:rPr>
          <w:rFonts w:ascii="Times New Roman" w:hAnsi="Times New Roman" w:cs="Times New Roman"/>
          <w:sz w:val="24"/>
        </w:rPr>
        <w:t>., 2014)</w:t>
      </w:r>
      <w:r w:rsidR="00211152"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r w:rsidR="00D57FBB">
        <w:rPr>
          <w:rFonts w:ascii="Times New Roman" w:hAnsi="Times New Roman" w:cs="Times New Roman"/>
          <w:color w:val="000000" w:themeColor="text1"/>
          <w:sz w:val="24"/>
          <w:szCs w:val="24"/>
        </w:rPr>
        <w:t xml:space="preserve">like that of </w:t>
      </w:r>
      <w:proofErr w:type="spellStart"/>
      <w:r w:rsidRPr="00094784">
        <w:rPr>
          <w:rFonts w:ascii="Times New Roman" w:hAnsi="Times New Roman" w:cs="Times New Roman"/>
          <w:color w:val="000000" w:themeColor="text1"/>
          <w:sz w:val="24"/>
          <w:szCs w:val="24"/>
        </w:rPr>
        <w:t>Chengappa</w:t>
      </w:r>
      <w:proofErr w:type="spellEnd"/>
      <w:r w:rsidR="00D57FBB">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xml:space="preserve">. (2017),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00211152" w:rsidRPr="00094784">
        <w:rPr>
          <w:rFonts w:ascii="Times New Roman" w:hAnsi="Times New Roman" w:cs="Times New Roman"/>
          <w:color w:val="000000" w:themeColor="text1"/>
          <w:sz w:val="24"/>
        </w:rPr>
        <w:fldChar w:fldCharType="begin"/>
      </w:r>
      <w:r w:rsidR="00722CA1">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2022)","dontUpdate":true,"noteIndex":0},"citationItems":[{"id":160,"uris":["http://zotero.org/users/11737140/items/WZ4QQTHN"],"itemData":{"id":160,"type":"article-journal","abstract":"In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00211152"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 xml:space="preserve">(Sgroi </w:t>
      </w:r>
      <w:r w:rsidR="00D57FBB">
        <w:rPr>
          <w:rFonts w:ascii="Times New Roman" w:hAnsi="Times New Roman" w:cs="Times New Roman"/>
          <w:color w:val="000000" w:themeColor="text1"/>
          <w:sz w:val="24"/>
        </w:rPr>
        <w:t>&amp;</w:t>
      </w:r>
      <w:r w:rsidRPr="00094784">
        <w:rPr>
          <w:rFonts w:ascii="Times New Roman" w:hAnsi="Times New Roman" w:cs="Times New Roman"/>
          <w:color w:val="000000" w:themeColor="text1"/>
          <w:sz w:val="24"/>
        </w:rPr>
        <w:t xml:space="preserve"> Sciancalepore, 2022)</w:t>
      </w:r>
      <w:r w:rsidR="00211152"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w:t>
      </w:r>
      <w:r w:rsidRPr="009E4126">
        <w:rPr>
          <w:rFonts w:ascii="Times New Roman" w:hAnsi="Times New Roman" w:cs="Times New Roman"/>
          <w:color w:val="000000" w:themeColor="text1"/>
          <w:sz w:val="24"/>
        </w:rPr>
        <w:lastRenderedPageBreak/>
        <w:t xml:space="preserve">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r w:rsidR="00F92065">
        <w:rPr>
          <w:rFonts w:ascii="Times New Roman" w:eastAsia="Arial" w:hAnsi="Times New Roman" w:cs="Times New Roman"/>
          <w:color w:val="000000" w:themeColor="text1"/>
          <w:sz w:val="24"/>
          <w:szCs w:val="24"/>
          <w:lang w:val="en-GB"/>
        </w:rPr>
        <w:t xml:space="preserve"> </w:t>
      </w:r>
      <w:r w:rsidRPr="009E4126">
        <w:rPr>
          <w:rFonts w:ascii="Times New Roman" w:eastAsia="Arial" w:hAnsi="Times New Roman" w:cs="Times New Roman"/>
          <w:color w:val="000000" w:themeColor="text1"/>
          <w:sz w:val="24"/>
          <w:szCs w:val="24"/>
          <w:lang w:val="en-GB"/>
        </w:rPr>
        <w:t>three-tiered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 xml:space="preserve">profile 4, which included a preference forselected landraces known for climate resilience. </w:t>
      </w:r>
      <w:r w:rsidR="00094784" w:rsidRPr="00094784">
        <w:rPr>
          <w:rFonts w:ascii="Times New Roman" w:hAnsi="Times New Roman" w:cs="Times New Roman"/>
          <w:color w:val="000000" w:themeColor="text1"/>
          <w:sz w:val="24"/>
          <w:szCs w:val="24"/>
        </w:rPr>
        <w:t xml:space="preserve">Also, black pepper as a sole crop is the least preferred choice among smallholder farmers.The implication of this decision </w:t>
      </w:r>
      <w:r w:rsidR="0013754C">
        <w:rPr>
          <w:rFonts w:ascii="Times New Roman" w:hAnsi="Times New Roman" w:cs="Times New Roman"/>
          <w:color w:val="000000" w:themeColor="text1"/>
          <w:sz w:val="24"/>
          <w:szCs w:val="24"/>
        </w:rPr>
        <w:t>on the ‘</w:t>
      </w:r>
      <w:r w:rsidR="00094784" w:rsidRPr="00094784">
        <w:rPr>
          <w:rFonts w:ascii="Times New Roman" w:hAnsi="Times New Roman" w:cs="Times New Roman"/>
          <w:color w:val="000000" w:themeColor="text1"/>
          <w:sz w:val="24"/>
          <w:szCs w:val="24"/>
        </w:rPr>
        <w:t>attributes of markets</w:t>
      </w:r>
      <w:r w:rsidR="0013754C">
        <w:rPr>
          <w:rFonts w:ascii="Times New Roman" w:hAnsi="Times New Roman" w:cs="Times New Roman"/>
          <w:color w:val="000000" w:themeColor="text1"/>
          <w:sz w:val="24"/>
          <w:szCs w:val="24"/>
        </w:rPr>
        <w:t>’</w:t>
      </w:r>
      <w:r w:rsidR="00094784" w:rsidRPr="00094784">
        <w:rPr>
          <w:rFonts w:ascii="Times New Roman" w:hAnsi="Times New Roman" w:cs="Times New Roman"/>
          <w:color w:val="000000" w:themeColor="text1"/>
          <w:sz w:val="24"/>
          <w:szCs w:val="24"/>
        </w:rPr>
        <w:t>ofblack</w:t>
      </w:r>
      <w:r w:rsidR="00F92065">
        <w:rPr>
          <w:rFonts w:ascii="Times New Roman" w:hAnsi="Times New Roman" w:cs="Times New Roman"/>
          <w:color w:val="000000" w:themeColor="text1"/>
          <w:sz w:val="24"/>
          <w:szCs w:val="24"/>
        </w:rPr>
        <w:t xml:space="preserve"> pepper can be further explored </w:t>
      </w:r>
      <w:r w:rsidR="00094784" w:rsidRPr="00094784">
        <w:rPr>
          <w:rFonts w:ascii="Times New Roman" w:hAnsi="Times New Roman" w:cs="Times New Roman"/>
          <w:color w:val="000000" w:themeColor="text1"/>
          <w:sz w:val="24"/>
          <w:szCs w:val="24"/>
        </w:rPr>
        <w:t>(</w:t>
      </w:r>
      <w:proofErr w:type="spellStart"/>
      <w:r w:rsidR="00094784" w:rsidRPr="00094784">
        <w:rPr>
          <w:rFonts w:ascii="Times New Roman" w:hAnsi="Times New Roman" w:cs="Times New Roman"/>
          <w:color w:val="000000" w:themeColor="text1"/>
          <w:sz w:val="24"/>
          <w:szCs w:val="24"/>
        </w:rPr>
        <w:t>Sgroi</w:t>
      </w:r>
      <w:proofErr w:type="spellEnd"/>
      <w:r w:rsidR="00094784" w:rsidRPr="00094784">
        <w:rPr>
          <w:rFonts w:ascii="Times New Roman" w:hAnsi="Times New Roman" w:cs="Times New Roman"/>
          <w:color w:val="000000" w:themeColor="text1"/>
          <w:sz w:val="24"/>
          <w:szCs w:val="24"/>
        </w:rPr>
        <w:t xml:space="preserve"> </w:t>
      </w:r>
      <w:r w:rsidR="00F92065">
        <w:rPr>
          <w:rFonts w:ascii="Times New Roman" w:hAnsi="Times New Roman" w:cs="Times New Roman"/>
          <w:color w:val="000000" w:themeColor="text1"/>
          <w:sz w:val="24"/>
          <w:szCs w:val="24"/>
        </w:rPr>
        <w:t>&amp;</w:t>
      </w:r>
      <w:r w:rsidR="00094784" w:rsidRPr="00094784">
        <w:rPr>
          <w:rFonts w:ascii="Times New Roman" w:hAnsi="Times New Roman" w:cs="Times New Roman"/>
          <w:color w:val="000000" w:themeColor="text1"/>
          <w:sz w:val="24"/>
          <w:szCs w:val="24"/>
        </w:rPr>
        <w:t xml:space="preserve"> </w:t>
      </w:r>
      <w:proofErr w:type="spellStart"/>
      <w:r w:rsidR="00094784" w:rsidRPr="00094784">
        <w:rPr>
          <w:rFonts w:ascii="Times New Roman" w:hAnsi="Times New Roman" w:cs="Times New Roman"/>
          <w:color w:val="000000" w:themeColor="text1"/>
          <w:sz w:val="24"/>
          <w:szCs w:val="24"/>
        </w:rPr>
        <w:t>Sciancalepore</w:t>
      </w:r>
      <w:proofErr w:type="spellEnd"/>
      <w:r w:rsidR="00094784" w:rsidRPr="00094784">
        <w:rPr>
          <w:rFonts w:ascii="Times New Roman" w:hAnsi="Times New Roman" w:cs="Times New Roman"/>
          <w:color w:val="000000" w:themeColor="text1"/>
          <w:sz w:val="24"/>
          <w:szCs w:val="24"/>
        </w:rPr>
        <w:t>, 2022)</w:t>
      </w:r>
    </w:p>
    <w:p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w:t>
      </w:r>
      <w:proofErr w:type="gramStart"/>
      <w:r w:rsidRPr="00094784">
        <w:rPr>
          <w:rFonts w:ascii="Times New Roman" w:hAnsi="Times New Roman" w:cs="Times New Roman"/>
          <w:color w:val="000000" w:themeColor="text1"/>
          <w:sz w:val="24"/>
          <w:szCs w:val="24"/>
        </w:rPr>
        <w:t>pepper  in</w:t>
      </w:r>
      <w:proofErr w:type="gramEnd"/>
      <w:r w:rsidRPr="00094784">
        <w:rPr>
          <w:rFonts w:ascii="Times New Roman" w:hAnsi="Times New Roman" w:cs="Times New Roman"/>
          <w:color w:val="000000" w:themeColor="text1"/>
          <w:sz w:val="24"/>
          <w:szCs w:val="24"/>
        </w:rPr>
        <w:t xml:space="preserve"> the study </w:t>
      </w:r>
      <w:proofErr w:type="spellStart"/>
      <w:r w:rsidRPr="00094784">
        <w:rPr>
          <w:rFonts w:ascii="Times New Roman" w:hAnsi="Times New Roman" w:cs="Times New Roman"/>
          <w:color w:val="000000" w:themeColor="text1"/>
          <w:sz w:val="24"/>
          <w:szCs w:val="24"/>
        </w:rPr>
        <w:t>area.The</w:t>
      </w:r>
      <w:proofErr w:type="spellEnd"/>
      <w:r w:rsidRPr="00094784">
        <w:rPr>
          <w:rFonts w:ascii="Times New Roman" w:hAnsi="Times New Roman" w:cs="Times New Roman"/>
          <w:color w:val="000000" w:themeColor="text1"/>
          <w:sz w:val="24"/>
          <w:szCs w:val="24"/>
        </w:rPr>
        <w:t xml:space="preserve"> analysis of adaptive pathways will shed light on the future implications of this transition.(Newsham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rsidR="0013754C" w:rsidRPr="0013754C" w:rsidRDefault="00094784" w:rsidP="0013754C">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In conclusion, while our current study didn't incorporate gender-disaggregated choice analysis for climate adaptation at the farm and family level, it's an essential avenue for future research.</w:t>
      </w:r>
      <w:r w:rsidR="00301F06">
        <w:rPr>
          <w:rFonts w:ascii="Times New Roman" w:hAnsi="Times New Roman" w:cs="Times New Roman"/>
          <w:color w:val="000000" w:themeColor="text1"/>
          <w:sz w:val="24"/>
          <w:szCs w:val="24"/>
        </w:rPr>
        <w:t xml:space="preserve"> </w:t>
      </w:r>
      <w:r w:rsidR="0013754C" w:rsidRPr="0013754C">
        <w:rPr>
          <w:rFonts w:ascii="Times New Roman" w:hAnsi="Times New Roman" w:cs="Times New Roman"/>
          <w:color w:val="000000" w:themeColor="text1"/>
          <w:sz w:val="24"/>
          <w:szCs w:val="24"/>
        </w:rPr>
        <w:t>Overall, the choices are aligned with the global demand for black pepper in terms of its asset specificity and sustainability concerns of the market</w:t>
      </w:r>
      <w:r w:rsidR="0013754C">
        <w:rPr>
          <w:rFonts w:ascii="Times New Roman" w:hAnsi="Times New Roman" w:cs="Times New Roman"/>
          <w:color w:val="000000" w:themeColor="text1"/>
          <w:sz w:val="24"/>
          <w:szCs w:val="24"/>
        </w:rPr>
        <w:t>.</w:t>
      </w:r>
    </w:p>
    <w:p w:rsidR="00094784" w:rsidRDefault="00094784" w:rsidP="00094784">
      <w:pPr>
        <w:jc w:val="both"/>
        <w:rPr>
          <w:rFonts w:ascii="Times New Roman" w:hAnsi="Times New Roman" w:cs="Times New Roman"/>
          <w:color w:val="000000" w:themeColor="text1"/>
          <w:sz w:val="24"/>
          <w:szCs w:val="24"/>
        </w:rPr>
      </w:pPr>
    </w:p>
    <w:p w:rsidR="00301F06" w:rsidRDefault="00301F06" w:rsidP="00094784">
      <w:pPr>
        <w:jc w:val="both"/>
        <w:rPr>
          <w:rFonts w:ascii="Times New Roman" w:hAnsi="Times New Roman" w:cs="Times New Roman"/>
          <w:b/>
          <w:sz w:val="24"/>
          <w:szCs w:val="24"/>
        </w:rPr>
      </w:pPr>
    </w:p>
    <w:p w:rsidR="00301F06" w:rsidRDefault="00301F06" w:rsidP="00094784">
      <w:pPr>
        <w:jc w:val="both"/>
        <w:rPr>
          <w:rFonts w:ascii="Times New Roman" w:hAnsi="Times New Roman" w:cs="Times New Roman"/>
          <w:b/>
          <w:sz w:val="24"/>
          <w:szCs w:val="24"/>
        </w:rPr>
      </w:pPr>
    </w:p>
    <w:p w:rsidR="00BE5532" w:rsidRPr="00BE5532" w:rsidRDefault="008A295C" w:rsidP="00094784">
      <w:pPr>
        <w:jc w:val="both"/>
        <w:rPr>
          <w:rFonts w:ascii="Times New Roman" w:hAnsi="Times New Roman" w:cs="Times New Roman"/>
          <w:b/>
          <w:sz w:val="24"/>
          <w:szCs w:val="24"/>
        </w:rPr>
      </w:pPr>
      <w:r>
        <w:rPr>
          <w:rFonts w:ascii="Times New Roman" w:hAnsi="Times New Roman" w:cs="Times New Roman"/>
          <w:b/>
          <w:sz w:val="24"/>
          <w:szCs w:val="24"/>
        </w:rPr>
        <w:t>Acknowledgments</w:t>
      </w:r>
    </w:p>
    <w:p w:rsidR="0086174F" w:rsidRPr="006822F8" w:rsidRDefault="00BE5532" w:rsidP="00BE5532">
      <w:pPr>
        <w:spacing w:line="276" w:lineRule="auto"/>
        <w:jc w:val="both"/>
        <w:rPr>
          <w:rFonts w:ascii="Times New Roman" w:hAnsi="Times New Roman" w:cs="Times New Roman"/>
          <w:sz w:val="24"/>
          <w:szCs w:val="24"/>
        </w:rPr>
      </w:pPr>
      <w:r w:rsidRPr="00BE5532">
        <w:rPr>
          <w:rFonts w:ascii="Times New Roman" w:hAnsi="Times New Roman" w:cs="Times New Roman"/>
          <w:sz w:val="24"/>
          <w:szCs w:val="24"/>
        </w:rPr>
        <w:t xml:space="preserve">The authors are grateful to </w:t>
      </w:r>
      <w:r>
        <w:rPr>
          <w:rFonts w:ascii="Times New Roman" w:hAnsi="Times New Roman" w:cs="Times New Roman"/>
          <w:sz w:val="24"/>
          <w:szCs w:val="24"/>
        </w:rPr>
        <w:t xml:space="preserve">Kerala Agricultural University </w:t>
      </w:r>
      <w:r w:rsidR="00094784">
        <w:rPr>
          <w:rFonts w:ascii="Times New Roman" w:hAnsi="Times New Roman" w:cs="Times New Roman"/>
          <w:sz w:val="24"/>
          <w:szCs w:val="24"/>
        </w:rPr>
        <w:t>for the support and funding received for the conduct of survey.</w:t>
      </w:r>
    </w:p>
    <w:p w:rsidR="00DF4664"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rsidR="001905A0" w:rsidRDefault="001905A0" w:rsidP="0077050C">
      <w:pPr>
        <w:ind w:left="720" w:hanging="720"/>
        <w:jc w:val="both"/>
        <w:rPr>
          <w:rFonts w:ascii="Times New Roman" w:hAnsi="Times New Roman" w:cs="Times New Roman"/>
          <w:sz w:val="24"/>
          <w:szCs w:val="24"/>
        </w:rPr>
      </w:pPr>
      <w:proofErr w:type="gramStart"/>
      <w:r w:rsidRPr="00AE6DCF">
        <w:rPr>
          <w:rFonts w:ascii="Times New Roman" w:hAnsi="Times New Roman" w:cs="Times New Roman"/>
          <w:sz w:val="24"/>
          <w:szCs w:val="24"/>
        </w:rPr>
        <w:t>Adhikari, B., &amp; Taylor, K. (2012).</w:t>
      </w:r>
      <w:proofErr w:type="gramEnd"/>
      <w:r w:rsidRPr="00AE6DCF">
        <w:rPr>
          <w:rFonts w:ascii="Times New Roman" w:hAnsi="Times New Roman" w:cs="Times New Roman"/>
          <w:sz w:val="24"/>
          <w:szCs w:val="24"/>
        </w:rPr>
        <w:t xml:space="preserve">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1" w:history="1">
        <w:r w:rsidRPr="004E40D7">
          <w:rPr>
            <w:rStyle w:val="Hyperlink"/>
            <w:rFonts w:ascii="Times New Roman" w:hAnsi="Times New Roman" w:cs="Times New Roman"/>
            <w:sz w:val="24"/>
            <w:szCs w:val="24"/>
          </w:rPr>
          <w:t>https://doi.org/10.1080/17565529.2012.664958</w:t>
        </w:r>
      </w:hyperlink>
    </w:p>
    <w:p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2" w:history="1">
        <w:r w:rsidRPr="00270C2B">
          <w:rPr>
            <w:rStyle w:val="Hyperlink"/>
            <w:rFonts w:ascii="Times New Roman" w:hAnsi="Times New Roman" w:cs="Times New Roman"/>
            <w:sz w:val="24"/>
            <w:szCs w:val="24"/>
          </w:rPr>
          <w:t>https://doi.org/10.1017/S0014479723000224</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Anith, K. N., Aswini, S., Varkey, S., Radhakrishnan, N. V., &amp; Nair, D. S. (2018). Root colonization by the </w:t>
      </w:r>
      <w:proofErr w:type="spellStart"/>
      <w:r w:rsidRPr="00AE6DCF">
        <w:rPr>
          <w:rFonts w:ascii="Times New Roman" w:hAnsi="Times New Roman" w:cs="Times New Roman"/>
          <w:sz w:val="24"/>
          <w:szCs w:val="24"/>
        </w:rPr>
        <w:t>endophytic</w:t>
      </w:r>
      <w:proofErr w:type="spellEnd"/>
      <w:r w:rsidRPr="00AE6DCF">
        <w:rPr>
          <w:rFonts w:ascii="Times New Roman" w:hAnsi="Times New Roman" w:cs="Times New Roman"/>
          <w:sz w:val="24"/>
          <w:szCs w:val="24"/>
        </w:rPr>
        <w:t xml:space="preserve">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indica</w:t>
      </w:r>
      <w:proofErr w:type="spellEnd"/>
      <w:r w:rsidRPr="00AE6DCF">
        <w:rPr>
          <w:rFonts w:ascii="Times New Roman" w:hAnsi="Times New Roman" w:cs="Times New Roman"/>
          <w:sz w:val="24"/>
          <w:szCs w:val="24"/>
        </w:rPr>
        <w:t xml:space="preserve">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w:t>
      </w:r>
      <w:proofErr w:type="gramStart"/>
      <w:r w:rsidRPr="00AE6DCF">
        <w:rPr>
          <w:rFonts w:ascii="Times New Roman" w:hAnsi="Times New Roman" w:cs="Times New Roman"/>
          <w:sz w:val="24"/>
          <w:szCs w:val="24"/>
        </w:rPr>
        <w:t>( Piper</w:t>
      </w:r>
      <w:proofErr w:type="gram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r w:rsidRPr="00AE6DCF">
        <w:rPr>
          <w:rFonts w:ascii="Times New Roman" w:hAnsi="Times New Roman" w:cs="Times New Roman"/>
          <w:i/>
          <w:sz w:val="24"/>
          <w:szCs w:val="24"/>
        </w:rPr>
        <w:t xml:space="preserve">Biocatalysis and Agricultural </w:t>
      </w:r>
      <w:proofErr w:type="gramStart"/>
      <w:r w:rsidRPr="00AE6DCF">
        <w:rPr>
          <w:rFonts w:ascii="Times New Roman" w:hAnsi="Times New Roman" w:cs="Times New Roman"/>
          <w:i/>
          <w:sz w:val="24"/>
          <w:szCs w:val="24"/>
        </w:rPr>
        <w:t>Biotechnology</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Vol. 14, pp. 215–220). Elsevier BV. </w:t>
      </w:r>
      <w:hyperlink r:id="rId13" w:history="1">
        <w:r w:rsidRPr="004E40D7">
          <w:rPr>
            <w:rStyle w:val="Hyperlink"/>
            <w:rFonts w:ascii="Times New Roman" w:hAnsi="Times New Roman" w:cs="Times New Roman"/>
            <w:sz w:val="24"/>
            <w:szCs w:val="24"/>
          </w:rPr>
          <w:t>https://doi.org/10.1016/j.bcab.2018.03.012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Anju AB, Natarajan C, Preetha R, Rajan SA, Soumya VI, Anith KN. (2023). </w:t>
      </w:r>
      <w:proofErr w:type="gramStart"/>
      <w:r w:rsidRPr="00076984">
        <w:rPr>
          <w:rFonts w:ascii="Times New Roman" w:hAnsi="Times New Roman" w:cs="Times New Roman"/>
          <w:sz w:val="24"/>
          <w:szCs w:val="24"/>
        </w:rPr>
        <w:t>Bacterization with Endospore-forming Bacillus spp. Promotes Plant Growth and Suppresses Foot Rot Disease in Black Pepper (Piper nigrum L.) in the Nursery.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4" w:history="1">
        <w:r w:rsidRPr="00270C2B">
          <w:rPr>
            <w:rStyle w:val="Hyperlink"/>
            <w:rFonts w:ascii="Times New Roman" w:hAnsi="Times New Roman" w:cs="Times New Roman"/>
            <w:sz w:val="24"/>
            <w:szCs w:val="24"/>
          </w:rPr>
          <w:t>https://doi.org/10.22207/JPAM.17.2.02</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proofErr w:type="gramStart"/>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w:t>
      </w:r>
      <w:proofErr w:type="gramEnd"/>
      <w:r w:rsidRPr="00AE6DCF">
        <w:rPr>
          <w:rFonts w:ascii="Times New Roman" w:hAnsi="Times New Roman" w:cs="Times New Roman"/>
          <w:sz w:val="24"/>
          <w:szCs w:val="24"/>
        </w:rPr>
        <w:t xml:space="preserve"> Oxford University Press (OUP). </w:t>
      </w:r>
      <w:hyperlink r:id="rId15" w:history="1">
        <w:r w:rsidRPr="004E40D7">
          <w:rPr>
            <w:rStyle w:val="Hyperlink"/>
            <w:rFonts w:ascii="Times New Roman" w:hAnsi="Times New Roman" w:cs="Times New Roman"/>
            <w:sz w:val="24"/>
            <w:szCs w:val="24"/>
          </w:rPr>
          <w:t>https://doi.org/10.1093/icc/dth026</w:t>
        </w:r>
      </w:hyperlink>
    </w:p>
    <w:p w:rsidR="001905A0" w:rsidRDefault="001905A0" w:rsidP="001905A0">
      <w:pPr>
        <w:ind w:left="720" w:hanging="720"/>
        <w:jc w:val="both"/>
        <w:rPr>
          <w:rFonts w:ascii="Times New Roman" w:hAnsi="Times New Roman" w:cs="Times New Roman"/>
          <w:sz w:val="24"/>
          <w:szCs w:val="24"/>
        </w:rPr>
      </w:pPr>
      <w:proofErr w:type="gramStart"/>
      <w:r w:rsidRPr="0005693C">
        <w:rPr>
          <w:rFonts w:ascii="Times New Roman" w:hAnsi="Times New Roman" w:cs="Times New Roman"/>
          <w:sz w:val="24"/>
          <w:szCs w:val="24"/>
        </w:rPr>
        <w:t>Biggs, E. M., Tompkins, E. L., Allen, J., Moon, C., &amp; Allen, R. (2013).</w:t>
      </w:r>
      <w:proofErr w:type="gramEnd"/>
      <w:r w:rsidRPr="0005693C">
        <w:rPr>
          <w:rFonts w:ascii="Times New Roman" w:hAnsi="Times New Roman" w:cs="Times New Roman"/>
          <w:sz w:val="24"/>
          <w:szCs w:val="24"/>
        </w:rPr>
        <w:t xml:space="preserve">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,165</w:t>
      </w:r>
      <w:proofErr w:type="gramEnd"/>
      <w:r>
        <w:rPr>
          <w:rFonts w:ascii="Times New Roman" w:hAnsi="Times New Roman" w:cs="Times New Roman"/>
          <w:sz w:val="24"/>
          <w:szCs w:val="24"/>
        </w:rPr>
        <w:t>–173</w:t>
      </w:r>
      <w:r w:rsidRPr="0005693C">
        <w:rPr>
          <w:rFonts w:ascii="Times New Roman" w:hAnsi="Times New Roman" w:cs="Times New Roman"/>
          <w:sz w:val="24"/>
          <w:szCs w:val="24"/>
        </w:rPr>
        <w:t xml:space="preserve">. </w:t>
      </w:r>
      <w:hyperlink r:id="rId16" w:history="1">
        <w:r w:rsidRPr="004E40D7">
          <w:rPr>
            <w:rStyle w:val="Hyperlink"/>
            <w:rFonts w:ascii="Times New Roman" w:hAnsi="Times New Roman" w:cs="Times New Roman"/>
            <w:sz w:val="24"/>
            <w:szCs w:val="24"/>
          </w:rPr>
          <w:t>https://doi.org/10.1080/17565529.2013.789791</w:t>
        </w:r>
      </w:hyperlink>
    </w:p>
    <w:p w:rsidR="001905A0" w:rsidRDefault="001905A0" w:rsidP="00AB798A">
      <w:pPr>
        <w:ind w:left="720" w:hanging="720"/>
        <w:jc w:val="both"/>
        <w:rPr>
          <w:rFonts w:ascii="Times New Roman" w:hAnsi="Times New Roman" w:cs="Times New Roman"/>
          <w:sz w:val="24"/>
          <w:szCs w:val="24"/>
        </w:rPr>
      </w:pPr>
      <w:proofErr w:type="gramStart"/>
      <w:r w:rsidRPr="002373AE">
        <w:rPr>
          <w:rFonts w:ascii="Times New Roman" w:hAnsi="Times New Roman" w:cs="Times New Roman"/>
          <w:sz w:val="24"/>
          <w:szCs w:val="24"/>
        </w:rPr>
        <w:t>Bur</w:t>
      </w:r>
      <w:r>
        <w:rPr>
          <w:rFonts w:ascii="Times New Roman" w:hAnsi="Times New Roman" w:cs="Times New Roman"/>
          <w:sz w:val="24"/>
          <w:szCs w:val="24"/>
        </w:rPr>
        <w:t>nham, M., &amp; Ma, Z. (2016</w:t>
      </w:r>
      <w:r w:rsidRPr="002373AE">
        <w:rPr>
          <w:rFonts w:ascii="Times New Roman" w:hAnsi="Times New Roman" w:cs="Times New Roman"/>
          <w:sz w:val="24"/>
          <w:szCs w:val="24"/>
        </w:rPr>
        <w:t>).</w:t>
      </w:r>
      <w:proofErr w:type="gramEnd"/>
      <w:r w:rsidRPr="002373AE">
        <w:rPr>
          <w:rFonts w:ascii="Times New Roman" w:hAnsi="Times New Roman" w:cs="Times New Roman"/>
          <w:sz w:val="24"/>
          <w:szCs w:val="24"/>
        </w:rPr>
        <w:t xml:space="preserve"> Climate change adaptation: factors influencing Chinese smallholder farmers’ perceived self-efficacy and adaptation intent. Regional Environmental Change, 17(1), 171–186. </w:t>
      </w:r>
      <w:hyperlink r:id="rId17" w:history="1">
        <w:r w:rsidRPr="009340F4">
          <w:rPr>
            <w:rStyle w:val="Hyperlink"/>
            <w:rFonts w:ascii="Times New Roman" w:hAnsi="Times New Roman" w:cs="Times New Roman"/>
            <w:sz w:val="24"/>
            <w:szCs w:val="24"/>
          </w:rPr>
          <w:t>https://doi.org/10.1007/s10113-016-0975-6</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P. G., Devika, C. M., &amp;</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C. S. (2017).</w:t>
      </w:r>
      <w:proofErr w:type="gramEnd"/>
      <w:r w:rsidRPr="00076984">
        <w:rPr>
          <w:rFonts w:ascii="Times New Roman" w:hAnsi="Times New Roman" w:cs="Times New Roman"/>
          <w:sz w:val="24"/>
          <w:szCs w:val="24"/>
        </w:rPr>
        <w:t xml:space="preserve">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18" w:history="1">
        <w:r w:rsidRPr="00270C2B">
          <w:rPr>
            <w:rStyle w:val="Hyperlink"/>
            <w:rFonts w:ascii="Times New Roman" w:hAnsi="Times New Roman" w:cs="Times New Roman"/>
            <w:sz w:val="24"/>
            <w:szCs w:val="24"/>
          </w:rPr>
          <w:t>https://doi.org/10.1080/17565529.2017.1318740</w:t>
        </w:r>
      </w:hyperlink>
    </w:p>
    <w:p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Chethna</w:t>
      </w:r>
      <w:proofErr w:type="spellEnd"/>
      <w:r w:rsidRPr="00076984">
        <w:rPr>
          <w:rFonts w:ascii="Times New Roman" w:hAnsi="Times New Roman" w:cs="Times New Roman"/>
          <w:sz w:val="24"/>
          <w:szCs w:val="24"/>
        </w:rPr>
        <w:t xml:space="preserve"> A, </w:t>
      </w:r>
      <w:proofErr w:type="spellStart"/>
      <w:r w:rsidRPr="00076984">
        <w:rPr>
          <w:rFonts w:ascii="Times New Roman" w:hAnsi="Times New Roman" w:cs="Times New Roman"/>
          <w:sz w:val="24"/>
          <w:szCs w:val="24"/>
        </w:rPr>
        <w:t>Nagaraja</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w:t>
      </w:r>
      <w:proofErr w:type="spellStart"/>
      <w:r w:rsidRPr="00076984">
        <w:rPr>
          <w:rFonts w:ascii="Times New Roman" w:hAnsi="Times New Roman" w:cs="Times New Roman"/>
          <w:sz w:val="24"/>
          <w:szCs w:val="24"/>
        </w:rPr>
        <w:t>Gracy</w:t>
      </w:r>
      <w:proofErr w:type="spellEnd"/>
      <w:r w:rsidRPr="00076984">
        <w:rPr>
          <w:rFonts w:ascii="Times New Roman" w:hAnsi="Times New Roman" w:cs="Times New Roman"/>
          <w:sz w:val="24"/>
          <w:szCs w:val="24"/>
        </w:rPr>
        <w:t xml:space="preserve"> C. (2010). </w:t>
      </w:r>
      <w:proofErr w:type="gramStart"/>
      <w:r w:rsidRPr="00076984">
        <w:rPr>
          <w:rFonts w:ascii="Times New Roman" w:hAnsi="Times New Roman" w:cs="Times New Roman"/>
          <w:sz w:val="24"/>
          <w:szCs w:val="24"/>
        </w:rPr>
        <w:t xml:space="preserve">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19" w:history="1">
        <w:r w:rsidRPr="00270C2B">
          <w:rPr>
            <w:rStyle w:val="Hyperlink"/>
            <w:rFonts w:ascii="Times New Roman" w:hAnsi="Times New Roman" w:cs="Times New Roman"/>
            <w:sz w:val="24"/>
            <w:szCs w:val="24"/>
          </w:rPr>
          <w:t>https://doi.org/10.1108/17511060910948008</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343F0E">
        <w:rPr>
          <w:rFonts w:ascii="Times New Roman" w:hAnsi="Times New Roman" w:cs="Times New Roman"/>
          <w:sz w:val="24"/>
          <w:szCs w:val="24"/>
        </w:rPr>
        <w:lastRenderedPageBreak/>
        <w:t>Delfiyan</w:t>
      </w:r>
      <w:proofErr w:type="spellEnd"/>
      <w:r w:rsidRPr="00343F0E">
        <w:rPr>
          <w:rFonts w:ascii="Times New Roman" w:hAnsi="Times New Roman" w:cs="Times New Roman"/>
          <w:sz w:val="24"/>
          <w:szCs w:val="24"/>
        </w:rPr>
        <w:t xml:space="preserve">, F., Yazdanpanah,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M., &amp; Yaghoubi, J. (2020).</w:t>
      </w:r>
      <w:proofErr w:type="gramEnd"/>
      <w:r w:rsidRPr="00343F0E">
        <w:rPr>
          <w:rFonts w:ascii="Times New Roman" w:hAnsi="Times New Roman" w:cs="Times New Roman"/>
          <w:sz w:val="24"/>
          <w:szCs w:val="24"/>
        </w:rPr>
        <w:t xml:space="preserve">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w:t>
      </w:r>
      <w:proofErr w:type="gramStart"/>
      <w:r w:rsidRPr="00343F0E">
        <w:rPr>
          <w:rFonts w:ascii="Times New Roman" w:hAnsi="Times New Roman" w:cs="Times New Roman"/>
          <w:sz w:val="24"/>
          <w:szCs w:val="24"/>
        </w:rPr>
        <w:t>county</w:t>
      </w:r>
      <w:proofErr w:type="gramEnd"/>
      <w:r w:rsidRPr="00343F0E">
        <w:rPr>
          <w:rFonts w:ascii="Times New Roman" w:hAnsi="Times New Roman" w:cs="Times New Roman"/>
          <w:sz w:val="24"/>
          <w:szCs w:val="24"/>
        </w:rPr>
        <w:t>, Southwest of I</w:t>
      </w:r>
      <w:r>
        <w:rPr>
          <w:rFonts w:ascii="Times New Roman" w:hAnsi="Times New Roman" w:cs="Times New Roman"/>
          <w:sz w:val="24"/>
          <w:szCs w:val="24"/>
        </w:rPr>
        <w:t xml:space="preserve">ran.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hyperlink r:id="rId20" w:history="1">
        <w:r w:rsidRPr="004E40D7">
          <w:rPr>
            <w:rStyle w:val="Hyperlink"/>
            <w:rFonts w:ascii="Times New Roman" w:hAnsi="Times New Roman" w:cs="Times New Roman"/>
            <w:sz w:val="24"/>
            <w:szCs w:val="24"/>
          </w:rPr>
          <w:t>https://doi.org/10.1080/17565529.2020.1737797</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7F2B1E">
        <w:rPr>
          <w:rFonts w:ascii="Times New Roman" w:hAnsi="Times New Roman" w:cs="Times New Roman"/>
          <w:sz w:val="24"/>
          <w:szCs w:val="24"/>
        </w:rPr>
        <w:t>Fazey</w:t>
      </w:r>
      <w:proofErr w:type="spellEnd"/>
      <w:r w:rsidRPr="007F2B1E">
        <w:rPr>
          <w:rFonts w:ascii="Times New Roman" w:hAnsi="Times New Roman" w:cs="Times New Roman"/>
          <w:sz w:val="24"/>
          <w:szCs w:val="24"/>
        </w:rPr>
        <w:t xml:space="preserve">, I., Wise, R. M., Lyon, C., </w:t>
      </w:r>
      <w:proofErr w:type="spellStart"/>
      <w:r w:rsidRPr="007F2B1E">
        <w:rPr>
          <w:rFonts w:ascii="Times New Roman" w:hAnsi="Times New Roman" w:cs="Times New Roman"/>
          <w:sz w:val="24"/>
          <w:szCs w:val="24"/>
        </w:rPr>
        <w:t>Câmpeanu</w:t>
      </w:r>
      <w:proofErr w:type="spellEnd"/>
      <w:r w:rsidRPr="007F2B1E">
        <w:rPr>
          <w:rFonts w:ascii="Times New Roman" w:hAnsi="Times New Roman" w:cs="Times New Roman"/>
          <w:sz w:val="24"/>
          <w:szCs w:val="24"/>
        </w:rPr>
        <w:t>, C., Moug, P., &amp; Davies, T. E. (2016).</w:t>
      </w:r>
      <w:proofErr w:type="gramEnd"/>
      <w:r w:rsidRPr="007F2B1E">
        <w:rPr>
          <w:rFonts w:ascii="Times New Roman" w:hAnsi="Times New Roman" w:cs="Times New Roman"/>
          <w:sz w:val="24"/>
          <w:szCs w:val="24"/>
        </w:rPr>
        <w:t xml:space="preserve"> </w:t>
      </w:r>
      <w:proofErr w:type="gramStart"/>
      <w:r w:rsidRPr="007F2B1E">
        <w:rPr>
          <w:rFonts w:ascii="Times New Roman" w:hAnsi="Times New Roman" w:cs="Times New Roman"/>
          <w:sz w:val="24"/>
          <w:szCs w:val="24"/>
        </w:rPr>
        <w:t>Past and future adaptation pathways.</w:t>
      </w:r>
      <w:proofErr w:type="gramEnd"/>
      <w:r w:rsidRPr="007F2B1E">
        <w:rPr>
          <w:rFonts w:ascii="Times New Roman" w:hAnsi="Times New Roman" w:cs="Times New Roman"/>
          <w:sz w:val="24"/>
          <w:szCs w:val="24"/>
        </w:rPr>
        <w:t xml:space="preserve"> Climate and Development, 8(1), 26–44. </w:t>
      </w:r>
      <w:hyperlink r:id="rId21" w:history="1">
        <w:r w:rsidRPr="009340F4">
          <w:rPr>
            <w:rStyle w:val="Hyperlink"/>
            <w:rFonts w:ascii="Times New Roman" w:hAnsi="Times New Roman" w:cs="Times New Roman"/>
            <w:sz w:val="24"/>
            <w:szCs w:val="24"/>
          </w:rPr>
          <w:t>https://doi.org/10.1080/17565529.2014.989192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Finn, A., &amp; Louviere, J. J. (1992).</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Determining the Appropriate Response to Evidence of Public Concern: The Case of Food Safety.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2" w:history="1">
        <w:r w:rsidRPr="00270C2B">
          <w:rPr>
            <w:rStyle w:val="Hyperlink"/>
            <w:rFonts w:ascii="Times New Roman" w:hAnsi="Times New Roman" w:cs="Times New Roman"/>
            <w:sz w:val="24"/>
            <w:szCs w:val="24"/>
          </w:rPr>
          <w:t>https://doi.org/10.1177/074391569201100202</w:t>
        </w:r>
      </w:hyperlink>
    </w:p>
    <w:p w:rsidR="001905A0" w:rsidRDefault="001905A0" w:rsidP="001905A0">
      <w:pPr>
        <w:ind w:left="720" w:hanging="720"/>
        <w:jc w:val="both"/>
        <w:rPr>
          <w:rFonts w:ascii="Times New Roman" w:hAnsi="Times New Roman" w:cs="Times New Roman"/>
          <w:sz w:val="24"/>
          <w:szCs w:val="24"/>
        </w:rPr>
      </w:pPr>
      <w:proofErr w:type="gramStart"/>
      <w:r w:rsidRPr="001C053A">
        <w:rPr>
          <w:rFonts w:ascii="Times New Roman" w:hAnsi="Times New Roman" w:cs="Times New Roman"/>
          <w:sz w:val="24"/>
          <w:szCs w:val="24"/>
        </w:rPr>
        <w:t>Fiori, S. (2011).</w:t>
      </w:r>
      <w:proofErr w:type="gramEnd"/>
      <w:r w:rsidRPr="001C053A">
        <w:rPr>
          <w:rFonts w:ascii="Times New Roman" w:hAnsi="Times New Roman" w:cs="Times New Roman"/>
          <w:sz w:val="24"/>
          <w:szCs w:val="24"/>
        </w:rPr>
        <w:t xml:space="preserve">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3" w:history="1">
        <w:r w:rsidRPr="004E40D7">
          <w:rPr>
            <w:rStyle w:val="Hyperlink"/>
            <w:rFonts w:ascii="Times New Roman" w:hAnsi="Times New Roman" w:cs="Times New Roman"/>
            <w:sz w:val="24"/>
            <w:szCs w:val="24"/>
          </w:rPr>
          <w:t>https://doi.org/10.1080/09538259.2011.611624</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G., &amp; Todd, P. M. (1999).</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rsidR="001905A0" w:rsidRDefault="001905A0" w:rsidP="001905A0">
      <w:pPr>
        <w:ind w:left="720" w:hanging="720"/>
        <w:jc w:val="both"/>
        <w:rPr>
          <w:rFonts w:ascii="Times New Roman" w:hAnsi="Times New Roman" w:cs="Times New Roman"/>
          <w:sz w:val="24"/>
          <w:szCs w:val="24"/>
        </w:rPr>
      </w:pPr>
      <w:proofErr w:type="gramStart"/>
      <w:r w:rsidRPr="00642077">
        <w:rPr>
          <w:rFonts w:ascii="Times New Roman" w:hAnsi="Times New Roman" w:cs="Times New Roman"/>
          <w:sz w:val="24"/>
          <w:szCs w:val="24"/>
        </w:rPr>
        <w:t xml:space="preserve">Gilles, J. L., García, M., Yucra, E. S., Quispe, R., Poma, A., Quispe, J. M., Rojas, </w:t>
      </w:r>
      <w:r>
        <w:rPr>
          <w:rFonts w:ascii="Times New Roman" w:hAnsi="Times New Roman" w:cs="Times New Roman"/>
          <w:sz w:val="24"/>
          <w:szCs w:val="24"/>
        </w:rPr>
        <w:t>K., &amp; Cabrera, P. (2023</w:t>
      </w:r>
      <w:r w:rsidRPr="00642077">
        <w:rPr>
          <w:rFonts w:ascii="Times New Roman" w:hAnsi="Times New Roman" w:cs="Times New Roman"/>
          <w:sz w:val="24"/>
          <w:szCs w:val="24"/>
        </w:rPr>
        <w:t>).</w:t>
      </w:r>
      <w:proofErr w:type="gramEnd"/>
      <w:r w:rsidRPr="00642077">
        <w:rPr>
          <w:rFonts w:ascii="Times New Roman" w:hAnsi="Times New Roman" w:cs="Times New Roman"/>
          <w:sz w:val="24"/>
          <w:szCs w:val="24"/>
        </w:rPr>
        <w:t xml:space="preserve"> Validating local meteorological forecast knowledge in the Bolivian Altiplano: moving toward the co-production of agricultural forecasts. Climate and Development, 15(4), 280–291. </w:t>
      </w:r>
      <w:hyperlink r:id="rId24" w:history="1">
        <w:r w:rsidRPr="009340F4">
          <w:rPr>
            <w:rStyle w:val="Hyperlink"/>
            <w:rFonts w:ascii="Times New Roman" w:hAnsi="Times New Roman" w:cs="Times New Roman"/>
            <w:sz w:val="24"/>
            <w:szCs w:val="24"/>
          </w:rPr>
          <w:t>https://doi.org/10.1080/17565529.2022.2077692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Government of Kerala [GOK].</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Department of Soil Survey and Soil Conservation, Trivandrum. Retrieved from </w:t>
      </w:r>
      <w:hyperlink r:id="rId25" w:history="1">
        <w:r w:rsidRPr="00270C2B">
          <w:rPr>
            <w:rStyle w:val="Hyperlink"/>
            <w:rFonts w:ascii="Times New Roman" w:hAnsi="Times New Roman" w:cs="Times New Roman"/>
            <w:sz w:val="24"/>
            <w:szCs w:val="24"/>
          </w:rPr>
          <w:t>https://sdma.kerala.gov.in/wp-content/uploads/2020/08/Soil-Flood.pdf</w:t>
        </w:r>
      </w:hyperlink>
    </w:p>
    <w:p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w:t>
      </w:r>
      <w:proofErr w:type="gramStart"/>
      <w:r w:rsidRPr="00076984">
        <w:rPr>
          <w:rFonts w:ascii="Times New Roman" w:hAnsi="Times New Roman" w:cs="Times New Roman"/>
          <w:sz w:val="24"/>
          <w:szCs w:val="24"/>
        </w:rPr>
        <w:t xml:space="preserve">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26" w:history="1">
        <w:r w:rsidRPr="00270C2B">
          <w:rPr>
            <w:rStyle w:val="Hyperlink"/>
            <w:rFonts w:ascii="Times New Roman" w:hAnsi="Times New Roman" w:cs="Times New Roman"/>
            <w:sz w:val="24"/>
            <w:szCs w:val="24"/>
          </w:rPr>
          <w:t>https://doi.org/10.18637/jss.v085.i05</w:t>
        </w:r>
      </w:hyperlink>
    </w:p>
    <w:p w:rsidR="001905A0" w:rsidRDefault="001905A0" w:rsidP="001905A0">
      <w:pPr>
        <w:ind w:left="720" w:hanging="720"/>
        <w:jc w:val="both"/>
        <w:rPr>
          <w:rFonts w:ascii="Times New Roman" w:hAnsi="Times New Roman" w:cs="Times New Roman"/>
          <w:sz w:val="24"/>
          <w:szCs w:val="24"/>
        </w:rPr>
      </w:pPr>
      <w:proofErr w:type="gramStart"/>
      <w:r w:rsidRPr="00033D87">
        <w:rPr>
          <w:rFonts w:ascii="Times New Roman" w:hAnsi="Times New Roman" w:cs="Times New Roman"/>
          <w:sz w:val="24"/>
          <w:szCs w:val="24"/>
        </w:rPr>
        <w:t>Grothmann, T., &amp; Patt, A. (2005).</w:t>
      </w:r>
      <w:proofErr w:type="gramEnd"/>
      <w:r w:rsidRPr="00033D87">
        <w:rPr>
          <w:rFonts w:ascii="Times New Roman" w:hAnsi="Times New Roman" w:cs="Times New Roman"/>
          <w:sz w:val="24"/>
          <w:szCs w:val="24"/>
        </w:rPr>
        <w:t xml:space="preserve"> Adaptive capacity and human cognition: The process of individual adaptation to climate change. Global Environmental Change, 15, 199–213. https://doi.org/10.1016/j.gloenvcha.2005.01.002</w:t>
      </w:r>
    </w:p>
    <w:p w:rsidR="001905A0" w:rsidRDefault="001905A0" w:rsidP="001905A0">
      <w:pPr>
        <w:ind w:left="720" w:hanging="720"/>
        <w:jc w:val="both"/>
        <w:rPr>
          <w:rFonts w:ascii="Times New Roman" w:hAnsi="Times New Roman" w:cs="Times New Roman"/>
          <w:sz w:val="24"/>
          <w:szCs w:val="24"/>
        </w:rPr>
      </w:pPr>
      <w:r w:rsidRPr="0056570B">
        <w:rPr>
          <w:rFonts w:ascii="Times New Roman" w:hAnsi="Times New Roman" w:cs="Times New Roman"/>
          <w:sz w:val="24"/>
          <w:szCs w:val="24"/>
        </w:rPr>
        <w:t xml:space="preserve">Habtemariam, L. T., </w:t>
      </w:r>
      <w:proofErr w:type="spellStart"/>
      <w:r w:rsidRPr="0056570B">
        <w:rPr>
          <w:rFonts w:ascii="Times New Roman" w:hAnsi="Times New Roman" w:cs="Times New Roman"/>
          <w:sz w:val="24"/>
          <w:szCs w:val="24"/>
        </w:rPr>
        <w:t>Gandorfer</w:t>
      </w:r>
      <w:proofErr w:type="spellEnd"/>
      <w:r w:rsidRPr="0056570B">
        <w:rPr>
          <w:rFonts w:ascii="Times New Roman" w:hAnsi="Times New Roman" w:cs="Times New Roman"/>
          <w:sz w:val="24"/>
          <w:szCs w:val="24"/>
        </w:rPr>
        <w:t>, M., Kassa, G.</w:t>
      </w:r>
      <w:r>
        <w:rPr>
          <w:rFonts w:ascii="Times New Roman" w:hAnsi="Times New Roman" w:cs="Times New Roman"/>
          <w:sz w:val="24"/>
          <w:szCs w:val="24"/>
        </w:rPr>
        <w:t xml:space="preserve"> A., &amp; Sieber, S. (2019</w:t>
      </w:r>
      <w:r w:rsidRPr="0056570B">
        <w:rPr>
          <w:rFonts w:ascii="Times New Roman" w:hAnsi="Times New Roman" w:cs="Times New Roman"/>
          <w:sz w:val="24"/>
          <w:szCs w:val="24"/>
        </w:rPr>
        <w:t xml:space="preserve">). Risk experience and smallholder farmers’ climate change adaptation decision. Climate and Development, 12(4), 385–393. </w:t>
      </w:r>
      <w:hyperlink r:id="rId27" w:history="1">
        <w:r w:rsidRPr="009340F4">
          <w:rPr>
            <w:rStyle w:val="Hyperlink"/>
            <w:rFonts w:ascii="Times New Roman" w:hAnsi="Times New Roman" w:cs="Times New Roman"/>
            <w:sz w:val="24"/>
            <w:szCs w:val="24"/>
          </w:rPr>
          <w:t>https://doi.org/10.1080/17565529.2019.1630351</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Hema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28" w:history="1">
        <w:r w:rsidRPr="00076984">
          <w:rPr>
            <w:rStyle w:val="Hyperlink"/>
            <w:rFonts w:ascii="Times New Roman" w:hAnsi="Times New Roman" w:cs="Times New Roman"/>
            <w:sz w:val="24"/>
            <w:szCs w:val="24"/>
          </w:rPr>
          <w:t>https://doi.org/10.22004/ag.econ.47425</w:t>
        </w:r>
      </w:hyperlink>
    </w:p>
    <w:p w:rsidR="00722CA1" w:rsidRPr="00B1508C" w:rsidRDefault="001905A0" w:rsidP="00B1508C">
      <w:pPr>
        <w:spacing w:line="276" w:lineRule="auto"/>
        <w:ind w:left="720" w:hanging="720"/>
        <w:jc w:val="both"/>
        <w:rPr>
          <w:rFonts w:ascii="Times New Roman" w:hAnsi="Times New Roman" w:cs="Times New Roman"/>
          <w:color w:val="0563C1" w:themeColor="hyperlink"/>
          <w:sz w:val="24"/>
          <w:szCs w:val="24"/>
          <w:u w:val="single"/>
        </w:rPr>
      </w:pPr>
      <w:proofErr w:type="spellStart"/>
      <w:r w:rsidRPr="00AE6DCF">
        <w:rPr>
          <w:rFonts w:ascii="Times New Roman" w:hAnsi="Times New Roman" w:cs="Times New Roman"/>
          <w:sz w:val="24"/>
          <w:szCs w:val="24"/>
        </w:rPr>
        <w:t>Kandiannan</w:t>
      </w:r>
      <w:proofErr w:type="spellEnd"/>
      <w:r>
        <w:rPr>
          <w:rFonts w:ascii="Times New Roman" w:hAnsi="Times New Roman" w:cs="Times New Roman"/>
          <w:sz w:val="24"/>
          <w:szCs w:val="24"/>
        </w:rPr>
        <w:t xml:space="preserve">, K., </w:t>
      </w:r>
      <w:r w:rsidRPr="00AE6DCF">
        <w:rPr>
          <w:rFonts w:ascii="Times New Roman" w:hAnsi="Times New Roman" w:cs="Times New Roman"/>
          <w:sz w:val="24"/>
          <w:szCs w:val="24"/>
        </w:rPr>
        <w:t>Krishnamurthy</w:t>
      </w:r>
      <w:r>
        <w:rPr>
          <w:rFonts w:ascii="Times New Roman" w:hAnsi="Times New Roman" w:cs="Times New Roman"/>
          <w:sz w:val="24"/>
          <w:szCs w:val="24"/>
        </w:rPr>
        <w:t>, K.</w:t>
      </w:r>
      <w:proofErr w:type="gramStart"/>
      <w:r>
        <w:rPr>
          <w:rFonts w:ascii="Times New Roman" w:hAnsi="Times New Roman" w:cs="Times New Roman"/>
          <w:sz w:val="24"/>
          <w:szCs w:val="24"/>
        </w:rPr>
        <w:t>,</w:t>
      </w:r>
      <w:r w:rsidRPr="00AE6DCF">
        <w:rPr>
          <w:rFonts w:ascii="Times New Roman" w:hAnsi="Times New Roman" w:cs="Times New Roman"/>
          <w:sz w:val="24"/>
          <w:szCs w:val="24"/>
        </w:rPr>
        <w:t>&amp;</w:t>
      </w:r>
      <w:proofErr w:type="gramEnd"/>
      <w:r w:rsidRPr="00AE6DCF">
        <w:rPr>
          <w:rFonts w:ascii="Times New Roman" w:hAnsi="Times New Roman" w:cs="Times New Roman"/>
          <w:sz w:val="24"/>
          <w:szCs w:val="24"/>
        </w:rPr>
        <w:t xml:space="preserve"> Gowda, S. &amp; Muthuswamy, Anandaraj. </w:t>
      </w:r>
      <w:proofErr w:type="gramStart"/>
      <w:r w:rsidRPr="00AE6DCF">
        <w:rPr>
          <w:rFonts w:ascii="Times New Roman" w:hAnsi="Times New Roman" w:cs="Times New Roman"/>
          <w:sz w:val="24"/>
          <w:szCs w:val="24"/>
        </w:rPr>
        <w:t xml:space="preserve">(2014). </w:t>
      </w:r>
      <w:r w:rsidR="0042581C" w:rsidRPr="00AE6DCF">
        <w:rPr>
          <w:rFonts w:ascii="Times New Roman" w:hAnsi="Times New Roman" w:cs="Times New Roman"/>
          <w:sz w:val="24"/>
          <w:szCs w:val="24"/>
        </w:rPr>
        <w:t xml:space="preserve">Climate </w:t>
      </w:r>
      <w:r w:rsidR="0042581C">
        <w:rPr>
          <w:rFonts w:ascii="Times New Roman" w:hAnsi="Times New Roman" w:cs="Times New Roman"/>
          <w:sz w:val="24"/>
          <w:szCs w:val="24"/>
        </w:rPr>
        <w:t>C</w:t>
      </w:r>
      <w:r w:rsidR="0042581C" w:rsidRPr="00AE6DCF">
        <w:rPr>
          <w:rFonts w:ascii="Times New Roman" w:hAnsi="Times New Roman" w:cs="Times New Roman"/>
          <w:sz w:val="24"/>
          <w:szCs w:val="24"/>
        </w:rPr>
        <w:t xml:space="preserve">hange and </w:t>
      </w:r>
      <w:r w:rsidR="0042581C">
        <w:rPr>
          <w:rFonts w:ascii="Times New Roman" w:hAnsi="Times New Roman" w:cs="Times New Roman"/>
          <w:sz w:val="24"/>
          <w:szCs w:val="24"/>
        </w:rPr>
        <w:t>B</w:t>
      </w:r>
      <w:r w:rsidR="0042581C" w:rsidRPr="00AE6DCF">
        <w:rPr>
          <w:rFonts w:ascii="Times New Roman" w:hAnsi="Times New Roman" w:cs="Times New Roman"/>
          <w:sz w:val="24"/>
          <w:szCs w:val="24"/>
        </w:rPr>
        <w:t xml:space="preserve">lack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 xml:space="preserve">epper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roduction</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 </w:t>
      </w:r>
      <w:proofErr w:type="gramStart"/>
      <w:r w:rsidRPr="00AE6DCF">
        <w:rPr>
          <w:rFonts w:ascii="Times New Roman" w:hAnsi="Times New Roman" w:cs="Times New Roman"/>
          <w:sz w:val="24"/>
          <w:szCs w:val="24"/>
        </w:rPr>
        <w:t>Indian Journal of Arecanut, Spices and Medicinal Plants.</w:t>
      </w:r>
      <w:proofErr w:type="gramEnd"/>
      <w:r w:rsidRPr="00AE6DCF">
        <w:rPr>
          <w:rFonts w:ascii="Times New Roman" w:hAnsi="Times New Roman" w:cs="Times New Roman"/>
          <w:sz w:val="24"/>
          <w:szCs w:val="24"/>
        </w:rPr>
        <w:t xml:space="preserve"> 16. 31-3</w:t>
      </w:r>
      <w:r w:rsidR="0042581C">
        <w:rPr>
          <w:rFonts w:ascii="Times New Roman" w:hAnsi="Times New Roman" w:cs="Times New Roman"/>
          <w:sz w:val="24"/>
          <w:szCs w:val="24"/>
        </w:rPr>
        <w:t>7</w:t>
      </w:r>
      <w:r w:rsidR="00211152">
        <w:fldChar w:fldCharType="begin"/>
      </w:r>
      <w:r>
        <w:instrText xml:space="preserve"> ADDIN ZOTERO_BIBL {"uncited":[],"omitted":[],"custom":[]} CSL_BIBLIOGRAPHY </w:instrText>
      </w:r>
      <w:r w:rsidR="00211152">
        <w:fldChar w:fldCharType="separate"/>
      </w:r>
    </w:p>
    <w:p w:rsidR="001905A0" w:rsidRDefault="00211152" w:rsidP="001905A0">
      <w:pPr>
        <w:spacing w:line="276" w:lineRule="auto"/>
        <w:ind w:left="720" w:hanging="720"/>
        <w:jc w:val="both"/>
        <w:rPr>
          <w:rFonts w:ascii="Times New Roman" w:hAnsi="Times New Roman" w:cs="Times New Roman"/>
          <w:sz w:val="24"/>
          <w:szCs w:val="24"/>
        </w:rPr>
      </w:pPr>
      <w:r>
        <w:fldChar w:fldCharType="end"/>
      </w:r>
    </w:p>
    <w:p w:rsidR="001905A0" w:rsidRPr="00076984" w:rsidRDefault="001905A0" w:rsidP="001905A0">
      <w:pPr>
        <w:spacing w:line="276" w:lineRule="auto"/>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lastRenderedPageBreak/>
        <w:t>Lancsar</w:t>
      </w:r>
      <w:proofErr w:type="spellEnd"/>
      <w:r w:rsidRPr="00076984">
        <w:rPr>
          <w:rFonts w:ascii="Times New Roman" w:hAnsi="Times New Roman" w:cs="Times New Roman"/>
          <w:sz w:val="24"/>
          <w:szCs w:val="24"/>
        </w:rPr>
        <w:t>, E., Louviere, J., Donaldson, C., Currie, G., &amp; Burgess, L. (2013).</w:t>
      </w:r>
      <w:proofErr w:type="gramEnd"/>
      <w:r w:rsidRPr="00076984">
        <w:rPr>
          <w:rFonts w:ascii="Times New Roman" w:hAnsi="Times New Roman" w:cs="Times New Roman"/>
          <w:sz w:val="24"/>
          <w:szCs w:val="24"/>
        </w:rPr>
        <w:t xml:space="preserve">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29" w:history="1">
        <w:r w:rsidRPr="00270C2B">
          <w:rPr>
            <w:rStyle w:val="Hyperlink"/>
            <w:rFonts w:ascii="Times New Roman" w:hAnsi="Times New Roman" w:cs="Times New Roman"/>
            <w:sz w:val="24"/>
            <w:szCs w:val="24"/>
          </w:rPr>
          <w:t>https://doi.org/10.1016/j.socscimed.2012.10.007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Lee, J. A., Soutar, G. N., &amp; Louviere, J. (2007).</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Measuring Values Using Best-Worst Scaling: The Lov Example.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30" w:history="1">
        <w:r w:rsidRPr="00270C2B">
          <w:rPr>
            <w:rStyle w:val="Hyperlink"/>
            <w:rFonts w:ascii="Times New Roman" w:hAnsi="Times New Roman" w:cs="Times New Roman"/>
            <w:sz w:val="24"/>
            <w:szCs w:val="24"/>
          </w:rPr>
          <w:t>https://doi.org/10.1002/mar.20197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Louviere, J. J., Flynn, T. N., &amp; Marley, A. A. J. (2015).</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Pr>
          <w:rFonts w:ascii="Times New Roman" w:hAnsi="Times New Roman" w:cs="Times New Roman"/>
          <w:sz w:val="24"/>
          <w:szCs w:val="24"/>
        </w:rPr>
        <w:t xml:space="preserve"> UK: Cambridge University Press.</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March, J. G. (1978).</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Bounded rationality, ambiguity, and the engineering of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Marley, A. A. J., &amp;</w:t>
      </w:r>
      <w:r w:rsidR="00E85DD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D. (2012).</w:t>
      </w:r>
      <w:proofErr w:type="gramEnd"/>
      <w:r w:rsidRPr="00076984">
        <w:rPr>
          <w:rFonts w:ascii="Times New Roman" w:hAnsi="Times New Roman" w:cs="Times New Roman"/>
          <w:sz w:val="24"/>
          <w:szCs w:val="24"/>
        </w:rPr>
        <w:t xml:space="preserve"> Models of Best-Worst Choice and Ranking </w:t>
      </w:r>
      <w:proofErr w:type="gramStart"/>
      <w:r w:rsidRPr="00076984">
        <w:rPr>
          <w:rFonts w:ascii="Times New Roman" w:hAnsi="Times New Roman" w:cs="Times New Roman"/>
          <w:sz w:val="24"/>
          <w:szCs w:val="24"/>
        </w:rPr>
        <w:t>Among</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31" w:history="1">
        <w:r w:rsidRPr="00270C2B">
          <w:rPr>
            <w:rStyle w:val="Hyperlink"/>
            <w:rFonts w:ascii="Times New Roman" w:hAnsi="Times New Roman" w:cs="Times New Roman"/>
            <w:sz w:val="24"/>
            <w:szCs w:val="24"/>
          </w:rPr>
          <w:t>https://doi.org/10.1016/j.jmp.2011.09.001</w:t>
        </w:r>
      </w:hyperlink>
    </w:p>
    <w:p w:rsidR="001905A0" w:rsidRDefault="001905A0" w:rsidP="001905A0">
      <w:pPr>
        <w:ind w:left="720" w:hanging="720"/>
        <w:jc w:val="both"/>
        <w:rPr>
          <w:rFonts w:ascii="Times New Roman" w:hAnsi="Times New Roman" w:cs="Times New Roman"/>
          <w:sz w:val="24"/>
          <w:szCs w:val="24"/>
        </w:rPr>
      </w:pPr>
      <w:r w:rsidRPr="00F93C61">
        <w:rPr>
          <w:rFonts w:ascii="Times New Roman" w:hAnsi="Times New Roman" w:cs="Times New Roman"/>
          <w:sz w:val="24"/>
          <w:szCs w:val="24"/>
        </w:rPr>
        <w:t>Meisch, S. P., Bremer, S., Young, M. T., &amp;</w:t>
      </w:r>
      <w:proofErr w:type="spellStart"/>
      <w:r>
        <w:rPr>
          <w:rFonts w:ascii="Times New Roman" w:hAnsi="Times New Roman" w:cs="Times New Roman"/>
          <w:sz w:val="24"/>
          <w:szCs w:val="24"/>
        </w:rPr>
        <w:t>Funtowicz</w:t>
      </w:r>
      <w:proofErr w:type="spellEnd"/>
      <w:r>
        <w:rPr>
          <w:rFonts w:ascii="Times New Roman" w:hAnsi="Times New Roman" w:cs="Times New Roman"/>
          <w:sz w:val="24"/>
          <w:szCs w:val="24"/>
        </w:rPr>
        <w:t>, S. O. (2022</w:t>
      </w:r>
      <w:r w:rsidRPr="00F93C61">
        <w:rPr>
          <w:rFonts w:ascii="Times New Roman" w:hAnsi="Times New Roman" w:cs="Times New Roman"/>
          <w:sz w:val="24"/>
          <w:szCs w:val="24"/>
        </w:rPr>
        <w:t xml:space="preserve">). Extended Peer Communities: Appraising the contributions of tacit knowledges in climate change decision-making. </w:t>
      </w:r>
      <w:proofErr w:type="gramStart"/>
      <w:r w:rsidRPr="00F93C61">
        <w:rPr>
          <w:rFonts w:ascii="Times New Roman" w:hAnsi="Times New Roman" w:cs="Times New Roman"/>
          <w:sz w:val="24"/>
          <w:szCs w:val="24"/>
        </w:rPr>
        <w:t>Futures, 135, 102868.</w:t>
      </w:r>
      <w:proofErr w:type="gramEnd"/>
      <w:r w:rsidRPr="00F93C61">
        <w:rPr>
          <w:rFonts w:ascii="Times New Roman" w:hAnsi="Times New Roman" w:cs="Times New Roman"/>
          <w:sz w:val="24"/>
          <w:szCs w:val="24"/>
        </w:rPr>
        <w:t xml:space="preserve"> </w:t>
      </w:r>
      <w:hyperlink r:id="rId32" w:history="1">
        <w:r w:rsidRPr="009340F4">
          <w:rPr>
            <w:rStyle w:val="Hyperlink"/>
            <w:rFonts w:ascii="Times New Roman" w:hAnsi="Times New Roman" w:cs="Times New Roman"/>
            <w:sz w:val="24"/>
            <w:szCs w:val="24"/>
          </w:rPr>
          <w:t>https://doi.org/10.1016/j.futures.2021.102868</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Mueller, S., Francis, I. L., &amp;</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L. (2009).</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Comparison of Best–Worst and Hedonic Scaling for the Measurement of Consumer Wine Preferences.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3" w:history="1">
        <w:r w:rsidRPr="00270C2B">
          <w:rPr>
            <w:rStyle w:val="Hyperlink"/>
            <w:rFonts w:ascii="Times New Roman" w:hAnsi="Times New Roman" w:cs="Times New Roman"/>
            <w:sz w:val="24"/>
            <w:szCs w:val="24"/>
          </w:rPr>
          <w:t>https://doi.org/10.1111/j.1755-0238.2009.00049.x</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t>
      </w:r>
      <w:proofErr w:type="gramStart"/>
      <w:r w:rsidRPr="00076984">
        <w:rPr>
          <w:rFonts w:ascii="Times New Roman" w:hAnsi="Times New Roman" w:cs="Times New Roman"/>
          <w:sz w:val="24"/>
          <w:szCs w:val="24"/>
        </w:rPr>
        <w:t>Winter</w:t>
      </w:r>
      <w:proofErr w:type="gramEnd"/>
      <w:r w:rsidRPr="00076984">
        <w:rPr>
          <w:rFonts w:ascii="Times New Roman" w:hAnsi="Times New Roman" w:cs="Times New Roman"/>
          <w:sz w:val="24"/>
          <w:szCs w:val="24"/>
        </w:rPr>
        <w:t xml:space="preserve">, S. G. (1982). </w:t>
      </w:r>
      <w:proofErr w:type="gramStart"/>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Belknap press of Harvard University Press.</w:t>
      </w:r>
      <w:proofErr w:type="gramEnd"/>
    </w:p>
    <w:p w:rsidR="001905A0" w:rsidRDefault="001905A0" w:rsidP="001905A0">
      <w:pPr>
        <w:ind w:left="720" w:hanging="720"/>
        <w:jc w:val="both"/>
        <w:rPr>
          <w:rFonts w:ascii="Times New Roman" w:hAnsi="Times New Roman" w:cs="Times New Roman"/>
          <w:sz w:val="24"/>
          <w:szCs w:val="24"/>
        </w:rPr>
      </w:pPr>
      <w:proofErr w:type="gramStart"/>
      <w:r w:rsidRPr="003E3F22">
        <w:rPr>
          <w:rFonts w:ascii="Times New Roman" w:hAnsi="Times New Roman" w:cs="Times New Roman"/>
          <w:sz w:val="24"/>
          <w:szCs w:val="24"/>
        </w:rPr>
        <w:t xml:space="preserve">Newsham, A., Naess, L. O., Mutabazi,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T. (2023).</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Precarious prospects?</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Exploring climate resilience of agricultural commercialization pathways in Tanzania and Zimbabwe.</w:t>
      </w:r>
      <w:proofErr w:type="gramEnd"/>
      <w:r w:rsidRPr="003E3F22">
        <w:rPr>
          <w:rFonts w:ascii="Times New Roman" w:hAnsi="Times New Roman" w:cs="Times New Roman"/>
          <w:sz w:val="24"/>
          <w:szCs w:val="24"/>
        </w:rPr>
        <w:t xml:space="preserv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4" w:history="1">
        <w:r w:rsidRPr="004E40D7">
          <w:rPr>
            <w:rStyle w:val="Hyperlink"/>
            <w:rFonts w:ascii="Times New Roman" w:hAnsi="Times New Roman" w:cs="Times New Roman"/>
            <w:sz w:val="24"/>
            <w:szCs w:val="24"/>
          </w:rPr>
          <w:t>https://doi.org/10.1080/17565529.2023.2229775</w:t>
        </w:r>
      </w:hyperlink>
    </w:p>
    <w:p w:rsidR="001905A0" w:rsidRDefault="001905A0" w:rsidP="001905A0">
      <w:pPr>
        <w:ind w:left="720" w:hanging="720"/>
        <w:jc w:val="both"/>
        <w:rPr>
          <w:rFonts w:ascii="Times New Roman" w:hAnsi="Times New Roman" w:cs="Times New Roman"/>
          <w:sz w:val="24"/>
          <w:szCs w:val="24"/>
        </w:rPr>
      </w:pPr>
      <w:proofErr w:type="gramStart"/>
      <w:r w:rsidRPr="00D1435D">
        <w:rPr>
          <w:rFonts w:ascii="Times New Roman" w:hAnsi="Times New Roman" w:cs="Times New Roman"/>
          <w:sz w:val="24"/>
          <w:szCs w:val="24"/>
        </w:rPr>
        <w:t>Ola, O., &amp; Menap</w:t>
      </w:r>
      <w:r w:rsidR="006201BE">
        <w:rPr>
          <w:rFonts w:ascii="Times New Roman" w:hAnsi="Times New Roman" w:cs="Times New Roman"/>
          <w:sz w:val="24"/>
          <w:szCs w:val="24"/>
        </w:rPr>
        <w:t>ace, L. (2020</w:t>
      </w:r>
      <w:r w:rsidRPr="00D1435D">
        <w:rPr>
          <w:rFonts w:ascii="Times New Roman" w:hAnsi="Times New Roman" w:cs="Times New Roman"/>
          <w:sz w:val="24"/>
          <w:szCs w:val="24"/>
        </w:rPr>
        <w:t>).</w:t>
      </w:r>
      <w:proofErr w:type="gramEnd"/>
      <w:r w:rsidRPr="00D1435D">
        <w:rPr>
          <w:rFonts w:ascii="Times New Roman" w:hAnsi="Times New Roman" w:cs="Times New Roman"/>
          <w:sz w:val="24"/>
          <w:szCs w:val="24"/>
        </w:rPr>
        <w:t xml:space="preserve"> Smallholders’ perceptions and preferences for market </w:t>
      </w:r>
      <w:proofErr w:type="gramStart"/>
      <w:r w:rsidRPr="00D1435D">
        <w:rPr>
          <w:rFonts w:ascii="Times New Roman" w:hAnsi="Times New Roman" w:cs="Times New Roman"/>
          <w:sz w:val="24"/>
          <w:szCs w:val="24"/>
        </w:rPr>
        <w:t>attributes</w:t>
      </w:r>
      <w:proofErr w:type="gramEnd"/>
      <w:r w:rsidRPr="00D1435D">
        <w:rPr>
          <w:rFonts w:ascii="Times New Roman" w:hAnsi="Times New Roman" w:cs="Times New Roman"/>
          <w:sz w:val="24"/>
          <w:szCs w:val="24"/>
        </w:rPr>
        <w:t xml:space="preserve"> promoting sustained participation in modern agricultural value chains. </w:t>
      </w:r>
      <w:proofErr w:type="gramStart"/>
      <w:r w:rsidRPr="00D1435D">
        <w:rPr>
          <w:rFonts w:ascii="Times New Roman" w:hAnsi="Times New Roman" w:cs="Times New Roman"/>
          <w:sz w:val="24"/>
          <w:szCs w:val="24"/>
        </w:rPr>
        <w:t>Food Policy, 97, 101962.</w:t>
      </w:r>
      <w:proofErr w:type="gramEnd"/>
      <w:r w:rsidRPr="00D1435D">
        <w:rPr>
          <w:rFonts w:ascii="Times New Roman" w:hAnsi="Times New Roman" w:cs="Times New Roman"/>
          <w:sz w:val="24"/>
          <w:szCs w:val="24"/>
        </w:rPr>
        <w:t xml:space="preserve"> </w:t>
      </w:r>
      <w:hyperlink r:id="rId35" w:history="1">
        <w:r w:rsidRPr="009340F4">
          <w:rPr>
            <w:rStyle w:val="Hyperlink"/>
            <w:rFonts w:ascii="Times New Roman" w:hAnsi="Times New Roman" w:cs="Times New Roman"/>
            <w:sz w:val="24"/>
            <w:szCs w:val="24"/>
          </w:rPr>
          <w:t>https://doi.org/10.1016/j.foodpol.2020.101962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Phiri,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F., &amp;</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G. (2024).</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An overview of spice production, promotion, and economic benefits in Malawi.</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22(1), 1542-7528.</w:t>
      </w:r>
      <w:proofErr w:type="gramEnd"/>
      <w:r w:rsidRPr="00076984">
        <w:rPr>
          <w:rFonts w:ascii="Times New Roman" w:hAnsi="Times New Roman" w:cs="Times New Roman"/>
          <w:sz w:val="24"/>
          <w:szCs w:val="24"/>
        </w:rPr>
        <w:t xml:space="preserve"> </w:t>
      </w:r>
      <w:hyperlink r:id="rId36" w:history="1">
        <w:r w:rsidRPr="00270C2B">
          <w:rPr>
            <w:rStyle w:val="Hyperlink"/>
            <w:rFonts w:ascii="Times New Roman" w:hAnsi="Times New Roman" w:cs="Times New Roman"/>
            <w:sz w:val="24"/>
            <w:szCs w:val="24"/>
          </w:rPr>
          <w:t>https://doi.org/10.1080/15427528.2024.2336265</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R Core Team.</w:t>
      </w:r>
      <w:proofErr w:type="gramEnd"/>
      <w:r w:rsidRPr="00076984">
        <w:rPr>
          <w:rFonts w:ascii="Times New Roman" w:hAnsi="Times New Roman" w:cs="Times New Roman"/>
          <w:sz w:val="24"/>
          <w:szCs w:val="24"/>
        </w:rPr>
        <w:t xml:space="preserve">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Foundation for Statistical Computing, Vienna, Austria.</w:t>
      </w:r>
      <w:proofErr w:type="gramEnd"/>
      <w:r w:rsidRPr="00076984">
        <w:rPr>
          <w:rFonts w:ascii="Times New Roman" w:hAnsi="Times New Roman" w:cs="Times New Roman"/>
          <w:sz w:val="24"/>
          <w:szCs w:val="24"/>
        </w:rPr>
        <w:t xml:space="preserve"> https://www.R-project.org/</w:t>
      </w:r>
    </w:p>
    <w:p w:rsidR="001905A0" w:rsidRDefault="001905A0" w:rsidP="001905A0">
      <w:pPr>
        <w:ind w:left="720" w:hanging="720"/>
        <w:jc w:val="both"/>
        <w:rPr>
          <w:rFonts w:ascii="Times New Roman" w:hAnsi="Times New Roman" w:cs="Times New Roman"/>
          <w:sz w:val="24"/>
          <w:szCs w:val="24"/>
        </w:rPr>
      </w:pPr>
      <w:proofErr w:type="gramStart"/>
      <w:r w:rsidRPr="009E36F2">
        <w:rPr>
          <w:rFonts w:ascii="Times New Roman" w:hAnsi="Times New Roman" w:cs="Times New Roman"/>
          <w:sz w:val="24"/>
          <w:szCs w:val="24"/>
        </w:rPr>
        <w:t>Ravindran, P. N., &amp;</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Pr>
          <w:rFonts w:ascii="Times New Roman" w:hAnsi="Times New Roman" w:cs="Times New Roman"/>
          <w:sz w:val="24"/>
          <w:szCs w:val="24"/>
        </w:rPr>
        <w:t xml:space="preserve"> J. A. (2012).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 pepper.</w:t>
      </w:r>
      <w:proofErr w:type="gramEnd"/>
      <w:r>
        <w:rPr>
          <w:rFonts w:ascii="Times New Roman" w:hAnsi="Times New Roman" w:cs="Times New Roman"/>
          <w:sz w:val="24"/>
          <w:szCs w:val="24"/>
        </w:rPr>
        <w:t xml:space="preserve"> </w:t>
      </w:r>
      <w:r w:rsidRPr="00841CC7">
        <w:rPr>
          <w:rFonts w:ascii="Times New Roman" w:hAnsi="Times New Roman" w:cs="Times New Roman"/>
          <w:i/>
          <w:sz w:val="24"/>
          <w:szCs w:val="24"/>
        </w:rPr>
        <w:t>Handbook of Herbs and Spices</w:t>
      </w:r>
      <w:r>
        <w:rPr>
          <w:rFonts w:ascii="Times New Roman" w:hAnsi="Times New Roman" w:cs="Times New Roman"/>
          <w:sz w:val="24"/>
          <w:szCs w:val="24"/>
        </w:rPr>
        <w:t>, 86–115</w:t>
      </w:r>
      <w:r w:rsidRPr="009E36F2">
        <w:rPr>
          <w:rFonts w:ascii="Times New Roman" w:hAnsi="Times New Roman" w:cs="Times New Roman"/>
          <w:sz w:val="24"/>
          <w:szCs w:val="24"/>
        </w:rPr>
        <w:t xml:space="preserve">. </w:t>
      </w:r>
      <w:hyperlink r:id="rId37" w:history="1">
        <w:r w:rsidRPr="007E30D3">
          <w:rPr>
            <w:rStyle w:val="Hyperlink"/>
            <w:rFonts w:ascii="Times New Roman" w:hAnsi="Times New Roman" w:cs="Times New Roman"/>
            <w:sz w:val="24"/>
            <w:szCs w:val="24"/>
          </w:rPr>
          <w:t>https://doi.org/10.1533/9780857095671.86</w:t>
        </w:r>
      </w:hyperlink>
    </w:p>
    <w:p w:rsidR="001905A0" w:rsidRDefault="001905A0" w:rsidP="001905A0">
      <w:pPr>
        <w:ind w:left="720" w:hanging="720"/>
        <w:jc w:val="both"/>
        <w:rPr>
          <w:rFonts w:ascii="Times New Roman" w:hAnsi="Times New Roman" w:cs="Times New Roman"/>
          <w:sz w:val="24"/>
          <w:szCs w:val="24"/>
        </w:rPr>
      </w:pPr>
      <w:r w:rsidRPr="005F0215">
        <w:rPr>
          <w:rFonts w:ascii="Times New Roman" w:hAnsi="Times New Roman" w:cs="Times New Roman"/>
          <w:sz w:val="24"/>
          <w:szCs w:val="24"/>
        </w:rPr>
        <w:t>Rogers, R. W. (1983). Cognitive and physiological processes in fear appeals and attitude change: A revised theory of protection motivation. In Social Psychology: A sourcebook, edited by Cacioppo, J. R., Petty, R. E., pp. 153-176, Guilford, 1983.</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lastRenderedPageBreak/>
        <w:t>Schneider, R. C., Zaval, L., &amp; Markowitz, E. M. (2021).</w:t>
      </w:r>
      <w:proofErr w:type="gramEnd"/>
      <w:r w:rsidRPr="00076984">
        <w:rPr>
          <w:rFonts w:ascii="Times New Roman" w:hAnsi="Times New Roman" w:cs="Times New Roman"/>
          <w:sz w:val="24"/>
          <w:szCs w:val="24"/>
        </w:rPr>
        <w:t xml:space="preserve">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38" w:history="1">
        <w:r w:rsidRPr="00270C2B">
          <w:rPr>
            <w:rStyle w:val="Hyperlink"/>
            <w:rFonts w:ascii="Times New Roman" w:hAnsi="Times New Roman" w:cs="Times New Roman"/>
            <w:sz w:val="24"/>
            <w:szCs w:val="24"/>
          </w:rPr>
          <w:t>https://doi.org/10.1016/j.cobeha.2021.04.009</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Sailer, M. O. (2022).</w:t>
      </w:r>
      <w:proofErr w:type="gramEnd"/>
      <w:r w:rsidRPr="00076984">
        <w:rPr>
          <w:rFonts w:ascii="Times New Roman" w:hAnsi="Times New Roman" w:cs="Times New Roman"/>
          <w:sz w:val="24"/>
          <w:szCs w:val="24"/>
        </w:rPr>
        <w:t xml:space="preserve"> </w:t>
      </w:r>
      <w:proofErr w:type="spellStart"/>
      <w:proofErr w:type="gramStart"/>
      <w:r w:rsidRPr="00076984">
        <w:rPr>
          <w:rFonts w:ascii="Times New Roman" w:hAnsi="Times New Roman" w:cs="Times New Roman"/>
          <w:i/>
          <w:sz w:val="24"/>
          <w:szCs w:val="24"/>
        </w:rPr>
        <w:t>crossdes</w:t>
      </w:r>
      <w:proofErr w:type="spellEnd"/>
      <w:proofErr w:type="gram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package version 1.1-2.</w:t>
      </w:r>
      <w:proofErr w:type="gramEnd"/>
      <w:r w:rsidRPr="00076984">
        <w:rPr>
          <w:rFonts w:ascii="Times New Roman" w:hAnsi="Times New Roman" w:cs="Times New Roman"/>
          <w:sz w:val="24"/>
          <w:szCs w:val="24"/>
        </w:rPr>
        <w:t xml:space="preserve"> </w:t>
      </w:r>
      <w:hyperlink r:id="rId39" w:history="1">
        <w:r w:rsidRPr="009340F4">
          <w:rPr>
            <w:rStyle w:val="Hyperlink"/>
            <w:rFonts w:ascii="Times New Roman" w:hAnsi="Times New Roman" w:cs="Times New Roman"/>
            <w:sz w:val="24"/>
            <w:szCs w:val="24"/>
          </w:rPr>
          <w:t>https://CRAN.R-project.org/package=crossdes</w:t>
        </w:r>
      </w:hyperlink>
    </w:p>
    <w:p w:rsidR="001905A0" w:rsidRDefault="001905A0" w:rsidP="001905A0">
      <w:pPr>
        <w:ind w:left="720" w:hanging="720"/>
        <w:jc w:val="both"/>
        <w:rPr>
          <w:rFonts w:ascii="Times New Roman" w:hAnsi="Times New Roman" w:cs="Times New Roman"/>
          <w:sz w:val="24"/>
          <w:szCs w:val="24"/>
        </w:rPr>
      </w:pPr>
      <w:proofErr w:type="gramStart"/>
      <w:r w:rsidRPr="00802DA1">
        <w:rPr>
          <w:rFonts w:ascii="Times New Roman" w:hAnsi="Times New Roman" w:cs="Times New Roman"/>
          <w:sz w:val="24"/>
          <w:szCs w:val="24"/>
        </w:rPr>
        <w:t>Sgroi, F., &amp; Sciancalepore, V. D. (2022).</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Dynamics of structural change in agriculture, transaction cost theory and market efficiency: The case of cultivation contracts between agricultural enterprises and the food industry.</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Journal of Agriculture and Food Research, 10, 100396.</w:t>
      </w:r>
      <w:proofErr w:type="gramEnd"/>
      <w:r w:rsidRPr="00802DA1">
        <w:rPr>
          <w:rFonts w:ascii="Times New Roman" w:hAnsi="Times New Roman" w:cs="Times New Roman"/>
          <w:sz w:val="24"/>
          <w:szCs w:val="24"/>
        </w:rPr>
        <w:t xml:space="preserve"> </w:t>
      </w:r>
      <w:hyperlink r:id="rId40" w:history="1">
        <w:r w:rsidRPr="009340F4">
          <w:rPr>
            <w:rStyle w:val="Hyperlink"/>
            <w:rFonts w:ascii="Times New Roman" w:hAnsi="Times New Roman" w:cs="Times New Roman"/>
            <w:sz w:val="24"/>
            <w:szCs w:val="24"/>
          </w:rPr>
          <w:t>https://doi.org/10.1016/j.jafr.2022.100396</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Shittu, A. M., Kehinde,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A. G., &amp; Ojo, O. T. (2021).</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Willingness to accept incentives for a shift to climate-smart agriculture among smallholder farmers in Nigeria.</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41" w:history="1">
        <w:r w:rsidRPr="00270C2B">
          <w:rPr>
            <w:rStyle w:val="Hyperlink"/>
            <w:rFonts w:ascii="Times New Roman" w:hAnsi="Times New Roman" w:cs="Times New Roman"/>
            <w:sz w:val="24"/>
            <w:szCs w:val="24"/>
          </w:rPr>
          <w:t>https://doi.org/10.1017/aae.2021.19</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w:t>
      </w:r>
      <w:proofErr w:type="gramStart"/>
      <w:r w:rsidRPr="00076984">
        <w:rPr>
          <w:rFonts w:ascii="Times New Roman" w:hAnsi="Times New Roman" w:cs="Times New Roman"/>
          <w:sz w:val="24"/>
          <w:szCs w:val="24"/>
        </w:rPr>
        <w:t xml:space="preserve">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42" w:history="1">
        <w:r w:rsidRPr="00270C2B">
          <w:rPr>
            <w:rStyle w:val="Hyperlink"/>
            <w:rFonts w:ascii="Times New Roman" w:hAnsi="Times New Roman" w:cs="Times New Roman"/>
            <w:sz w:val="24"/>
            <w:szCs w:val="24"/>
          </w:rPr>
          <w:t>https://doi.org/10.2307/1884852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Smit</w:t>
      </w:r>
      <w:r>
        <w:rPr>
          <w:rFonts w:ascii="Times New Roman" w:hAnsi="Times New Roman" w:cs="Times New Roman"/>
          <w:sz w:val="24"/>
          <w:szCs w:val="24"/>
        </w:rPr>
        <w:t>h</w:t>
      </w:r>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hyperlink r:id="rId43" w:history="1">
        <w:r w:rsidRPr="00270C2B">
          <w:rPr>
            <w:rStyle w:val="Hyperlink"/>
            <w:rFonts w:ascii="Times New Roman" w:hAnsi="Times New Roman" w:cs="Times New Roman"/>
            <w:sz w:val="24"/>
            <w:szCs w:val="24"/>
          </w:rPr>
          <w:t>https://doi.org/10.1023/A:1009652531101</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T. (2023).</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 Package for Survival Analysis in R. R package version 3.5-7.</w:t>
      </w:r>
      <w:proofErr w:type="gramEnd"/>
      <w:r w:rsidRPr="00076984">
        <w:rPr>
          <w:rFonts w:ascii="Times New Roman" w:hAnsi="Times New Roman" w:cs="Times New Roman"/>
          <w:sz w:val="24"/>
          <w:szCs w:val="24"/>
        </w:rPr>
        <w:t xml:space="preserve"> </w:t>
      </w:r>
      <w:hyperlink r:id="rId44" w:history="1">
        <w:r w:rsidRPr="00270C2B">
          <w:rPr>
            <w:rStyle w:val="Hyperlink"/>
            <w:rFonts w:ascii="Times New Roman" w:hAnsi="Times New Roman" w:cs="Times New Roman"/>
            <w:sz w:val="24"/>
            <w:szCs w:val="24"/>
          </w:rPr>
          <w:t>https://CRAN.R-project.org/package=survival</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Tversky, A., &amp; Kahneman, D. (1974).</w:t>
      </w:r>
      <w:proofErr w:type="gramEnd"/>
      <w:r w:rsidRPr="00076984">
        <w:rPr>
          <w:rFonts w:ascii="Times New Roman" w:hAnsi="Times New Roman" w:cs="Times New Roman"/>
          <w:sz w:val="24"/>
          <w:szCs w:val="24"/>
        </w:rPr>
        <w:t xml:space="preserve"> Judgment </w:t>
      </w:r>
      <w:proofErr w:type="gramStart"/>
      <w:r w:rsidRPr="00076984">
        <w:rPr>
          <w:rFonts w:ascii="Times New Roman" w:hAnsi="Times New Roman" w:cs="Times New Roman"/>
          <w:sz w:val="24"/>
          <w:szCs w:val="24"/>
        </w:rPr>
        <w:t>Under</w:t>
      </w:r>
      <w:proofErr w:type="gramEnd"/>
      <w:r w:rsidRPr="00076984">
        <w:rPr>
          <w:rFonts w:ascii="Times New Roman" w:hAnsi="Times New Roman" w:cs="Times New Roman"/>
          <w:sz w:val="24"/>
          <w:szCs w:val="24"/>
        </w:rPr>
        <w:t xml:space="preserve">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45" w:history="1">
        <w:r w:rsidRPr="00270C2B">
          <w:rPr>
            <w:rStyle w:val="Hyperlink"/>
            <w:rFonts w:ascii="Times New Roman" w:hAnsi="Times New Roman" w:cs="Times New Roman"/>
            <w:sz w:val="24"/>
            <w:szCs w:val="24"/>
          </w:rPr>
          <w:t>https://doi.org/10.1126/science.185.4157.1124</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Varghese, R., &amp; Ray, J. G. (2024).</w:t>
      </w:r>
      <w:proofErr w:type="gramEnd"/>
      <w:r w:rsidRPr="00076984">
        <w:rPr>
          <w:rFonts w:ascii="Times New Roman" w:hAnsi="Times New Roman" w:cs="Times New Roman"/>
          <w:sz w:val="24"/>
          <w:szCs w:val="24"/>
        </w:rPr>
        <w:t xml:space="preserve"> Sustainability of black pepper production: A critical analysis of physicochemical soil parameters concerning variables in pepper fields of South India.</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Ecological </w:t>
      </w:r>
      <w:proofErr w:type="spellStart"/>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proofErr w:type="gramEnd"/>
      <w:r w:rsidR="00211152">
        <w:fldChar w:fldCharType="begin"/>
      </w:r>
      <w:r w:rsidR="007D793C">
        <w:instrText>HYPERLINK "https://doi.org/10.1016/j.ecofro.2024.01.005"</w:instrText>
      </w:r>
      <w:r w:rsidR="00211152">
        <w:fldChar w:fldCharType="separate"/>
      </w:r>
      <w:r w:rsidRPr="00270C2B">
        <w:rPr>
          <w:rStyle w:val="Hyperlink"/>
          <w:rFonts w:ascii="Times New Roman" w:hAnsi="Times New Roman" w:cs="Times New Roman"/>
          <w:sz w:val="24"/>
          <w:szCs w:val="24"/>
        </w:rPr>
        <w:t>https</w:t>
      </w:r>
      <w:proofErr w:type="spellEnd"/>
      <w:r w:rsidRPr="00270C2B">
        <w:rPr>
          <w:rStyle w:val="Hyperlink"/>
          <w:rFonts w:ascii="Times New Roman" w:hAnsi="Times New Roman" w:cs="Times New Roman"/>
          <w:sz w:val="24"/>
          <w:szCs w:val="24"/>
        </w:rPr>
        <w:t>://doi.org/10.1016/j.ecofro.2024.01.005</w:t>
      </w:r>
      <w:r w:rsidR="00211152">
        <w:fldChar w:fldCharType="end"/>
      </w:r>
    </w:p>
    <w:p w:rsidR="001905A0" w:rsidRDefault="001905A0" w:rsidP="001905A0">
      <w:pPr>
        <w:ind w:left="720" w:hanging="720"/>
        <w:jc w:val="both"/>
        <w:rPr>
          <w:rFonts w:ascii="Times New Roman" w:hAnsi="Times New Roman" w:cs="Times New Roman"/>
          <w:sz w:val="24"/>
          <w:szCs w:val="24"/>
        </w:rPr>
      </w:pPr>
      <w:proofErr w:type="gramStart"/>
      <w:r w:rsidRPr="009F38BA">
        <w:rPr>
          <w:rFonts w:ascii="Times New Roman" w:hAnsi="Times New Roman" w:cs="Times New Roman"/>
          <w:sz w:val="24"/>
          <w:szCs w:val="24"/>
        </w:rPr>
        <w:t>Wertz-</w:t>
      </w:r>
      <w:proofErr w:type="spellStart"/>
      <w:r w:rsidRPr="009F38BA">
        <w:rPr>
          <w:rFonts w:ascii="Times New Roman" w:hAnsi="Times New Roman" w:cs="Times New Roman"/>
          <w:sz w:val="24"/>
          <w:szCs w:val="24"/>
        </w:rPr>
        <w:t>Kanounnikoff</w:t>
      </w:r>
      <w:proofErr w:type="spellEnd"/>
      <w:r w:rsidRPr="009F38BA">
        <w:rPr>
          <w:rFonts w:ascii="Times New Roman" w:hAnsi="Times New Roman" w:cs="Times New Roman"/>
          <w:sz w:val="24"/>
          <w:szCs w:val="24"/>
        </w:rPr>
        <w:t xml:space="preserve">, S., Locatelli, B., Wunder, </w:t>
      </w:r>
      <w:r>
        <w:rPr>
          <w:rFonts w:ascii="Times New Roman" w:hAnsi="Times New Roman" w:cs="Times New Roman"/>
          <w:sz w:val="24"/>
          <w:szCs w:val="24"/>
        </w:rPr>
        <w:t>S., &amp; Brockhaus, M. (2011</w:t>
      </w:r>
      <w:r w:rsidRPr="009F38BA">
        <w:rPr>
          <w:rFonts w:ascii="Times New Roman" w:hAnsi="Times New Roman" w:cs="Times New Roman"/>
          <w:sz w:val="24"/>
          <w:szCs w:val="24"/>
        </w:rPr>
        <w:t>).</w:t>
      </w:r>
      <w:proofErr w:type="gramEnd"/>
      <w:r w:rsidRPr="009F38BA">
        <w:rPr>
          <w:rFonts w:ascii="Times New Roman" w:hAnsi="Times New Roman" w:cs="Times New Roman"/>
          <w:sz w:val="24"/>
          <w:szCs w:val="24"/>
        </w:rPr>
        <w:t xml:space="preserve"> Ecosystem-based adaptation to climate change: What scope for payments for environmental services? Climate and Development, 3(2), 143–158. </w:t>
      </w:r>
      <w:hyperlink r:id="rId46" w:history="1">
        <w:r w:rsidRPr="009340F4">
          <w:rPr>
            <w:rStyle w:val="Hyperlink"/>
            <w:rFonts w:ascii="Times New Roman" w:hAnsi="Times New Roman" w:cs="Times New Roman"/>
            <w:sz w:val="24"/>
            <w:szCs w:val="24"/>
          </w:rPr>
          <w:t>https://doi.org/10.1080/17565529.2011.582277</w:t>
        </w:r>
      </w:hyperlink>
    </w:p>
    <w:p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7"/>
  <w:proofState w:spelling="clean" w:grammar="clean"/>
  <w:defaultTabStop w:val="720"/>
  <w:characterSpacingControl w:val="doNotCompress"/>
  <w:compat/>
  <w:rsids>
    <w:rsidRoot w:val="00B913AD"/>
    <w:rsid w:val="0005123F"/>
    <w:rsid w:val="00051380"/>
    <w:rsid w:val="00055201"/>
    <w:rsid w:val="00094784"/>
    <w:rsid w:val="00097811"/>
    <w:rsid w:val="000A1F9A"/>
    <w:rsid w:val="000B2F07"/>
    <w:rsid w:val="000D1C7F"/>
    <w:rsid w:val="000E0E5A"/>
    <w:rsid w:val="000E6647"/>
    <w:rsid w:val="000F2A44"/>
    <w:rsid w:val="0013754C"/>
    <w:rsid w:val="001462A5"/>
    <w:rsid w:val="00155D78"/>
    <w:rsid w:val="001620C6"/>
    <w:rsid w:val="00172348"/>
    <w:rsid w:val="001905A0"/>
    <w:rsid w:val="00195897"/>
    <w:rsid w:val="00197315"/>
    <w:rsid w:val="001A1D71"/>
    <w:rsid w:val="001A2344"/>
    <w:rsid w:val="001C053A"/>
    <w:rsid w:val="001C387F"/>
    <w:rsid w:val="001D581B"/>
    <w:rsid w:val="00211152"/>
    <w:rsid w:val="00214E7F"/>
    <w:rsid w:val="00222A13"/>
    <w:rsid w:val="00266123"/>
    <w:rsid w:val="002773FA"/>
    <w:rsid w:val="0028318D"/>
    <w:rsid w:val="00283E8F"/>
    <w:rsid w:val="002937F5"/>
    <w:rsid w:val="002A0415"/>
    <w:rsid w:val="002B167E"/>
    <w:rsid w:val="002D0A16"/>
    <w:rsid w:val="00301F06"/>
    <w:rsid w:val="00343C6B"/>
    <w:rsid w:val="00343F0E"/>
    <w:rsid w:val="00353008"/>
    <w:rsid w:val="00361F2E"/>
    <w:rsid w:val="00363003"/>
    <w:rsid w:val="003637E4"/>
    <w:rsid w:val="00381673"/>
    <w:rsid w:val="003859D7"/>
    <w:rsid w:val="00387148"/>
    <w:rsid w:val="003B504A"/>
    <w:rsid w:val="003B5A68"/>
    <w:rsid w:val="003E3F22"/>
    <w:rsid w:val="003F1BD9"/>
    <w:rsid w:val="00402F25"/>
    <w:rsid w:val="0040502D"/>
    <w:rsid w:val="0042581C"/>
    <w:rsid w:val="0043557D"/>
    <w:rsid w:val="0043563B"/>
    <w:rsid w:val="00465AAE"/>
    <w:rsid w:val="0047295C"/>
    <w:rsid w:val="00487A9D"/>
    <w:rsid w:val="004B537B"/>
    <w:rsid w:val="004B6955"/>
    <w:rsid w:val="004C73CC"/>
    <w:rsid w:val="004C74BF"/>
    <w:rsid w:val="004E25EF"/>
    <w:rsid w:val="00525E6F"/>
    <w:rsid w:val="00533C3E"/>
    <w:rsid w:val="005342CA"/>
    <w:rsid w:val="00536F8F"/>
    <w:rsid w:val="00555BCE"/>
    <w:rsid w:val="005611BA"/>
    <w:rsid w:val="0056226C"/>
    <w:rsid w:val="005A6DEA"/>
    <w:rsid w:val="005D11A7"/>
    <w:rsid w:val="0061378E"/>
    <w:rsid w:val="006201BE"/>
    <w:rsid w:val="00652A40"/>
    <w:rsid w:val="00654521"/>
    <w:rsid w:val="0066216A"/>
    <w:rsid w:val="006822F8"/>
    <w:rsid w:val="0068364B"/>
    <w:rsid w:val="006972B5"/>
    <w:rsid w:val="006C25FE"/>
    <w:rsid w:val="006C5A89"/>
    <w:rsid w:val="0070325C"/>
    <w:rsid w:val="007063BA"/>
    <w:rsid w:val="00707872"/>
    <w:rsid w:val="00722CA1"/>
    <w:rsid w:val="007417E6"/>
    <w:rsid w:val="00752B56"/>
    <w:rsid w:val="007569A1"/>
    <w:rsid w:val="0076184E"/>
    <w:rsid w:val="0077050C"/>
    <w:rsid w:val="00787EBF"/>
    <w:rsid w:val="007908F6"/>
    <w:rsid w:val="007A2E8A"/>
    <w:rsid w:val="007B6D44"/>
    <w:rsid w:val="007B755B"/>
    <w:rsid w:val="007D793C"/>
    <w:rsid w:val="007E6156"/>
    <w:rsid w:val="007F4001"/>
    <w:rsid w:val="0081200D"/>
    <w:rsid w:val="00821B71"/>
    <w:rsid w:val="00841CC7"/>
    <w:rsid w:val="00844E76"/>
    <w:rsid w:val="0086174F"/>
    <w:rsid w:val="00861CFE"/>
    <w:rsid w:val="0087624E"/>
    <w:rsid w:val="00894C37"/>
    <w:rsid w:val="008A02AE"/>
    <w:rsid w:val="008A295C"/>
    <w:rsid w:val="008B1139"/>
    <w:rsid w:val="008F5626"/>
    <w:rsid w:val="00900670"/>
    <w:rsid w:val="00903191"/>
    <w:rsid w:val="00947CD4"/>
    <w:rsid w:val="00952DBC"/>
    <w:rsid w:val="0095387B"/>
    <w:rsid w:val="00965D88"/>
    <w:rsid w:val="00967AA9"/>
    <w:rsid w:val="009839B8"/>
    <w:rsid w:val="00986663"/>
    <w:rsid w:val="00994FCD"/>
    <w:rsid w:val="009A5E0A"/>
    <w:rsid w:val="009B50DF"/>
    <w:rsid w:val="009D3570"/>
    <w:rsid w:val="009D6A5C"/>
    <w:rsid w:val="009D7BDB"/>
    <w:rsid w:val="009E36F2"/>
    <w:rsid w:val="009E41F2"/>
    <w:rsid w:val="009F5249"/>
    <w:rsid w:val="00A01011"/>
    <w:rsid w:val="00A1482A"/>
    <w:rsid w:val="00A15377"/>
    <w:rsid w:val="00A364E2"/>
    <w:rsid w:val="00A423E8"/>
    <w:rsid w:val="00A73A49"/>
    <w:rsid w:val="00AB436E"/>
    <w:rsid w:val="00AB798A"/>
    <w:rsid w:val="00AC2EEB"/>
    <w:rsid w:val="00AC5609"/>
    <w:rsid w:val="00AD190C"/>
    <w:rsid w:val="00AD2007"/>
    <w:rsid w:val="00AD5C5A"/>
    <w:rsid w:val="00AE6DCF"/>
    <w:rsid w:val="00B031ED"/>
    <w:rsid w:val="00B04088"/>
    <w:rsid w:val="00B06CB1"/>
    <w:rsid w:val="00B1508C"/>
    <w:rsid w:val="00B224D6"/>
    <w:rsid w:val="00B2521D"/>
    <w:rsid w:val="00B55502"/>
    <w:rsid w:val="00B57E90"/>
    <w:rsid w:val="00B7717A"/>
    <w:rsid w:val="00B80FFF"/>
    <w:rsid w:val="00B83138"/>
    <w:rsid w:val="00B84D46"/>
    <w:rsid w:val="00B85277"/>
    <w:rsid w:val="00B913AD"/>
    <w:rsid w:val="00BA68CB"/>
    <w:rsid w:val="00BC5599"/>
    <w:rsid w:val="00BD6F8A"/>
    <w:rsid w:val="00BE5532"/>
    <w:rsid w:val="00BE6521"/>
    <w:rsid w:val="00BE687D"/>
    <w:rsid w:val="00BF52AD"/>
    <w:rsid w:val="00C12BED"/>
    <w:rsid w:val="00C12F76"/>
    <w:rsid w:val="00C3184D"/>
    <w:rsid w:val="00C40ADF"/>
    <w:rsid w:val="00C50058"/>
    <w:rsid w:val="00C60690"/>
    <w:rsid w:val="00C72A8D"/>
    <w:rsid w:val="00C73606"/>
    <w:rsid w:val="00C80C28"/>
    <w:rsid w:val="00C82BE0"/>
    <w:rsid w:val="00C932C3"/>
    <w:rsid w:val="00CB37EF"/>
    <w:rsid w:val="00CC43A3"/>
    <w:rsid w:val="00CE3B6A"/>
    <w:rsid w:val="00CE4BF2"/>
    <w:rsid w:val="00D00645"/>
    <w:rsid w:val="00D01323"/>
    <w:rsid w:val="00D445FB"/>
    <w:rsid w:val="00D547D0"/>
    <w:rsid w:val="00D57FBB"/>
    <w:rsid w:val="00D63EB2"/>
    <w:rsid w:val="00D86FA6"/>
    <w:rsid w:val="00DB0BE0"/>
    <w:rsid w:val="00DE764B"/>
    <w:rsid w:val="00DF27BB"/>
    <w:rsid w:val="00DF4664"/>
    <w:rsid w:val="00E245CD"/>
    <w:rsid w:val="00E327D3"/>
    <w:rsid w:val="00E41A32"/>
    <w:rsid w:val="00E55F92"/>
    <w:rsid w:val="00E85DD4"/>
    <w:rsid w:val="00E86428"/>
    <w:rsid w:val="00E927DA"/>
    <w:rsid w:val="00EC302E"/>
    <w:rsid w:val="00ED04FB"/>
    <w:rsid w:val="00ED0693"/>
    <w:rsid w:val="00ED3DF0"/>
    <w:rsid w:val="00EE0A7C"/>
    <w:rsid w:val="00F245CC"/>
    <w:rsid w:val="00F33D3E"/>
    <w:rsid w:val="00F36AE2"/>
    <w:rsid w:val="00F45F94"/>
    <w:rsid w:val="00F501F8"/>
    <w:rsid w:val="00F5106C"/>
    <w:rsid w:val="00F57355"/>
    <w:rsid w:val="00F632D4"/>
    <w:rsid w:val="00F8306C"/>
    <w:rsid w:val="00F92065"/>
    <w:rsid w:val="00FB4B0C"/>
    <w:rsid w:val="00FD4072"/>
    <w:rsid w:val="00FF3309"/>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 w:type="paragraph" w:styleId="Bibliography">
    <w:name w:val="Bibliography"/>
    <w:basedOn w:val="Normal"/>
    <w:next w:val="Normal"/>
    <w:uiPriority w:val="37"/>
    <w:unhideWhenUsed/>
    <w:rsid w:val="00DF4664"/>
    <w:pPr>
      <w:spacing w:after="0" w:line="480" w:lineRule="auto"/>
      <w:ind w:left="720" w:hanging="720"/>
    </w:pPr>
  </w:style>
  <w:style w:type="character" w:customStyle="1" w:styleId="UnresolvedMention">
    <w:name w:val="Unresolved Mention"/>
    <w:basedOn w:val="DefaultParagraphFont"/>
    <w:uiPriority w:val="99"/>
    <w:semiHidden/>
    <w:unhideWhenUsed/>
    <w:rsid w:val="0087624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54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951973">
          <w:marLeft w:val="0"/>
          <w:marRight w:val="0"/>
          <w:marTop w:val="0"/>
          <w:marBottom w:val="0"/>
          <w:divBdr>
            <w:top w:val="single" w:sz="2" w:space="0" w:color="E3E3E3"/>
            <w:left w:val="single" w:sz="2" w:space="0" w:color="E3E3E3"/>
            <w:bottom w:val="single" w:sz="2" w:space="0" w:color="E3E3E3"/>
            <w:right w:val="single" w:sz="2" w:space="0" w:color="E3E3E3"/>
          </w:divBdr>
          <w:divsChild>
            <w:div w:id="1437408501">
              <w:marLeft w:val="0"/>
              <w:marRight w:val="0"/>
              <w:marTop w:val="0"/>
              <w:marBottom w:val="0"/>
              <w:divBdr>
                <w:top w:val="single" w:sz="2" w:space="0" w:color="E3E3E3"/>
                <w:left w:val="single" w:sz="2" w:space="0" w:color="E3E3E3"/>
                <w:bottom w:val="single" w:sz="2" w:space="0" w:color="E3E3E3"/>
                <w:right w:val="single" w:sz="2" w:space="0" w:color="E3E3E3"/>
              </w:divBdr>
              <w:divsChild>
                <w:div w:id="19089248">
                  <w:marLeft w:val="0"/>
                  <w:marRight w:val="0"/>
                  <w:marTop w:val="0"/>
                  <w:marBottom w:val="0"/>
                  <w:divBdr>
                    <w:top w:val="single" w:sz="2" w:space="0" w:color="E3E3E3"/>
                    <w:left w:val="single" w:sz="2" w:space="0" w:color="E3E3E3"/>
                    <w:bottom w:val="single" w:sz="2" w:space="0" w:color="E3E3E3"/>
                    <w:right w:val="single" w:sz="2" w:space="0" w:color="E3E3E3"/>
                  </w:divBdr>
                  <w:divsChild>
                    <w:div w:id="159390425">
                      <w:marLeft w:val="0"/>
                      <w:marRight w:val="0"/>
                      <w:marTop w:val="0"/>
                      <w:marBottom w:val="0"/>
                      <w:divBdr>
                        <w:top w:val="single" w:sz="2" w:space="0" w:color="E3E3E3"/>
                        <w:left w:val="single" w:sz="2" w:space="0" w:color="E3E3E3"/>
                        <w:bottom w:val="single" w:sz="2" w:space="0" w:color="E3E3E3"/>
                        <w:right w:val="single" w:sz="2" w:space="0" w:color="E3E3E3"/>
                      </w:divBdr>
                      <w:divsChild>
                        <w:div w:id="186874839">
                          <w:marLeft w:val="0"/>
                          <w:marRight w:val="0"/>
                          <w:marTop w:val="0"/>
                          <w:marBottom w:val="0"/>
                          <w:divBdr>
                            <w:top w:val="single" w:sz="2" w:space="0" w:color="E3E3E3"/>
                            <w:left w:val="single" w:sz="2" w:space="0" w:color="E3E3E3"/>
                            <w:bottom w:val="single" w:sz="2" w:space="0" w:color="E3E3E3"/>
                            <w:right w:val="single" w:sz="2" w:space="0" w:color="E3E3E3"/>
                          </w:divBdr>
                          <w:divsChild>
                            <w:div w:id="1094477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1788">
                                      <w:marLeft w:val="0"/>
                                      <w:marRight w:val="0"/>
                                      <w:marTop w:val="0"/>
                                      <w:marBottom w:val="0"/>
                                      <w:divBdr>
                                        <w:top w:val="single" w:sz="2" w:space="0" w:color="E3E3E3"/>
                                        <w:left w:val="single" w:sz="2" w:space="0" w:color="E3E3E3"/>
                                        <w:bottom w:val="single" w:sz="2" w:space="0" w:color="E3E3E3"/>
                                        <w:right w:val="single" w:sz="2" w:space="0" w:color="E3E3E3"/>
                                      </w:divBdr>
                                      <w:divsChild>
                                        <w:div w:id="1858080636">
                                          <w:marLeft w:val="0"/>
                                          <w:marRight w:val="0"/>
                                          <w:marTop w:val="0"/>
                                          <w:marBottom w:val="0"/>
                                          <w:divBdr>
                                            <w:top w:val="single" w:sz="2" w:space="0" w:color="E3E3E3"/>
                                            <w:left w:val="single" w:sz="2" w:space="0" w:color="E3E3E3"/>
                                            <w:bottom w:val="single" w:sz="2" w:space="0" w:color="E3E3E3"/>
                                            <w:right w:val="single" w:sz="2" w:space="0" w:color="E3E3E3"/>
                                          </w:divBdr>
                                          <w:divsChild>
                                            <w:div w:id="1087269945">
                                              <w:marLeft w:val="0"/>
                                              <w:marRight w:val="0"/>
                                              <w:marTop w:val="0"/>
                                              <w:marBottom w:val="0"/>
                                              <w:divBdr>
                                                <w:top w:val="single" w:sz="2" w:space="0" w:color="E3E3E3"/>
                                                <w:left w:val="single" w:sz="2" w:space="0" w:color="E3E3E3"/>
                                                <w:bottom w:val="single" w:sz="2" w:space="0" w:color="E3E3E3"/>
                                                <w:right w:val="single" w:sz="2" w:space="0" w:color="E3E3E3"/>
                                              </w:divBdr>
                                              <w:divsChild>
                                                <w:div w:id="747770142">
                                                  <w:marLeft w:val="0"/>
                                                  <w:marRight w:val="0"/>
                                                  <w:marTop w:val="0"/>
                                                  <w:marBottom w:val="0"/>
                                                  <w:divBdr>
                                                    <w:top w:val="single" w:sz="2" w:space="0" w:color="E3E3E3"/>
                                                    <w:left w:val="single" w:sz="2" w:space="0" w:color="E3E3E3"/>
                                                    <w:bottom w:val="single" w:sz="2" w:space="0" w:color="E3E3E3"/>
                                                    <w:right w:val="single" w:sz="2" w:space="0" w:color="E3E3E3"/>
                                                  </w:divBdr>
                                                  <w:divsChild>
                                                    <w:div w:id="235866824">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903608">
          <w:marLeft w:val="0"/>
          <w:marRight w:val="0"/>
          <w:marTop w:val="0"/>
          <w:marBottom w:val="0"/>
          <w:divBdr>
            <w:top w:val="none" w:sz="0" w:space="0" w:color="auto"/>
            <w:left w:val="none" w:sz="0" w:space="0" w:color="auto"/>
            <w:bottom w:val="none" w:sz="0" w:space="0" w:color="auto"/>
            <w:right w:val="none" w:sz="0" w:space="0" w:color="auto"/>
          </w:divBdr>
          <w:divsChild>
            <w:div w:id="179019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16/j.bcab.2018.03.012" TargetMode="External"/><Relationship Id="rId18" Type="http://schemas.openxmlformats.org/officeDocument/2006/relationships/hyperlink" Target="https://doi.org/10.1080/17565529.2017.1318740" TargetMode="External"/><Relationship Id="rId26" Type="http://schemas.openxmlformats.org/officeDocument/2006/relationships/hyperlink" Target="https://doi.org/10.18637/jss.v085.i05" TargetMode="External"/><Relationship Id="rId39" Type="http://schemas.openxmlformats.org/officeDocument/2006/relationships/hyperlink" Target="https://CRAN.R-project.org/package=crossdes" TargetMode="External"/><Relationship Id="rId3" Type="http://schemas.openxmlformats.org/officeDocument/2006/relationships/styles" Target="styles.xml"/><Relationship Id="rId21" Type="http://schemas.openxmlformats.org/officeDocument/2006/relationships/hyperlink" Target="https://doi.org/10.1080/17565529.2014.989192" TargetMode="External"/><Relationship Id="rId34" Type="http://schemas.openxmlformats.org/officeDocument/2006/relationships/hyperlink" Target="https://doi.org/10.1080/17565529.2023.2229775" TargetMode="External"/><Relationship Id="rId42" Type="http://schemas.openxmlformats.org/officeDocument/2006/relationships/hyperlink" Target="https://doi.org/10.2307/1884852" TargetMode="Externa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doi.org/10.1017/S0014479723000224" TargetMode="External"/><Relationship Id="rId17" Type="http://schemas.openxmlformats.org/officeDocument/2006/relationships/hyperlink" Target="https://doi.org/10.1007/s10113-016-0975-6" TargetMode="External"/><Relationship Id="rId25" Type="http://schemas.openxmlformats.org/officeDocument/2006/relationships/hyperlink" Target="https://sdma.kerala.gov.in/wp-content/uploads/2020/08/Soil-Flood.pdf" TargetMode="External"/><Relationship Id="rId33" Type="http://schemas.openxmlformats.org/officeDocument/2006/relationships/hyperlink" Target="https://doi.org/10.1111/j.1755-0238.2009.00049.x" TargetMode="External"/><Relationship Id="rId38" Type="http://schemas.openxmlformats.org/officeDocument/2006/relationships/hyperlink" Target="https://doi.org/10.1016/j.cobeha.2021.04.009" TargetMode="External"/><Relationship Id="rId46" Type="http://schemas.openxmlformats.org/officeDocument/2006/relationships/hyperlink" Target="https://doi.org/10.1080/17565529.2011.582277" TargetMode="External"/><Relationship Id="rId2" Type="http://schemas.openxmlformats.org/officeDocument/2006/relationships/numbering" Target="numbering.xml"/><Relationship Id="rId16" Type="http://schemas.openxmlformats.org/officeDocument/2006/relationships/hyperlink" Target="https://doi.org/10.1080/17565529.2013.789791" TargetMode="External"/><Relationship Id="rId20" Type="http://schemas.openxmlformats.org/officeDocument/2006/relationships/hyperlink" Target="https://doi.org/10.1080/17565529.2020.1737797" TargetMode="External"/><Relationship Id="rId29" Type="http://schemas.openxmlformats.org/officeDocument/2006/relationships/hyperlink" Target="https://doi.org/10.1016/j.socscimed.2012.10.007" TargetMode="External"/><Relationship Id="rId41" Type="http://schemas.openxmlformats.org/officeDocument/2006/relationships/hyperlink" Target="https://doi.org/10.1017/aae.2021.1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80/17565529.2012.664958" TargetMode="External"/><Relationship Id="rId24" Type="http://schemas.openxmlformats.org/officeDocument/2006/relationships/hyperlink" Target="https://doi.org/10.1080/17565529.2022.2077692" TargetMode="External"/><Relationship Id="rId32" Type="http://schemas.openxmlformats.org/officeDocument/2006/relationships/hyperlink" Target="https://doi.org/10.1016/j.futures.2021.102868" TargetMode="External"/><Relationship Id="rId37" Type="http://schemas.openxmlformats.org/officeDocument/2006/relationships/hyperlink" Target="https://doi.org/10.1533/9780857095671.86" TargetMode="External"/><Relationship Id="rId40" Type="http://schemas.openxmlformats.org/officeDocument/2006/relationships/hyperlink" Target="https://doi.org/10.1016/j.jafr.2022.100396" TargetMode="External"/><Relationship Id="rId45" Type="http://schemas.openxmlformats.org/officeDocument/2006/relationships/hyperlink" Target="https://doi.org/10.1126/science.185.4157.1124" TargetMode="External"/><Relationship Id="rId5" Type="http://schemas.openxmlformats.org/officeDocument/2006/relationships/webSettings" Target="webSettings.xml"/><Relationship Id="rId15" Type="http://schemas.openxmlformats.org/officeDocument/2006/relationships/hyperlink" Target="https://doi.org/10.1093/icc/dth026" TargetMode="External"/><Relationship Id="rId23" Type="http://schemas.openxmlformats.org/officeDocument/2006/relationships/hyperlink" Target="https://doi.org/10.1080/09538259.2011.611624" TargetMode="External"/><Relationship Id="rId28" Type="http://schemas.openxmlformats.org/officeDocument/2006/relationships/hyperlink" Target="https://doi.org/10.22004/ag.econ.47425" TargetMode="External"/><Relationship Id="rId36" Type="http://schemas.openxmlformats.org/officeDocument/2006/relationships/hyperlink" Target="https://doi.org/10.1080/15427528.2024.2336265" TargetMode="External"/><Relationship Id="rId10" Type="http://schemas.openxmlformats.org/officeDocument/2006/relationships/image" Target="media/image5.jpeg"/><Relationship Id="rId19" Type="http://schemas.openxmlformats.org/officeDocument/2006/relationships/hyperlink" Target="https://doi.org/10.1108/17511060910948008" TargetMode="External"/><Relationship Id="rId31" Type="http://schemas.openxmlformats.org/officeDocument/2006/relationships/hyperlink" Target="https://doi.org/10.1016/j.jmp.2011.09.001" TargetMode="External"/><Relationship Id="rId44" Type="http://schemas.openxmlformats.org/officeDocument/2006/relationships/hyperlink" Target="https://CRAN.R-project.org/package=surviv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22207/JPAM.17.2.02" TargetMode="External"/><Relationship Id="rId22" Type="http://schemas.openxmlformats.org/officeDocument/2006/relationships/hyperlink" Target="https://doi.org/10.1177/074391569201100202" TargetMode="External"/><Relationship Id="rId27" Type="http://schemas.openxmlformats.org/officeDocument/2006/relationships/hyperlink" Target="https://doi.org/10.1080/17565529.2019.1630351" TargetMode="External"/><Relationship Id="rId30" Type="http://schemas.openxmlformats.org/officeDocument/2006/relationships/hyperlink" Target="https://doi.org/10.1002/mar.20197" TargetMode="External"/><Relationship Id="rId35" Type="http://schemas.openxmlformats.org/officeDocument/2006/relationships/hyperlink" Target="https://doi.org/10.1016/j.foodpol.2020.101962" TargetMode="External"/><Relationship Id="rId43" Type="http://schemas.openxmlformats.org/officeDocument/2006/relationships/hyperlink" Target="https://doi.org/10.1023/A:1009652531101"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6E90-42BE-43AB-94DD-32D6DDD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14097</Words>
  <Characters>80354</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Gopinath</dc:creator>
  <cp:lastModifiedBy>user</cp:lastModifiedBy>
  <cp:revision>22</cp:revision>
  <cp:lastPrinted>2024-05-10T11:47:00Z</cp:lastPrinted>
  <dcterms:created xsi:type="dcterms:W3CDTF">2024-05-10T10:47:00Z</dcterms:created>
  <dcterms:modified xsi:type="dcterms:W3CDTF">2024-05-10T11:48:00Z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6a74a0a39164fc6043ff623acaeb7267c150e1b7e45aebf84e5ddc8ca8a8609c</vt:lpwstr>
  </property>
  <property fmtid="{D5CDD505-2E9C-101B-9397-08002B2CF9AE}" pid="3" name="ZOTERO_PREF_1">
    <vt:lpwstr>&lt;data data-version="3" zotero-version="6.0.36"&gt;&lt;session id="V7tPk6A5"/&gt;&lt;style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