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f4e79"/>
          <w:sz w:val="44"/>
          <w:szCs w:val="44"/>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44"/>
          <w:szCs w:val="44"/>
          <w:rtl w:val="0"/>
        </w:rPr>
        <w:t xml:space="preserve">MLflow Installation, Experiment Tracking and Data Drift Analysis</w:t>
      </w:r>
      <w:r w:rsidDel="00000000" w:rsidR="00000000" w:rsidRPr="00000000">
        <w:rPr>
          <w:rtl w:val="0"/>
        </w:rPr>
        <w:br w:type="textWrapping"/>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6"/>
        <w:gridCol w:w="8046"/>
        <w:tblGridChange w:id="0">
          <w:tblGrid>
            <w:gridCol w:w="1746"/>
            <w:gridCol w:w="8046"/>
          </w:tblGrid>
        </w:tblGridChange>
      </w:tblGrid>
      <w:tr>
        <w:trPr>
          <w:cantSplit w:val="0"/>
          <w:tblHeader w:val="1"/>
        </w:trPr>
        <w:tc>
          <w:tcPr>
            <w:shd w:fill="1f4e79" w:val="clear"/>
            <w:tcMar>
              <w:top w:w="90.0" w:type="dxa"/>
              <w:left w:w="100.0" w:type="dxa"/>
              <w:bottom w:w="90.0" w:type="dxa"/>
              <w:right w:w="100.0" w:type="dxa"/>
            </w:tcMar>
            <w:vAlign w:val="center"/>
          </w:tcPr>
          <w:p w:rsidR="00000000" w:rsidDel="00000000" w:rsidP="00000000" w:rsidRDefault="00000000" w:rsidRPr="00000000" w14:paraId="00000003">
            <w:pPr>
              <w:spacing w:after="20" w:lineRule="auto"/>
              <w:rPr/>
            </w:pPr>
            <w:r w:rsidDel="00000000" w:rsidR="00000000" w:rsidRPr="00000000">
              <w:rPr>
                <w:b w:val="1"/>
                <w:bCs w:val="1"/>
                <w:color w:val="ffffff"/>
                <w:sz w:val="18"/>
                <w:szCs w:val="18"/>
                <w:rtl w:val="0"/>
              </w:rPr>
              <w:t xml:space="preserve">Details</w:t>
            </w:r>
            <w:r w:rsidDel="00000000" w:rsidR="00000000" w:rsidRPr="00000000">
              <w:rPr>
                <w:rtl w:val="0"/>
              </w:rPr>
            </w:r>
          </w:p>
        </w:tc>
        <w:tc>
          <w:tcPr>
            <w:shd w:fill="1f4e79" w:val="clear"/>
            <w:tcMar>
              <w:top w:w="90.0" w:type="dxa"/>
              <w:left w:w="100.0" w:type="dxa"/>
              <w:bottom w:w="90.0" w:type="dxa"/>
              <w:right w:w="100.0" w:type="dxa"/>
            </w:tcMar>
            <w:vAlign w:val="center"/>
          </w:tcPr>
          <w:p w:rsidR="00000000" w:rsidDel="00000000" w:rsidP="00000000" w:rsidRDefault="00000000" w:rsidRPr="00000000" w14:paraId="00000004">
            <w:pPr>
              <w:spacing w:after="20" w:lineRule="auto"/>
              <w:rPr/>
            </w:pPr>
            <w:r w:rsidDel="00000000" w:rsidR="00000000" w:rsidRPr="00000000">
              <w:rPr>
                <w:b w:val="1"/>
                <w:bCs w:val="1"/>
                <w:color w:val="ffffff"/>
                <w:sz w:val="18"/>
                <w:szCs w:val="18"/>
                <w:rtl w:val="0"/>
              </w:rPr>
              <w:t xml:space="preserve">Student Entry</w:t>
            </w:r>
            <w:r w:rsidDel="00000000" w:rsidR="00000000" w:rsidRPr="00000000">
              <w:rPr>
                <w:rtl w:val="0"/>
              </w:rPr>
            </w:r>
          </w:p>
        </w:tc>
      </w:tr>
      <w:tr>
        <w:trPr>
          <w:cantSplit w:val="0"/>
          <w:tblHeader w:val="0"/>
        </w:trPr>
        <w:tc>
          <w:tcPr>
            <w:shd w:fill="eaf2f8" w:val="clear"/>
            <w:tcMar>
              <w:top w:w="100.0" w:type="dxa"/>
              <w:left w:w="100.0" w:type="dxa"/>
              <w:bottom w:w="100.0" w:type="dxa"/>
              <w:right w:w="100.0" w:type="dxa"/>
            </w:tcMar>
            <w:vAlign w:val="center"/>
          </w:tcPr>
          <w:p w:rsidR="00000000" w:rsidDel="00000000" w:rsidP="00000000" w:rsidRDefault="00000000" w:rsidRPr="00000000" w14:paraId="00000005">
            <w:pPr>
              <w:spacing w:after="20" w:lineRule="auto"/>
              <w:rPr/>
            </w:pPr>
            <w:r w:rsidDel="00000000" w:rsidR="00000000" w:rsidRPr="00000000">
              <w:rPr>
                <w:sz w:val="18"/>
                <w:szCs w:val="18"/>
                <w:rtl w:val="0"/>
              </w:rPr>
              <w:t xml:space="preserve">Student Name</w:t>
            </w:r>
            <w:r w:rsidDel="00000000" w:rsidR="00000000" w:rsidRPr="00000000">
              <w:rPr>
                <w:rtl w:val="0"/>
              </w:rPr>
            </w:r>
          </w:p>
        </w:tc>
        <w:tc>
          <w:tcPr>
            <w:tcMar>
              <w:top w:w="100.0" w:type="dxa"/>
              <w:left w:w="100.0" w:type="dxa"/>
              <w:bottom w:w="100.0" w:type="dxa"/>
              <w:right w:w="100.0" w:type="dxa"/>
            </w:tcMar>
            <w:vAlign w:val="center"/>
          </w:tcPr>
          <w:p>
            <w:r/>
            <w:r>
              <w:rPr>
                <w:rFonts w:ascii="Arial" w:hAnsi="Arial"/>
                <w:b/>
                <w:color w:val="003366"/>
                <w:sz w:val="20"/>
              </w:rPr>
              <w:t>Pratham Kadam</w:t>
            </w:r>
          </w:p>
        </w:tc>
      </w:tr>
      <w:tr>
        <w:trPr>
          <w:cantSplit w:val="0"/>
          <w:tblHeader w:val="0"/>
        </w:trPr>
        <w:tc>
          <w:tcPr>
            <w:shd w:fill="eaf2f8" w:val="clear"/>
            <w:tcMar>
              <w:top w:w="100.0" w:type="dxa"/>
              <w:left w:w="100.0" w:type="dxa"/>
              <w:bottom w:w="100.0" w:type="dxa"/>
              <w:right w:w="100.0" w:type="dxa"/>
            </w:tcMar>
            <w:vAlign w:val="center"/>
          </w:tcPr>
          <w:p w:rsidR="00000000" w:rsidDel="00000000" w:rsidP="00000000" w:rsidRDefault="00000000" w:rsidRPr="00000000" w14:paraId="00000007">
            <w:pPr>
              <w:spacing w:after="20" w:lineRule="auto"/>
              <w:rPr/>
            </w:pPr>
            <w:r w:rsidDel="00000000" w:rsidR="00000000" w:rsidRPr="00000000">
              <w:rPr>
                <w:sz w:val="18"/>
                <w:szCs w:val="18"/>
                <w:rtl w:val="0"/>
              </w:rPr>
              <w:t xml:space="preserve">Roll Number(s)</w:t>
            </w:r>
            <w:r w:rsidDel="00000000" w:rsidR="00000000" w:rsidRPr="00000000">
              <w:rPr>
                <w:rtl w:val="0"/>
              </w:rPr>
            </w:r>
          </w:p>
        </w:tc>
        <w:tc>
          <w:tcPr>
            <w:tcMar>
              <w:top w:w="100.0" w:type="dxa"/>
              <w:left w:w="100.0" w:type="dxa"/>
              <w:bottom w:w="100.0" w:type="dxa"/>
              <w:right w:w="100.0" w:type="dxa"/>
            </w:tcMar>
            <w:vAlign w:val="center"/>
          </w:tcPr>
          <w:p>
            <w:r/>
            <w:r>
              <w:rPr>
                <w:rFonts w:ascii="Arial" w:hAnsi="Arial"/>
                <w:b/>
                <w:color w:val="003366"/>
                <w:sz w:val="20"/>
              </w:rPr>
              <w:t>DS 14 (PRN: 2324000362)</w:t>
            </w:r>
          </w:p>
        </w:tc>
      </w:tr>
      <w:tr>
        <w:trPr>
          <w:cantSplit w:val="0"/>
          <w:tblHeader w:val="0"/>
        </w:trPr>
        <w:tc>
          <w:tcPr>
            <w:shd w:fill="eaf2f8" w:val="clear"/>
            <w:tcMar>
              <w:top w:w="100.0" w:type="dxa"/>
              <w:left w:w="100.0" w:type="dxa"/>
              <w:bottom w:w="100.0" w:type="dxa"/>
              <w:right w:w="100.0" w:type="dxa"/>
            </w:tcMar>
            <w:vAlign w:val="center"/>
          </w:tcPr>
          <w:p w:rsidR="00000000" w:rsidDel="00000000" w:rsidP="00000000" w:rsidRDefault="00000000" w:rsidRPr="00000000" w14:paraId="00000009">
            <w:pPr>
              <w:spacing w:after="20" w:lineRule="auto"/>
              <w:rPr/>
            </w:pPr>
            <w:r w:rsidDel="00000000" w:rsidR="00000000" w:rsidRPr="00000000">
              <w:rPr>
                <w:sz w:val="18"/>
                <w:szCs w:val="18"/>
                <w:rtl w:val="0"/>
              </w:rPr>
              <w:t xml:space="preserve">Department / Class</w:t>
            </w:r>
            <w:r w:rsidDel="00000000" w:rsidR="00000000" w:rsidRPr="00000000">
              <w:rPr>
                <w:rtl w:val="0"/>
              </w:rPr>
            </w:r>
          </w:p>
        </w:tc>
        <w:tc>
          <w:tcPr>
            <w:tcMar>
              <w:top w:w="100.0" w:type="dxa"/>
              <w:left w:w="100.0" w:type="dxa"/>
              <w:bottom w:w="100.0" w:type="dxa"/>
              <w:right w:w="100.0" w:type="dxa"/>
            </w:tcMar>
            <w:vAlign w:val="center"/>
          </w:tcPr>
          <w:p>
            <w:r/>
            <w:r>
              <w:rPr>
                <w:rFonts w:ascii="Arial" w:hAnsi="Arial"/>
                <w:b/>
                <w:color w:val="003366"/>
                <w:sz w:val="20"/>
              </w:rPr>
              <w:t>Final Year B.Tech CSE (Data Science) - Semester VII</w:t>
            </w:r>
          </w:p>
        </w:tc>
      </w:tr>
      <w:tr>
        <w:trPr>
          <w:cantSplit w:val="0"/>
          <w:tblHeader w:val="0"/>
        </w:trPr>
        <w:tc>
          <w:tcPr>
            <w:shd w:fill="eaf2f8" w:val="clear"/>
            <w:tcMar>
              <w:top w:w="100.0" w:type="dxa"/>
              <w:left w:w="100.0" w:type="dxa"/>
              <w:bottom w:w="100.0" w:type="dxa"/>
              <w:right w:w="100.0" w:type="dxa"/>
            </w:tcMar>
            <w:vAlign w:val="center"/>
          </w:tcPr>
          <w:p w:rsidR="00000000" w:rsidDel="00000000" w:rsidP="00000000" w:rsidRDefault="00000000" w:rsidRPr="00000000" w14:paraId="0000000B">
            <w:pPr>
              <w:spacing w:after="20" w:lineRule="auto"/>
              <w:rPr/>
            </w:pPr>
            <w:r w:rsidDel="00000000" w:rsidR="00000000" w:rsidRPr="00000000">
              <w:rPr>
                <w:sz w:val="18"/>
                <w:szCs w:val="18"/>
                <w:rtl w:val="0"/>
              </w:rPr>
              <w:t xml:space="preserve">Academic Year</w:t>
            </w:r>
            <w:r w:rsidDel="00000000" w:rsidR="00000000" w:rsidRPr="00000000">
              <w:rPr>
                <w:rtl w:val="0"/>
              </w:rPr>
            </w:r>
          </w:p>
        </w:tc>
        <w:tc>
          <w:tcPr>
            <w:tcMar>
              <w:top w:w="100.0" w:type="dxa"/>
              <w:left w:w="100.0" w:type="dxa"/>
              <w:bottom w:w="100.0" w:type="dxa"/>
              <w:right w:w="100.0" w:type="dxa"/>
            </w:tcMar>
            <w:vAlign w:val="center"/>
          </w:tcPr>
          <w:p>
            <w:r/>
            <w:r>
              <w:rPr>
                <w:rFonts w:ascii="Arial" w:hAnsi="Arial"/>
                <w:b/>
                <w:color w:val="003366"/>
                <w:sz w:val="20"/>
              </w:rPr>
              <w:t>A.Y 2026-27</w:t>
            </w:r>
          </w:p>
        </w:tc>
      </w:tr>
      <w:tr>
        <w:trPr>
          <w:cantSplit w:val="0"/>
          <w:tblHeader w:val="0"/>
        </w:trPr>
        <w:tc>
          <w:tcPr>
            <w:shd w:fill="eaf2f8" w:val="clear"/>
            <w:tcMar>
              <w:top w:w="100.0" w:type="dxa"/>
              <w:left w:w="100.0" w:type="dxa"/>
              <w:bottom w:w="100.0" w:type="dxa"/>
              <w:right w:w="100.0" w:type="dxa"/>
            </w:tcMar>
            <w:vAlign w:val="center"/>
          </w:tcPr>
          <w:p w:rsidR="00000000" w:rsidDel="00000000" w:rsidP="00000000" w:rsidRDefault="00000000" w:rsidRPr="00000000" w14:paraId="0000000D">
            <w:pPr>
              <w:spacing w:after="20" w:lineRule="auto"/>
              <w:rPr/>
            </w:pPr>
            <w:r w:rsidDel="00000000" w:rsidR="00000000" w:rsidRPr="00000000">
              <w:rPr>
                <w:rtl w:val="0"/>
              </w:rPr>
              <w:t xml:space="preserve">GitHub Repository URL</w:t>
            </w:r>
          </w:p>
        </w:tc>
        <w:tc>
          <w:tcPr>
            <w:tcMar>
              <w:top w:w="100.0" w:type="dxa"/>
              <w:left w:w="100.0" w:type="dxa"/>
              <w:bottom w:w="100.0" w:type="dxa"/>
              <w:right w:w="100.0" w:type="dxa"/>
            </w:tcMar>
            <w:vAlign w:val="center"/>
          </w:tcPr>
          <w:p>
            <w:r/>
            <w:r>
              <w:rPr>
                <w:rFonts w:ascii="Arial" w:hAnsi="Arial"/>
                <w:b/>
                <w:color w:val="003366"/>
                <w:sz w:val="20"/>
              </w:rPr>
              <w:t>https://github.com/prathham-k21/MLFlow-Data-Analysis</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2"/>
          <w:szCs w:val="22"/>
        </w:rPr>
      </w:pPr>
      <w:r w:rsidDel="00000000" w:rsidR="00000000" w:rsidRPr="00000000">
        <w:rPr>
          <w:b w:val="1"/>
          <w:bCs w:val="1"/>
          <w:sz w:val="22"/>
          <w:szCs w:val="22"/>
          <w:rtl w:val="0"/>
        </w:rPr>
        <w:t xml:space="preserve">1. MLflow Installation and Experiment Tracking</w:t>
      </w:r>
    </w:p>
    <w:p w:rsidR="00000000" w:rsidDel="00000000" w:rsidP="00000000" w:rsidRDefault="00000000" w:rsidRPr="00000000" w14:paraId="00000013">
      <w:pPr>
        <w:rPr>
          <w:sz w:val="22"/>
          <w:szCs w:val="22"/>
        </w:rPr>
      </w:pPr>
      <w:r w:rsidDel="00000000" w:rsidR="00000000" w:rsidRPr="00000000">
        <w:rPr>
          <w:sz w:val="22"/>
          <w:szCs w:val="22"/>
          <w:rtl w:val="0"/>
        </w:rPr>
        <w:t xml:space="preserve">1.1 Environment Setup</w:t>
      </w:r>
    </w:p>
    <w:p w:rsidR="00000000" w:rsidDel="00000000" w:rsidP="00000000" w:rsidRDefault="00000000" w:rsidRPr="00000000" w14:paraId="00000014">
      <w:pPr>
        <w:numPr>
          <w:ilvl w:val="0"/>
          <w:numId w:val="1"/>
        </w:numPr>
        <w:ind w:left="720" w:hanging="360"/>
        <w:rPr/>
      </w:pPr>
      <w:r w:rsidDel="00000000" w:rsidR="00000000" w:rsidRPr="00000000">
        <w:rPr>
          <w:sz w:val="22"/>
          <w:szCs w:val="22"/>
          <w:rtl w:val="0"/>
        </w:rPr>
        <w:t xml:space="preserve">Operating System:</w:t>
      </w:r>
      <w:r>
        <w:rPr>
          <w:rFonts w:ascii="Arial" w:hAnsi="Arial"/>
          <w:b/>
          <w:color w:val="232323"/>
          <w:sz w:val="19"/>
        </w:rPr>
        <w:t xml:space="preserve"> Windows 11 Enterprise (64-bit Edition)</w:t>
      </w:r>
    </w:p>
    <w:p w:rsidR="00000000" w:rsidDel="00000000" w:rsidP="00000000" w:rsidRDefault="00000000" w:rsidRPr="00000000" w14:paraId="00000015">
      <w:pPr>
        <w:numPr>
          <w:ilvl w:val="0"/>
          <w:numId w:val="1"/>
        </w:numPr>
        <w:ind w:left="720" w:hanging="360"/>
        <w:rPr/>
      </w:pPr>
      <w:r w:rsidDel="00000000" w:rsidR="00000000" w:rsidRPr="00000000">
        <w:rPr>
          <w:sz w:val="22"/>
          <w:szCs w:val="22"/>
          <w:rtl w:val="0"/>
        </w:rPr>
        <w:t xml:space="preserve">Python Version:</w:t>
      </w:r>
      <w:r>
        <w:rPr>
          <w:rFonts w:ascii="Arial" w:hAnsi="Arial"/>
          <w:b/>
          <w:color w:val="232323"/>
          <w:sz w:val="19"/>
        </w:rPr>
        <w:t xml:space="preserve"> Python 3.13.0 (64-bit AMD64)</w:t>
      </w:r>
    </w:p>
    <w:p w:rsidR="00000000" w:rsidDel="00000000" w:rsidP="00000000" w:rsidRDefault="00000000" w:rsidRPr="00000000" w14:paraId="00000016">
      <w:pPr>
        <w:numPr>
          <w:ilvl w:val="0"/>
          <w:numId w:val="1"/>
        </w:numPr>
        <w:ind w:left="720" w:hanging="360"/>
        <w:rPr/>
      </w:pPr>
      <w:r w:rsidDel="00000000" w:rsidR="00000000" w:rsidRPr="00000000">
        <w:rPr>
          <w:sz w:val="22"/>
          <w:szCs w:val="22"/>
          <w:rtl w:val="0"/>
        </w:rPr>
        <w:t xml:space="preserve">MLflow Version:</w:t>
      </w:r>
      <w:r>
        <w:rPr>
          <w:rFonts w:ascii="Arial" w:hAnsi="Arial"/>
          <w:b/>
          <w:color w:val="232323"/>
          <w:sz w:val="19"/>
        </w:rPr>
        <w:t xml:space="preserve"> 3.13.0 (Modern SQLite tracking backend)</w:t>
      </w:r>
    </w:p>
    <w:p w:rsidR="00000000" w:rsidDel="00000000" w:rsidP="00000000" w:rsidRDefault="00000000" w:rsidRPr="00000000" w14:paraId="00000017">
      <w:pPr>
        <w:numPr>
          <w:ilvl w:val="0"/>
          <w:numId w:val="1"/>
        </w:numPr>
        <w:ind w:left="720" w:hanging="360"/>
        <w:rPr/>
      </w:pPr>
      <w:r w:rsidDel="00000000" w:rsidR="00000000" w:rsidRPr="00000000">
        <w:rPr>
          <w:sz w:val="22"/>
          <w:szCs w:val="22"/>
          <w:rtl w:val="0"/>
        </w:rPr>
        <w:t xml:space="preserve">Installation and verification status:</w:t>
      </w:r>
      <w:r>
        <w:rPr>
          <w:rFonts w:ascii="Arial" w:hAnsi="Arial"/>
          <w:b w:val="0"/>
          <w:color w:val="232323"/>
          <w:sz w:val="19"/>
        </w:rPr>
        <w:t xml:space="preserve"> Verified and Operational. Installed via 'pip install mlflow'. Tracking backend initialized using SQLite ('sqlite:///e:/MLDevOps/mlflow.db') with MLflow UI accessible at http://127.0.0.1:5000.</w:t>
      </w:r>
    </w:p>
    <w:p w:rsidR="00000000" w:rsidDel="00000000" w:rsidP="00000000" w:rsidRDefault="00000000" w:rsidRPr="00000000" w14:paraId="00000018">
      <w:pPr>
        <w:rPr>
          <w:sz w:val="22"/>
          <w:szCs w:val="22"/>
        </w:rPr>
      </w:pPr>
      <w:r w:rsidDel="00000000" w:rsidR="00000000" w:rsidRPr="00000000">
        <w:rPr>
          <w:sz w:val="22"/>
          <w:szCs w:val="22"/>
          <w:rtl w:val="0"/>
        </w:rPr>
        <w:t xml:space="preserve">1.2 Experiment Tracking</w:t>
      </w:r>
    </w:p>
    <w:p w:rsidR="00000000" w:rsidDel="00000000" w:rsidP="00000000" w:rsidRDefault="00000000" w:rsidRPr="00000000" w14:paraId="00000019">
      <w:pPr>
        <w:numPr>
          <w:ilvl w:val="0"/>
          <w:numId w:val="2"/>
        </w:numPr>
        <w:ind w:left="720" w:hanging="360"/>
        <w:rPr/>
      </w:pPr>
      <w:r w:rsidDel="00000000" w:rsidR="00000000" w:rsidRPr="00000000">
        <w:rPr>
          <w:sz w:val="22"/>
          <w:szCs w:val="22"/>
          <w:rtl w:val="0"/>
        </w:rPr>
        <w:t xml:space="preserve">Experiment Name:</w:t>
      </w:r>
      <w:r>
        <w:rPr>
          <w:rFonts w:ascii="Arial" w:hAnsi="Arial"/>
          <w:b/>
          <w:color w:val="232323"/>
          <w:sz w:val="19"/>
        </w:rPr>
        <w:t xml:space="preserve"> Credit_Default_Risk_Drift_Monitoring (Experiment ID: 1)</w:t>
      </w:r>
    </w:p>
    <w:p w:rsidR="00000000" w:rsidDel="00000000" w:rsidP="00000000" w:rsidRDefault="00000000" w:rsidRPr="00000000" w14:paraId="0000001A">
      <w:pPr>
        <w:numPr>
          <w:ilvl w:val="0"/>
          <w:numId w:val="2"/>
        </w:numPr>
        <w:ind w:left="720" w:hanging="360"/>
        <w:rPr/>
      </w:pPr>
      <w:r w:rsidDel="00000000" w:rsidR="00000000" w:rsidRPr="00000000">
        <w:rPr>
          <w:sz w:val="22"/>
          <w:szCs w:val="22"/>
          <w:rtl w:val="0"/>
        </w:rPr>
        <w:t xml:space="preserve">Experiment Objective:</w:t>
      </w:r>
      <w:r>
        <w:rPr>
          <w:rFonts w:ascii="Arial" w:hAnsi="Arial"/>
          <w:b w:val="0"/>
          <w:color w:val="232323"/>
          <w:sz w:val="19"/>
        </w:rPr>
        <w:t xml:space="preserve"> Track baseline Gradient Boosting model training, hyperparameter optimization, model versioning, evaluation metrics (ROC-AUC, Precision, Recall, F1, Accuracy, Brier Loss), and statistical data drift diagnostics across baseline reference data and production batches.</w:t>
      </w:r>
    </w:p>
    <w:p w:rsidR="00000000" w:rsidDel="00000000" w:rsidP="00000000" w:rsidRDefault="00000000" w:rsidRPr="00000000" w14:paraId="0000001B">
      <w:pPr>
        <w:numPr>
          <w:ilvl w:val="0"/>
          <w:numId w:val="2"/>
        </w:numPr>
        <w:ind w:left="720" w:hanging="360"/>
        <w:rPr/>
      </w:pPr>
      <w:r w:rsidDel="00000000" w:rsidR="00000000" w:rsidRPr="00000000">
        <w:rPr>
          <w:sz w:val="22"/>
          <w:szCs w:val="22"/>
          <w:rtl w:val="0"/>
        </w:rPr>
        <w:t xml:space="preserve">Parameters, metrics or artifacts recorded:</w:t>
      </w:r>
      <w:r>
        <w:rPr>
          <w:rFonts w:ascii="Arial" w:hAnsi="Arial"/>
          <w:b w:val="0"/>
          <w:color w:val="232323"/>
          <w:sz w:val="19"/>
        </w:rPr>
        <w:t xml:space="preserve"> • Parameters: model_type=GradientBoostingClassifier, n_estimators=120, learning_rate=0.08, max_depth=4, subsample=0.85, random_seed=42, ks_alpha_threshold=0.05, psi_critical_threshold=0.25.</w:t>
        <w:br/>
        <w:t>• Baseline Metrics: accuracy=0.8910, roc_auc=0.7853, precision=0.5789, recall=0.0982, f1_score=0.1679, brier_score=0.0856.</w:t>
        <w:br/>
        <w:t>• Production &amp; Drift Metrics: prod_accuracy=0.6930, prod_roc_auc=0.7730, max_ks=0.6234, max_psi=2.3880, pred_ks=0.6654, pred_psi=2.7359.</w:t>
        <w:br/>
        <w:t>• Artifacts Recorded: Scikit-Learn Pipeline model with signature &amp; input example, confusion_matrix.png, roc_curve.png, feature_importance.png, ks_drift_summary.png, psi_stability_index.png, feature_distribution_shifts.png, prediction_drift_kde.png, and drift_analysis_report.json.</w:t>
      </w:r>
    </w:p>
    <w:p w:rsidR="00000000" w:rsidDel="00000000" w:rsidP="00000000" w:rsidRDefault="00000000" w:rsidRPr="00000000" w14:paraId="0000001C">
      <w:pPr>
        <w:numPr>
          <w:ilvl w:val="0"/>
          <w:numId w:val="2"/>
        </w:numPr>
        <w:ind w:left="720" w:hanging="360"/>
        <w:rPr/>
      </w:pPr>
      <w:r w:rsidDel="00000000" w:rsidR="00000000" w:rsidRPr="00000000">
        <w:rPr>
          <w:sz w:val="22"/>
          <w:szCs w:val="22"/>
          <w:rtl w:val="0"/>
        </w:rPr>
        <w:t xml:space="preserve">Brief description of successful execution:</w:t>
      </w:r>
      <w:r>
        <w:rPr>
          <w:rFonts w:ascii="Arial" w:hAnsi="Arial"/>
          <w:b w:val="0"/>
          <w:color w:val="232323"/>
          <w:sz w:val="19"/>
        </w:rPr>
        <w:t xml:space="preserve"> Pipeline execution automated via 'src/run_pipeline.py'. An MLflow Run titled 'GradientBoosting_Baseline_and_Drift_Audit' was executed. Training parameters, classification metrics, statistical drift p-values, PSI scores, diagnostic charts, and the complete serialized Scikit-Learn model pipeline were logged to MLflow without error.</w:t>
      </w:r>
    </w:p>
    <w:p w:rsidR="00000000" w:rsidDel="00000000" w:rsidP="00000000" w:rsidRDefault="00000000" w:rsidRPr="00000000" w14:paraId="0000001D">
      <w:pPr>
        <w:rPr>
          <w:sz w:val="22"/>
          <w:szCs w:val="22"/>
        </w:rPr>
      </w:pPr>
      <w:r w:rsidDel="00000000" w:rsidR="00000000" w:rsidRPr="00000000">
        <w:rPr>
          <w:rtl w:val="0"/>
        </w:rPr>
      </w:r>
    </w:p>
    <w:p w:rsidR="00000000" w:rsidDel="00000000" w:rsidP="00000000" w:rsidRDefault="00000000" w:rsidRPr="00000000" w14:paraId="0000001E">
      <w:pPr>
        <w:rPr>
          <w:sz w:val="22"/>
          <w:szCs w:val="22"/>
        </w:rPr>
      </w:pPr>
      <w:r w:rsidDel="00000000" w:rsidR="00000000" w:rsidRPr="00000000">
        <w:rPr>
          <w:rtl w:val="0"/>
        </w:rPr>
      </w:r>
    </w:p>
    <w:p w:rsidR="00000000" w:rsidDel="00000000" w:rsidP="00000000" w:rsidRDefault="00000000" w:rsidRPr="00000000" w14:paraId="0000001F">
      <w:pPr>
        <w:rPr>
          <w:sz w:val="22"/>
          <w:szCs w:val="22"/>
        </w:rPr>
      </w:pPr>
      <w:r w:rsidDel="00000000" w:rsidR="00000000" w:rsidRPr="00000000">
        <w:rPr>
          <w:rtl w:val="0"/>
        </w:rPr>
      </w:r>
    </w:p>
    <w:p w:rsidR="00000000" w:rsidDel="00000000" w:rsidP="00000000" w:rsidRDefault="00000000" w:rsidRPr="00000000" w14:paraId="00000020">
      <w:pPr>
        <w:rPr>
          <w:b w:val="1"/>
          <w:bCs w:val="1"/>
          <w:sz w:val="22"/>
          <w:szCs w:val="22"/>
        </w:rPr>
      </w:pPr>
      <w:r w:rsidDel="00000000" w:rsidR="00000000" w:rsidRPr="00000000">
        <w:rPr>
          <w:b w:val="1"/>
          <w:bCs w:val="1"/>
          <w:sz w:val="22"/>
          <w:szCs w:val="22"/>
          <w:rtl w:val="0"/>
        </w:rPr>
        <w:t xml:space="preserve">2. Dataset Identification</w:t>
      </w:r>
    </w:p>
    <w:p w:rsidR="00000000" w:rsidDel="00000000" w:rsidP="00000000" w:rsidRDefault="00000000" w:rsidRPr="00000000" w14:paraId="00000021">
      <w:pPr>
        <w:rPr>
          <w:sz w:val="22"/>
          <w:szCs w:val="22"/>
        </w:rPr>
      </w:pPr>
      <w:r w:rsidDel="00000000" w:rsidR="00000000" w:rsidRPr="00000000">
        <w:rPr>
          <w:sz w:val="22"/>
          <w:szCs w:val="22"/>
          <w:rtl w:val="0"/>
        </w:rPr>
        <w:t xml:space="preserve">2.1 Problem Statement</w:t>
      </w:r>
    </w:p>
    <w:p w:rsidR="00000000" w:rsidDel="00000000" w:rsidP="00000000" w:rsidRDefault="00000000" w:rsidRPr="00000000" w14:paraId="00000022">
      <w:pPr>
        <w:rPr>
          <w:sz w:val="22"/>
          <w:szCs w:val="22"/>
        </w:rPr>
      </w:pPr>
      <w:r>
        <w:rPr>
          <w:rFonts w:ascii="Arial" w:hAnsi="Arial"/>
          <w:color w:val="232323"/>
          <w:sz w:val="19"/>
        </w:rPr>
        <w:t>In the Financial Services and FinTech domain, consumer credit institutions face substantial portfolio risk from borrower defaults. Underwriting models predict loan default risk based on borrower leverage, credit history, and income. However, real-world macroeconomic volatility—such as inflation, rising policy interest rates, and escalating cost-of-living—induces severe distribution shifts over time. When borrower debt burdens increase and disposable income contracts, models trained on historical data experience both Data Drift (Covariate Shift) and Concept Drift. This project establishes an automated MLOps drift monitoring pipeline to audit credit default models in real time, detecting distribution divergence before financial losses occur.</w:t>
      </w:r>
    </w:p>
    <w:p w:rsidR="00000000" w:rsidDel="00000000" w:rsidP="00000000" w:rsidRDefault="00000000" w:rsidRPr="00000000" w14:paraId="00000023">
      <w:pPr>
        <w:rPr>
          <w:sz w:val="22"/>
          <w:szCs w:val="22"/>
        </w:rPr>
      </w:pPr>
      <w:r w:rsidDel="00000000" w:rsidR="00000000" w:rsidRPr="00000000">
        <w:rPr>
          <w:sz w:val="22"/>
          <w:szCs w:val="22"/>
          <w:rtl w:val="0"/>
        </w:rPr>
        <w:t xml:space="preserve">2.2 Dataset Details</w:t>
      </w:r>
    </w:p>
    <w:p w:rsidR="00000000" w:rsidDel="00000000" w:rsidP="00000000" w:rsidRDefault="00000000" w:rsidRPr="00000000" w14:paraId="00000024">
      <w:pPr>
        <w:numPr>
          <w:ilvl w:val="0"/>
          <w:numId w:val="3"/>
        </w:numPr>
        <w:ind w:left="720" w:hanging="360"/>
        <w:rPr/>
      </w:pPr>
      <w:r w:rsidDel="00000000" w:rsidR="00000000" w:rsidRPr="00000000">
        <w:rPr>
          <w:sz w:val="22"/>
          <w:szCs w:val="22"/>
          <w:rtl w:val="0"/>
        </w:rPr>
        <w:t xml:space="preserve">Dataset Name:</w:t>
      </w:r>
      <w:r>
        <w:rPr>
          <w:rFonts w:ascii="Arial" w:hAnsi="Arial"/>
          <w:b/>
          <w:color w:val="232323"/>
          <w:sz w:val="19"/>
        </w:rPr>
        <w:t xml:space="preserve"> FinTech Lending &amp; Credit Default Risk Dataset</w:t>
      </w:r>
    </w:p>
    <w:p w:rsidR="00000000" w:rsidDel="00000000" w:rsidP="00000000" w:rsidRDefault="00000000" w:rsidRPr="00000000" w14:paraId="00000025">
      <w:pPr>
        <w:numPr>
          <w:ilvl w:val="0"/>
          <w:numId w:val="3"/>
        </w:numPr>
        <w:ind w:left="720" w:hanging="360"/>
        <w:rPr/>
      </w:pPr>
      <w:r w:rsidDel="00000000" w:rsidR="00000000" w:rsidRPr="00000000">
        <w:rPr>
          <w:sz w:val="22"/>
          <w:szCs w:val="22"/>
          <w:rtl w:val="0"/>
        </w:rPr>
        <w:t xml:space="preserve">Dataset Source:</w:t>
      </w:r>
      <w:r>
        <w:rPr>
          <w:rFonts w:ascii="Arial" w:hAnsi="Arial"/>
          <w:b w:val="0"/>
          <w:color w:val="232323"/>
          <w:sz w:val="19"/>
        </w:rPr>
        <w:t xml:space="preserve"> Synthesized from industry-standard credit risk distributions aligned with LendingClub, German Credit, and Home Credit Default Risk empirical benchmarks.</w:t>
      </w:r>
    </w:p>
    <w:p w:rsidR="00000000" w:rsidDel="00000000" w:rsidP="00000000" w:rsidRDefault="00000000" w:rsidRPr="00000000" w14:paraId="00000026">
      <w:pPr>
        <w:numPr>
          <w:ilvl w:val="0"/>
          <w:numId w:val="3"/>
        </w:numPr>
        <w:ind w:left="720" w:hanging="360"/>
        <w:rPr/>
      </w:pPr>
      <w:r w:rsidDel="00000000" w:rsidR="00000000" w:rsidRPr="00000000">
        <w:rPr>
          <w:sz w:val="22"/>
          <w:szCs w:val="22"/>
          <w:rtl w:val="0"/>
        </w:rPr>
        <w:t xml:space="preserve">Number of Records:</w:t>
      </w:r>
      <w:r>
        <w:rPr>
          <w:rFonts w:ascii="Arial" w:hAnsi="Arial"/>
          <w:b/>
          <w:color w:val="232323"/>
          <w:sz w:val="19"/>
        </w:rPr>
        <w:t xml:space="preserve"> 10,000 total records (5,000 Reference Baseline loans + 5,000 Production Drift loans)</w:t>
      </w:r>
    </w:p>
    <w:p w:rsidR="00000000" w:rsidDel="00000000" w:rsidP="00000000" w:rsidRDefault="00000000" w:rsidRPr="00000000" w14:paraId="00000027">
      <w:pPr>
        <w:numPr>
          <w:ilvl w:val="0"/>
          <w:numId w:val="3"/>
        </w:numPr>
        <w:ind w:left="720" w:hanging="360"/>
        <w:rPr/>
      </w:pPr>
      <w:r w:rsidDel="00000000" w:rsidR="00000000" w:rsidRPr="00000000">
        <w:rPr>
          <w:sz w:val="22"/>
          <w:szCs w:val="22"/>
          <w:rtl w:val="0"/>
        </w:rPr>
        <w:t xml:space="preserve">Important Features:</w:t>
      </w:r>
      <w:r>
        <w:rPr>
          <w:rFonts w:ascii="Arial" w:hAnsi="Arial"/>
          <w:b w:val="0"/>
          <w:color w:val="232323"/>
          <w:sz w:val="19"/>
        </w:rPr>
        <w:t xml:space="preserve"> annual_income, debt_to_income_ratio, credit_score, loan_amount, interest_rate, employment_length_years, revolving_balance, num_derogatory_records, home_ownership, loan_purpose.</w:t>
      </w:r>
    </w:p>
    <w:p w:rsidR="00000000" w:rsidDel="00000000" w:rsidP="00000000" w:rsidRDefault="00000000" w:rsidRPr="00000000" w14:paraId="00000028">
      <w:pPr>
        <w:numPr>
          <w:ilvl w:val="0"/>
          <w:numId w:val="3"/>
        </w:numPr>
        <w:ind w:left="720" w:hanging="360"/>
        <w:rPr/>
      </w:pPr>
      <w:r w:rsidDel="00000000" w:rsidR="00000000" w:rsidRPr="00000000">
        <w:rPr>
          <w:sz w:val="22"/>
          <w:szCs w:val="22"/>
          <w:rtl w:val="0"/>
        </w:rPr>
        <w:t xml:space="preserve">Target Variable (if applicable):</w:t>
      </w:r>
      <w:r>
        <w:rPr>
          <w:rFonts w:ascii="Arial" w:hAnsi="Arial"/>
          <w:b/>
          <w:color w:val="232323"/>
          <w:sz w:val="19"/>
        </w:rPr>
        <w:t xml:space="preserve"> loan_default (Binary: 0 = Non-Default / Fully Paid, 1 = Default / Delinquent)</w:t>
      </w:r>
    </w:p>
    <w:p w:rsidR="00000000" w:rsidDel="00000000" w:rsidP="00000000" w:rsidRDefault="00000000" w:rsidRPr="00000000" w14:paraId="00000029">
      <w:pPr>
        <w:numPr>
          <w:ilvl w:val="0"/>
          <w:numId w:val="3"/>
        </w:numPr>
        <w:ind w:left="720" w:hanging="360"/>
        <w:rPr/>
      </w:pPr>
      <w:r>
        <w:rPr>
          <w:rFonts w:ascii="Arial" w:hAnsi="Arial"/>
          <w:color w:val="232323"/>
          <w:sz w:val="19"/>
        </w:rPr>
        <w:t>Use Case Category: Supervised Machine Learning (Binary Classification with Automated Distribution Shift &amp; Data Drift Monitoring)</w:t>
      </w:r>
    </w:p>
    <w:p w:rsidR="00000000" w:rsidDel="00000000" w:rsidP="00000000" w:rsidRDefault="00000000" w:rsidRPr="00000000" w14:paraId="0000002A">
      <w:pPr>
        <w:rPr>
          <w:sz w:val="22"/>
          <w:szCs w:val="22"/>
        </w:rPr>
      </w:pPr>
      <w:r w:rsidDel="00000000" w:rsidR="00000000" w:rsidRPr="00000000">
        <w:rPr>
          <w:sz w:val="22"/>
          <w:szCs w:val="22"/>
          <w:rtl w:val="0"/>
        </w:rPr>
        <w:t xml:space="preserve">2.3 Dataset Selection Rationale</w:t>
      </w:r>
    </w:p>
    <w:p w:rsidR="00000000" w:rsidDel="00000000" w:rsidP="00000000" w:rsidRDefault="00000000" w:rsidRPr="00000000" w14:paraId="0000002B">
      <w:pPr>
        <w:rPr>
          <w:sz w:val="22"/>
          <w:szCs w:val="22"/>
        </w:rPr>
      </w:pPr>
      <w:r>
        <w:rPr>
          <w:rFonts w:ascii="Arial" w:hAnsi="Arial"/>
          <w:color w:val="232323"/>
          <w:sz w:val="19"/>
        </w:rPr>
        <w:t>Credit scoring models are uniquely vulnerable to economic cycle fluctuations. In consumer lending, debt-to-income ratio (DTI), credit bureau score (FICO), annual income, and interest rates serve as core risk determinants. Under macroeconomic stress, rising interest rates and inflation naturally shift feature distributions (causing Covariate Shift) while elevating default rates across previously medium-risk tiers (causing Concept Drift). This dataset mirrors real-world FinTech lending dynamics, making it an ideal benchmark for demonstrating MLflow tracking, statistical hypothesis testing (KS-test), and regulatory Population Stability Index (PSI) audits.</w:t>
      </w:r>
    </w:p>
    <w:p w:rsidR="00000000" w:rsidDel="00000000" w:rsidP="00000000" w:rsidRDefault="00000000" w:rsidRPr="00000000" w14:paraId="0000002C">
      <w:pPr>
        <w:rPr>
          <w:sz w:val="22"/>
          <w:szCs w:val="22"/>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sz w:val="22"/>
          <w:szCs w:val="22"/>
        </w:rPr>
      </w:pPr>
      <w:r w:rsidDel="00000000" w:rsidR="00000000" w:rsidRPr="00000000">
        <w:rPr>
          <w:b w:val="1"/>
          <w:bCs w:val="1"/>
          <w:sz w:val="22"/>
          <w:szCs w:val="22"/>
          <w:rtl w:val="0"/>
        </w:rPr>
        <w:t xml:space="preserve">3. Drift Scenario and Detection Method</w:t>
      </w:r>
    </w:p>
    <w:p w:rsidR="00000000" w:rsidDel="00000000" w:rsidP="00000000" w:rsidRDefault="00000000" w:rsidRPr="00000000" w14:paraId="00000039">
      <w:pPr>
        <w:rPr>
          <w:sz w:val="22"/>
          <w:szCs w:val="22"/>
        </w:rPr>
      </w:pPr>
      <w:r w:rsidDel="00000000" w:rsidR="00000000" w:rsidRPr="00000000">
        <w:rPr>
          <w:sz w:val="22"/>
          <w:szCs w:val="22"/>
          <w:rtl w:val="0"/>
        </w:rPr>
        <w:t xml:space="preserve">3.1 Drift Type</w:t>
      </w:r>
    </w:p>
    <w:p w:rsidR="00000000" w:rsidDel="00000000" w:rsidP="00000000" w:rsidRDefault="00000000" w:rsidRPr="00000000" w14:paraId="0000003A">
      <w:pPr>
        <w:rPr>
          <w:sz w:val="22"/>
          <w:szCs w:val="22"/>
        </w:rPr>
      </w:pPr>
      <w:r>
        <w:rPr>
          <w:rFonts w:ascii="Arial" w:hAnsi="Arial"/>
          <w:color w:val="232323"/>
          <w:sz w:val="19"/>
        </w:rPr>
        <w:t>The pipeline systematically detects and audits all three interrelated drift phenomena:</w:t>
        <w:br/>
        <w:t>1. Data Drift (Covariate Shift): Marked shift in the marginal input feature distributions P(X) between reference baseline and production data. In our audit, 100% of numerical features (8/8) exhibited significant drift (p &lt; 0.05), with severe shifts in interest_rate (PSI = 2.388), debt_to_income_ratio (PSI = 1.450), and credit_score (PSI = 1.036).</w:t>
        <w:br/>
        <w:t>2. Concept Drift: Alteration in the conditional relationship P(Y|X) between input applicant features and loan default probabilities under macroeconomic stress, causing baseline model accuracy to drop from 89.10% to 69.30% and ROC-AUC from 0.7853 to 0.7730.</w:t>
        <w:br/>
        <w:t>3. Prediction Drift: Severe rightward distribution shift in model output probabilities P(Y_hat), where the mean predicted default probability surged from 11.04% at baseline to 52.00% in production (KS = 0.6654, p &lt; 1e-300, PSI = 2.7359).</w:t>
      </w:r>
    </w:p>
    <w:p w:rsidR="00000000" w:rsidDel="00000000" w:rsidP="00000000" w:rsidRDefault="00000000" w:rsidRPr="00000000" w14:paraId="0000003B">
      <w:pPr>
        <w:rPr>
          <w:sz w:val="22"/>
          <w:szCs w:val="22"/>
        </w:rPr>
      </w:pPr>
      <w:r w:rsidDel="00000000" w:rsidR="00000000" w:rsidRPr="00000000">
        <w:rPr>
          <w:sz w:val="22"/>
          <w:szCs w:val="22"/>
          <w:rtl w:val="0"/>
        </w:rPr>
        <w:t xml:space="preserve">3.2 Reference and Current Data</w:t>
      </w:r>
    </w:p>
    <w:p w:rsidR="00000000" w:rsidDel="00000000" w:rsidP="00000000" w:rsidRDefault="00000000" w:rsidRPr="00000000" w14:paraId="0000003C">
      <w:pPr>
        <w:rPr>
          <w:sz w:val="22"/>
          <w:szCs w:val="22"/>
        </w:rPr>
      </w:pPr>
      <w:r>
        <w:rPr>
          <w:rFonts w:ascii="Arial" w:hAnsi="Arial"/>
          <w:color w:val="232323"/>
          <w:sz w:val="19"/>
        </w:rPr>
        <w:t>The drift evaluation compared two datasets representing distinct operational periods:</w:t>
        <w:br/>
        <w:t>• Reference Data (Baseline / Training): 5,000 historical loan applications processed during stable macroeconomic conditions (Months 1–6), featuring an 11.16% baseline default rate.</w:t>
        <w:br/>
        <w:t>• Current Data (Production / Inference): 5,000 post-deployment loan applications collected during an inflationary economic contraction (Months 7–12), where average interest rates rose from 10.46% to 15.35% (+46.8%), debt-to-income ratios rose from 18.45% to 26.81% (+45.3%), and the observed default rate reached 71.68%.</w:t>
        <w:br/>
        <w:t>The drift is naturally simulated according to empirical FinTech macroeconomic cycles.</w:t>
      </w:r>
    </w:p>
    <w:p w:rsidR="00000000" w:rsidDel="00000000" w:rsidP="00000000" w:rsidRDefault="00000000" w:rsidRPr="00000000" w14:paraId="0000003D">
      <w:pPr>
        <w:rPr>
          <w:sz w:val="22"/>
          <w:szCs w:val="22"/>
        </w:rPr>
      </w:pPr>
      <w:r w:rsidDel="00000000" w:rsidR="00000000" w:rsidRPr="00000000">
        <w:rPr>
          <w:sz w:val="22"/>
          <w:szCs w:val="22"/>
          <w:rtl w:val="0"/>
        </w:rPr>
        <w:t xml:space="preserve">3.3 Detection Method</w:t>
      </w:r>
    </w:p>
    <w:p w:rsidR="00000000" w:rsidDel="00000000" w:rsidP="00000000" w:rsidRDefault="00000000" w:rsidRPr="00000000" w14:paraId="0000003E">
      <w:pPr>
        <w:numPr>
          <w:ilvl w:val="0"/>
          <w:numId w:val="4"/>
        </w:numPr>
        <w:ind w:left="720" w:hanging="360"/>
        <w:rPr/>
      </w:pPr>
      <w:r w:rsidDel="00000000" w:rsidR="00000000" w:rsidRPr="00000000">
        <w:rPr>
          <w:sz w:val="22"/>
          <w:szCs w:val="22"/>
          <w:rtl w:val="0"/>
        </w:rPr>
        <w:t xml:space="preserve">Method / Statistical Test / Tool Used:</w:t>
      </w:r>
      <w:r>
        <w:rPr>
          <w:rFonts w:ascii="Arial" w:hAnsi="Arial"/>
          <w:b w:val="0"/>
          <w:color w:val="232323"/>
          <w:sz w:val="19"/>
        </w:rPr>
        <w:t xml:space="preserve"> 1. Two-Sample Kolmogorov-Smirnov (KS) Test (scipy.stats.ks_2samp) for continuous numerical variables.</w:t>
        <w:br/>
        <w:t>2. Population Stability Index (PSI) using 10 deciles against banking regulatory standards.</w:t>
        <w:br/>
        <w:t>3. Wasserstein Distance (Earth Mover's Distance) for distribution distance quantification.</w:t>
        <w:br/>
        <w:t>4. Chi-Square Goodness-of-Fit Test (scipy.stats.chisquare) for categorical feature shifts.</w:t>
        <w:br/>
        <w:t>5. MLflow Tracking Service for automated metric logging, parameter auditing, and artifact registry.</w:t>
      </w:r>
    </w:p>
    <w:p w:rsidR="00000000" w:rsidDel="00000000" w:rsidP="00000000" w:rsidRDefault="00000000" w:rsidRPr="00000000" w14:paraId="0000003F">
      <w:pPr>
        <w:numPr>
          <w:ilvl w:val="0"/>
          <w:numId w:val="4"/>
        </w:numPr>
        <w:ind w:left="720" w:hanging="360"/>
        <w:rPr/>
      </w:pPr>
      <w:r w:rsidDel="00000000" w:rsidR="00000000" w:rsidRPr="00000000">
        <w:rPr>
          <w:sz w:val="22"/>
          <w:szCs w:val="22"/>
          <w:rtl w:val="0"/>
        </w:rPr>
        <w:t xml:space="preserve">Features or outputs analyzed:</w:t>
      </w:r>
      <w:r>
        <w:rPr>
          <w:rFonts w:ascii="Arial" w:hAnsi="Arial"/>
          <w:b w:val="0"/>
          <w:color w:val="232323"/>
          <w:sz w:val="19"/>
        </w:rPr>
        <w:t xml:space="preserve"> All 8 continuous numerical features (annual_income, debt_to_income_ratio, credit_score, loan_amount, interest_rate, employment_length_years, revolving_balance, num_derogatory_records), 2 categorical features (home_ownership, loan_purpose), and model prediction probabilities (predicted_default_prob).</w:t>
      </w:r>
    </w:p>
    <w:p w:rsidR="00000000" w:rsidDel="00000000" w:rsidP="00000000" w:rsidRDefault="00000000" w:rsidRPr="00000000" w14:paraId="00000040">
      <w:pPr>
        <w:numPr>
          <w:ilvl w:val="0"/>
          <w:numId w:val="4"/>
        </w:numPr>
        <w:ind w:left="720" w:hanging="360"/>
        <w:rPr/>
      </w:pPr>
      <w:r w:rsidDel="00000000" w:rsidR="00000000" w:rsidRPr="00000000">
        <w:rPr>
          <w:sz w:val="22"/>
          <w:szCs w:val="22"/>
          <w:rtl w:val="0"/>
        </w:rPr>
        <w:t xml:space="preserve">Detection threshold or criteria, if applicable:</w:t>
      </w:r>
      <w:r>
        <w:rPr>
          <w:rFonts w:ascii="Arial" w:hAnsi="Arial"/>
          <w:b w:val="0"/>
          <w:color w:val="232323"/>
          <w:sz w:val="19"/>
        </w:rPr>
        <w:t xml:space="preserve"> • KS-Test: Significance level alpha = 0.05 (p-value &lt; 0.05 rejects H0, confirming data drift).</w:t>
        <w:br/>
        <w:t>• PSI Thresholds: PSI &lt; 0.10 (No significant change / Stable); 0.10 &lt;= PSI &lt; 0.25 (Moderate shift / Close monitoring); PSI &gt;= 0.25 (Severe drift / Action required).</w:t>
        <w:br/>
        <w:t>• Dataset-Level Drift Rule: Trigger pipeline alert if &gt;= 30% of features exhibit statistically significant drift or if Output Prediction PSI &gt;= 0.25.</w:t>
      </w:r>
    </w:p>
    <w:p w:rsidR="00000000" w:rsidDel="00000000" w:rsidP="00000000" w:rsidRDefault="00000000" w:rsidRPr="00000000" w14:paraId="00000041">
      <w:pPr>
        <w:rPr>
          <w:sz w:val="22"/>
          <w:szCs w:val="22"/>
        </w:rPr>
      </w:pPr>
      <w:r w:rsidDel="00000000" w:rsidR="00000000" w:rsidRPr="00000000">
        <w:rPr>
          <w:rtl w:val="0"/>
        </w:rPr>
      </w:r>
    </w:p>
    <w:p w:rsidR="00000000" w:rsidDel="00000000" w:rsidP="00000000" w:rsidRDefault="00000000" w:rsidRPr="00000000" w14:paraId="00000042">
      <w:pPr>
        <w:rPr>
          <w:sz w:val="22"/>
          <w:szCs w:val="22"/>
        </w:rPr>
      </w:pPr>
      <w:r w:rsidDel="00000000" w:rsidR="00000000" w:rsidRPr="00000000">
        <w:rPr>
          <w:rtl w:val="0"/>
        </w:rPr>
      </w:r>
    </w:p>
    <w:p w:rsidR="00000000" w:rsidDel="00000000" w:rsidP="00000000" w:rsidRDefault="00000000" w:rsidRPr="00000000" w14:paraId="00000043">
      <w:pPr>
        <w:rPr>
          <w:b w:val="1"/>
          <w:bCs w:val="1"/>
          <w:sz w:val="22"/>
          <w:szCs w:val="22"/>
        </w:rPr>
      </w:pPr>
      <w:r w:rsidDel="00000000" w:rsidR="00000000" w:rsidRPr="00000000">
        <w:rPr>
          <w:b w:val="1"/>
          <w:bCs w:val="1"/>
          <w:sz w:val="22"/>
          <w:szCs w:val="22"/>
          <w:rtl w:val="0"/>
        </w:rPr>
        <w:t xml:space="preserve">4. Results, Interpretation and Conclusion</w:t>
      </w:r>
    </w:p>
    <w:p w:rsidR="00000000" w:rsidDel="00000000" w:rsidP="00000000" w:rsidRDefault="00000000" w:rsidRPr="00000000" w14:paraId="00000044">
      <w:pPr>
        <w:rPr>
          <w:sz w:val="22"/>
          <w:szCs w:val="22"/>
        </w:rPr>
      </w:pPr>
      <w:r w:rsidDel="00000000" w:rsidR="00000000" w:rsidRPr="00000000">
        <w:rPr>
          <w:sz w:val="22"/>
          <w:szCs w:val="22"/>
          <w:rtl w:val="0"/>
        </w:rPr>
        <w:t xml:space="preserve">4.1 Drift Analysis Results</w:t>
      </w:r>
    </w:p>
    <w:p w:rsidR="00000000" w:rsidDel="00000000" w:rsidP="00000000" w:rsidRDefault="00000000" w:rsidRPr="00000000" w14:paraId="00000045">
      <w:pPr>
        <w:rPr>
          <w:sz w:val="22"/>
          <w:szCs w:val="22"/>
        </w:rPr>
      </w:pPr>
      <w:r>
        <w:rPr>
          <w:rFonts w:ascii="Arial" w:hAnsi="Arial"/>
          <w:color w:val="232323"/>
          <w:sz w:val="19"/>
        </w:rPr>
        <w:t>Statistical drift analysis confirmed that 100% of continuous numerical features and both categorical features experienced significant distribution divergence. Severe drift was observed in interest rates (KS=0.6234, PSI=2.388), debt-to-income ratio (KS=0.4978, PSI=1.450), and credit scores (KS=0.4250, PSI=1.036). Model prediction probabilities shifted drastically from a baseline mean of 11.04% to 52.00% (KS=0.6654, PSI=2.7359). Due to concept drift under macroeconomic stress, model accuracy dropped from 89.10% to 69.30%, and ROC-AUC declined from 0.7853 to 0.7730. Table 1 summarizes the empirical numerical drift results:</w:t>
      </w:r>
    </w:p>
    <w:p>
      <w:pPr>
        <w:jc w:val="center"/>
      </w:pPr>
      <w:r>
        <w:rPr>
          <w:b/>
          <w:color w:val="003366"/>
          <w:sz w:val="18"/>
        </w:rPr>
        <w:t>Table 1: Empirical Statistical Drift Detection Summary across All Features</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680"/>
            <w:shd w:fill="003366"/>
            <w:tcMar>
              <w:top w:w="60" w:type="dxa"/>
              <w:bottom w:w="60" w:type="dxa"/>
              <w:left w:w="80" w:type="dxa"/>
              <w:right w:w="80" w:type="dxa"/>
            </w:tcMar>
          </w:tcPr>
          <w:p>
            <w:r>
              <w:rPr>
                <w:rFonts w:ascii="Arial" w:hAnsi="Arial"/>
                <w:b/>
                <w:color w:val="FFFFFF"/>
                <w:sz w:val="17"/>
              </w:rPr>
              <w:t>Feature</w:t>
            </w:r>
          </w:p>
        </w:tc>
        <w:tc>
          <w:tcPr>
            <w:tcW w:type="dxa" w:w="1680"/>
            <w:shd w:fill="003366"/>
            <w:tcMar>
              <w:top w:w="60" w:type="dxa"/>
              <w:bottom w:w="60" w:type="dxa"/>
              <w:left w:w="80" w:type="dxa"/>
              <w:right w:w="80" w:type="dxa"/>
            </w:tcMar>
          </w:tcPr>
          <w:p>
            <w:r>
              <w:rPr>
                <w:rFonts w:ascii="Arial" w:hAnsi="Arial"/>
                <w:b/>
                <w:color w:val="FFFFFF"/>
                <w:sz w:val="17"/>
              </w:rPr>
              <w:t>KS Stat (D)</w:t>
            </w:r>
          </w:p>
        </w:tc>
        <w:tc>
          <w:tcPr>
            <w:tcW w:type="dxa" w:w="1680"/>
            <w:shd w:fill="003366"/>
            <w:tcMar>
              <w:top w:w="60" w:type="dxa"/>
              <w:bottom w:w="60" w:type="dxa"/>
              <w:left w:w="80" w:type="dxa"/>
              <w:right w:w="80" w:type="dxa"/>
            </w:tcMar>
          </w:tcPr>
          <w:p>
            <w:r>
              <w:rPr>
                <w:rFonts w:ascii="Arial" w:hAnsi="Arial"/>
                <w:b/>
                <w:color w:val="FFFFFF"/>
                <w:sz w:val="17"/>
              </w:rPr>
              <w:t>p-value</w:t>
            </w:r>
          </w:p>
        </w:tc>
        <w:tc>
          <w:tcPr>
            <w:tcW w:type="dxa" w:w="1680"/>
            <w:shd w:fill="003366"/>
            <w:tcMar>
              <w:top w:w="60" w:type="dxa"/>
              <w:bottom w:w="60" w:type="dxa"/>
              <w:left w:w="80" w:type="dxa"/>
              <w:right w:w="80" w:type="dxa"/>
            </w:tcMar>
          </w:tcPr>
          <w:p>
            <w:r>
              <w:rPr>
                <w:rFonts w:ascii="Arial" w:hAnsi="Arial"/>
                <w:b/>
                <w:color w:val="FFFFFF"/>
                <w:sz w:val="17"/>
              </w:rPr>
              <w:t>PSI Score</w:t>
            </w:r>
          </w:p>
        </w:tc>
        <w:tc>
          <w:tcPr>
            <w:tcW w:type="dxa" w:w="1680"/>
            <w:shd w:fill="003366"/>
            <w:tcMar>
              <w:top w:w="60" w:type="dxa"/>
              <w:bottom w:w="60" w:type="dxa"/>
              <w:left w:w="80" w:type="dxa"/>
              <w:right w:w="80" w:type="dxa"/>
            </w:tcMar>
          </w:tcPr>
          <w:p>
            <w:r>
              <w:rPr>
                <w:rFonts w:ascii="Arial" w:hAnsi="Arial"/>
                <w:b/>
                <w:color w:val="FFFFFF"/>
                <w:sz w:val="17"/>
              </w:rPr>
              <w:t>FinTech PSI Status</w:t>
            </w:r>
          </w:p>
        </w:tc>
        <w:tc>
          <w:tcPr>
            <w:tcW w:type="dxa" w:w="1680"/>
            <w:shd w:fill="003366"/>
            <w:tcMar>
              <w:top w:w="60" w:type="dxa"/>
              <w:bottom w:w="60" w:type="dxa"/>
              <w:left w:w="80" w:type="dxa"/>
              <w:right w:w="80" w:type="dxa"/>
            </w:tcMar>
          </w:tcPr>
          <w:p>
            <w:r>
              <w:rPr>
                <w:rFonts w:ascii="Arial" w:hAnsi="Arial"/>
                <w:b/>
                <w:color w:val="FFFFFF"/>
                <w:sz w:val="17"/>
              </w:rPr>
              <w:t>Drift Detected</w:t>
            </w:r>
          </w:p>
        </w:tc>
      </w:tr>
      <w:tr>
        <w:trPr>
          <w:cantSplit/>
        </w:trPr>
        <w:tc>
          <w:tcPr>
            <w:tcW w:type="dxa" w:w="1680"/>
            <w:tcMar>
              <w:top w:w="40" w:type="dxa"/>
              <w:bottom w:w="40" w:type="dxa"/>
              <w:left w:w="60" w:type="dxa"/>
              <w:right w:w="60" w:type="dxa"/>
            </w:tcMar>
          </w:tcPr>
          <w:p>
            <w:r>
              <w:rPr>
                <w:rFonts w:ascii="Arial" w:hAnsi="Arial"/>
                <w:sz w:val="16"/>
              </w:rPr>
              <w:t>annual_income</w:t>
            </w:r>
          </w:p>
        </w:tc>
        <w:tc>
          <w:tcPr>
            <w:tcW w:type="dxa" w:w="1680"/>
            <w:tcMar>
              <w:top w:w="40" w:type="dxa"/>
              <w:bottom w:w="40" w:type="dxa"/>
              <w:left w:w="60" w:type="dxa"/>
              <w:right w:w="60" w:type="dxa"/>
            </w:tcMar>
          </w:tcPr>
          <w:p>
            <w:r>
              <w:rPr>
                <w:rFonts w:ascii="Arial" w:hAnsi="Arial"/>
                <w:sz w:val="16"/>
              </w:rPr>
              <w:t>0.2084</w:t>
            </w:r>
          </w:p>
        </w:tc>
        <w:tc>
          <w:tcPr>
            <w:tcW w:type="dxa" w:w="1680"/>
            <w:tcMar>
              <w:top w:w="40" w:type="dxa"/>
              <w:bottom w:w="40" w:type="dxa"/>
              <w:left w:w="60" w:type="dxa"/>
              <w:right w:w="60" w:type="dxa"/>
            </w:tcMar>
          </w:tcPr>
          <w:p>
            <w:r>
              <w:rPr>
                <w:rFonts w:ascii="Arial" w:hAnsi="Arial"/>
                <w:sz w:val="16"/>
              </w:rPr>
              <w:t>2.03e-95</w:t>
            </w:r>
          </w:p>
        </w:tc>
        <w:tc>
          <w:tcPr>
            <w:tcW w:type="dxa" w:w="1680"/>
            <w:tcMar>
              <w:top w:w="40" w:type="dxa"/>
              <w:bottom w:w="40" w:type="dxa"/>
              <w:left w:w="60" w:type="dxa"/>
              <w:right w:w="60" w:type="dxa"/>
            </w:tcMar>
          </w:tcPr>
          <w:p>
            <w:r>
              <w:rPr>
                <w:rFonts w:ascii="Arial" w:hAnsi="Arial"/>
                <w:sz w:val="16"/>
              </w:rPr>
              <w:t>0.2496</w:t>
            </w:r>
          </w:p>
        </w:tc>
        <w:tc>
          <w:tcPr>
            <w:tcW w:type="dxa" w:w="1680"/>
            <w:shd w:fill="FCF3CF"/>
            <w:tcMar>
              <w:top w:w="40" w:type="dxa"/>
              <w:bottom w:w="40" w:type="dxa"/>
              <w:left w:w="60" w:type="dxa"/>
              <w:right w:w="60" w:type="dxa"/>
            </w:tcMar>
          </w:tcPr>
          <w:p>
            <w:r>
              <w:rPr>
                <w:rFonts w:ascii="Arial" w:hAnsi="Arial"/>
                <w:sz w:val="16"/>
              </w:rPr>
              <w:t>Moderate Drift (0.10-0.25)</w:t>
            </w:r>
          </w:p>
        </w:tc>
        <w:tc>
          <w:tcPr>
            <w:tcW w:type="dxa" w:w="1680"/>
            <w:shd w:fill="FCF3CF"/>
            <w:tcMar>
              <w:top w:w="40" w:type="dxa"/>
              <w:bottom w:w="40" w:type="dxa"/>
              <w:left w:w="60" w:type="dxa"/>
              <w:right w:w="60" w:type="dxa"/>
            </w:tcMar>
          </w:tcPr>
          <w:p>
            <w:r>
              <w:rPr>
                <w:rFonts w:ascii="Arial" w:hAnsi="Arial"/>
                <w:sz w:val="16"/>
              </w:rPr>
              <w:t>YES</w:t>
            </w:r>
          </w:p>
        </w:tc>
      </w:tr>
      <w:tr>
        <w:trPr>
          <w:cantSplit/>
        </w:trPr>
        <w:tc>
          <w:tcPr>
            <w:tcW w:type="dxa" w:w="1680"/>
            <w:tcMar>
              <w:top w:w="40" w:type="dxa"/>
              <w:bottom w:w="40" w:type="dxa"/>
              <w:left w:w="60" w:type="dxa"/>
              <w:right w:w="60" w:type="dxa"/>
            </w:tcMar>
          </w:tcPr>
          <w:p>
            <w:r>
              <w:rPr>
                <w:rFonts w:ascii="Arial" w:hAnsi="Arial"/>
                <w:sz w:val="16"/>
              </w:rPr>
              <w:t>debt_to_income_ratio</w:t>
            </w:r>
          </w:p>
        </w:tc>
        <w:tc>
          <w:tcPr>
            <w:tcW w:type="dxa" w:w="1680"/>
            <w:tcMar>
              <w:top w:w="40" w:type="dxa"/>
              <w:bottom w:w="40" w:type="dxa"/>
              <w:left w:w="60" w:type="dxa"/>
              <w:right w:w="60" w:type="dxa"/>
            </w:tcMar>
          </w:tcPr>
          <w:p>
            <w:r>
              <w:rPr>
                <w:rFonts w:ascii="Arial" w:hAnsi="Arial"/>
                <w:sz w:val="16"/>
              </w:rPr>
              <w:t>0.4978</w:t>
            </w:r>
          </w:p>
        </w:tc>
        <w:tc>
          <w:tcPr>
            <w:tcW w:type="dxa" w:w="1680"/>
            <w:tcMar>
              <w:top w:w="40" w:type="dxa"/>
              <w:bottom w:w="40" w:type="dxa"/>
              <w:left w:w="60" w:type="dxa"/>
              <w:right w:w="60" w:type="dxa"/>
            </w:tcMar>
          </w:tcPr>
          <w:p>
            <w:r>
              <w:rPr>
                <w:rFonts w:ascii="Arial" w:hAnsi="Arial"/>
                <w:sz w:val="16"/>
              </w:rPr>
              <w:t>0.00e+00</w:t>
            </w:r>
          </w:p>
        </w:tc>
        <w:tc>
          <w:tcPr>
            <w:tcW w:type="dxa" w:w="1680"/>
            <w:tcMar>
              <w:top w:w="40" w:type="dxa"/>
              <w:bottom w:w="40" w:type="dxa"/>
              <w:left w:w="60" w:type="dxa"/>
              <w:right w:w="60" w:type="dxa"/>
            </w:tcMar>
          </w:tcPr>
          <w:p>
            <w:r>
              <w:rPr>
                <w:rFonts w:ascii="Arial" w:hAnsi="Arial"/>
                <w:sz w:val="16"/>
              </w:rPr>
              <w:t>1.4500</w:t>
            </w:r>
          </w:p>
        </w:tc>
        <w:tc>
          <w:tcPr>
            <w:tcW w:type="dxa" w:w="1680"/>
            <w:shd w:fill="FADBD8"/>
            <w:tcMar>
              <w:top w:w="40" w:type="dxa"/>
              <w:bottom w:w="40" w:type="dxa"/>
              <w:left w:w="60" w:type="dxa"/>
              <w:right w:w="60" w:type="dxa"/>
            </w:tcMar>
          </w:tcPr>
          <w:p>
            <w:r>
              <w:rPr>
                <w:rFonts w:ascii="Arial" w:hAnsi="Arial"/>
                <w:sz w:val="16"/>
              </w:rPr>
              <w:t>Severe Drift (&gt;=0.25)</w:t>
            </w:r>
          </w:p>
        </w:tc>
        <w:tc>
          <w:tcPr>
            <w:tcW w:type="dxa" w:w="1680"/>
            <w:shd w:fill="FADBD8"/>
            <w:tcMar>
              <w:top w:w="40" w:type="dxa"/>
              <w:bottom w:w="40" w:type="dxa"/>
              <w:left w:w="60" w:type="dxa"/>
              <w:right w:w="60" w:type="dxa"/>
            </w:tcMar>
          </w:tcPr>
          <w:p>
            <w:r>
              <w:rPr>
                <w:rFonts w:ascii="Arial" w:hAnsi="Arial"/>
                <w:sz w:val="16"/>
              </w:rPr>
              <w:t>YES</w:t>
            </w:r>
          </w:p>
        </w:tc>
      </w:tr>
      <w:tr>
        <w:trPr>
          <w:cantSplit/>
        </w:trPr>
        <w:tc>
          <w:tcPr>
            <w:tcW w:type="dxa" w:w="1680"/>
            <w:tcMar>
              <w:top w:w="40" w:type="dxa"/>
              <w:bottom w:w="40" w:type="dxa"/>
              <w:left w:w="60" w:type="dxa"/>
              <w:right w:w="60" w:type="dxa"/>
            </w:tcMar>
          </w:tcPr>
          <w:p>
            <w:r>
              <w:rPr>
                <w:rFonts w:ascii="Arial" w:hAnsi="Arial"/>
                <w:sz w:val="16"/>
              </w:rPr>
              <w:t>credit_score</w:t>
            </w:r>
          </w:p>
        </w:tc>
        <w:tc>
          <w:tcPr>
            <w:tcW w:type="dxa" w:w="1680"/>
            <w:tcMar>
              <w:top w:w="40" w:type="dxa"/>
              <w:bottom w:w="40" w:type="dxa"/>
              <w:left w:w="60" w:type="dxa"/>
              <w:right w:w="60" w:type="dxa"/>
            </w:tcMar>
          </w:tcPr>
          <w:p>
            <w:r>
              <w:rPr>
                <w:rFonts w:ascii="Arial" w:hAnsi="Arial"/>
                <w:sz w:val="16"/>
              </w:rPr>
              <w:t>0.4250</w:t>
            </w:r>
          </w:p>
        </w:tc>
        <w:tc>
          <w:tcPr>
            <w:tcW w:type="dxa" w:w="1680"/>
            <w:tcMar>
              <w:top w:w="40" w:type="dxa"/>
              <w:bottom w:w="40" w:type="dxa"/>
              <w:left w:w="60" w:type="dxa"/>
              <w:right w:w="60" w:type="dxa"/>
            </w:tcMar>
          </w:tcPr>
          <w:p>
            <w:r>
              <w:rPr>
                <w:rFonts w:ascii="Arial" w:hAnsi="Arial"/>
                <w:sz w:val="16"/>
              </w:rPr>
              <w:t>0.00e+00</w:t>
            </w:r>
          </w:p>
        </w:tc>
        <w:tc>
          <w:tcPr>
            <w:tcW w:type="dxa" w:w="1680"/>
            <w:tcMar>
              <w:top w:w="40" w:type="dxa"/>
              <w:bottom w:w="40" w:type="dxa"/>
              <w:left w:w="60" w:type="dxa"/>
              <w:right w:w="60" w:type="dxa"/>
            </w:tcMar>
          </w:tcPr>
          <w:p>
            <w:r>
              <w:rPr>
                <w:rFonts w:ascii="Arial" w:hAnsi="Arial"/>
                <w:sz w:val="16"/>
              </w:rPr>
              <w:t>1.0362</w:t>
            </w:r>
          </w:p>
        </w:tc>
        <w:tc>
          <w:tcPr>
            <w:tcW w:type="dxa" w:w="1680"/>
            <w:shd w:fill="FADBD8"/>
            <w:tcMar>
              <w:top w:w="40" w:type="dxa"/>
              <w:bottom w:w="40" w:type="dxa"/>
              <w:left w:w="60" w:type="dxa"/>
              <w:right w:w="60" w:type="dxa"/>
            </w:tcMar>
          </w:tcPr>
          <w:p>
            <w:r>
              <w:rPr>
                <w:rFonts w:ascii="Arial" w:hAnsi="Arial"/>
                <w:sz w:val="16"/>
              </w:rPr>
              <w:t>Severe Drift (&gt;=0.25)</w:t>
            </w:r>
          </w:p>
        </w:tc>
        <w:tc>
          <w:tcPr>
            <w:tcW w:type="dxa" w:w="1680"/>
            <w:shd w:fill="FADBD8"/>
            <w:tcMar>
              <w:top w:w="40" w:type="dxa"/>
              <w:bottom w:w="40" w:type="dxa"/>
              <w:left w:w="60" w:type="dxa"/>
              <w:right w:w="60" w:type="dxa"/>
            </w:tcMar>
          </w:tcPr>
          <w:p>
            <w:r>
              <w:rPr>
                <w:rFonts w:ascii="Arial" w:hAnsi="Arial"/>
                <w:sz w:val="16"/>
              </w:rPr>
              <w:t>YES</w:t>
            </w:r>
          </w:p>
        </w:tc>
      </w:tr>
      <w:tr>
        <w:trPr>
          <w:cantSplit/>
        </w:trPr>
        <w:tc>
          <w:tcPr>
            <w:tcW w:type="dxa" w:w="1680"/>
            <w:tcMar>
              <w:top w:w="40" w:type="dxa"/>
              <w:bottom w:w="40" w:type="dxa"/>
              <w:left w:w="60" w:type="dxa"/>
              <w:right w:w="60" w:type="dxa"/>
            </w:tcMar>
          </w:tcPr>
          <w:p>
            <w:r>
              <w:rPr>
                <w:rFonts w:ascii="Arial" w:hAnsi="Arial"/>
                <w:sz w:val="16"/>
              </w:rPr>
              <w:t>loan_amount</w:t>
            </w:r>
          </w:p>
        </w:tc>
        <w:tc>
          <w:tcPr>
            <w:tcW w:type="dxa" w:w="1680"/>
            <w:tcMar>
              <w:top w:w="40" w:type="dxa"/>
              <w:bottom w:w="40" w:type="dxa"/>
              <w:left w:w="60" w:type="dxa"/>
              <w:right w:w="60" w:type="dxa"/>
            </w:tcMar>
          </w:tcPr>
          <w:p>
            <w:r>
              <w:rPr>
                <w:rFonts w:ascii="Arial" w:hAnsi="Arial"/>
                <w:sz w:val="16"/>
              </w:rPr>
              <w:t>0.2858</w:t>
            </w:r>
          </w:p>
        </w:tc>
        <w:tc>
          <w:tcPr>
            <w:tcW w:type="dxa" w:w="1680"/>
            <w:tcMar>
              <w:top w:w="40" w:type="dxa"/>
              <w:bottom w:w="40" w:type="dxa"/>
              <w:left w:w="60" w:type="dxa"/>
              <w:right w:w="60" w:type="dxa"/>
            </w:tcMar>
          </w:tcPr>
          <w:p>
            <w:r>
              <w:rPr>
                <w:rFonts w:ascii="Arial" w:hAnsi="Arial"/>
                <w:sz w:val="16"/>
              </w:rPr>
              <w:t>2.84e-180</w:t>
            </w:r>
          </w:p>
        </w:tc>
        <w:tc>
          <w:tcPr>
            <w:tcW w:type="dxa" w:w="1680"/>
            <w:tcMar>
              <w:top w:w="40" w:type="dxa"/>
              <w:bottom w:w="40" w:type="dxa"/>
              <w:left w:w="60" w:type="dxa"/>
              <w:right w:w="60" w:type="dxa"/>
            </w:tcMar>
          </w:tcPr>
          <w:p>
            <w:r>
              <w:rPr>
                <w:rFonts w:ascii="Arial" w:hAnsi="Arial"/>
                <w:sz w:val="16"/>
              </w:rPr>
              <w:t>0.4627</w:t>
            </w:r>
          </w:p>
        </w:tc>
        <w:tc>
          <w:tcPr>
            <w:tcW w:type="dxa" w:w="1680"/>
            <w:shd w:fill="FADBD8"/>
            <w:tcMar>
              <w:top w:w="40" w:type="dxa"/>
              <w:bottom w:w="40" w:type="dxa"/>
              <w:left w:w="60" w:type="dxa"/>
              <w:right w:w="60" w:type="dxa"/>
            </w:tcMar>
          </w:tcPr>
          <w:p>
            <w:r>
              <w:rPr>
                <w:rFonts w:ascii="Arial" w:hAnsi="Arial"/>
                <w:sz w:val="16"/>
              </w:rPr>
              <w:t>Severe Drift (&gt;=0.25)</w:t>
            </w:r>
          </w:p>
        </w:tc>
        <w:tc>
          <w:tcPr>
            <w:tcW w:type="dxa" w:w="1680"/>
            <w:shd w:fill="FADBD8"/>
            <w:tcMar>
              <w:top w:w="40" w:type="dxa"/>
              <w:bottom w:w="40" w:type="dxa"/>
              <w:left w:w="60" w:type="dxa"/>
              <w:right w:w="60" w:type="dxa"/>
            </w:tcMar>
          </w:tcPr>
          <w:p>
            <w:r>
              <w:rPr>
                <w:rFonts w:ascii="Arial" w:hAnsi="Arial"/>
                <w:sz w:val="16"/>
              </w:rPr>
              <w:t>YES</w:t>
            </w:r>
          </w:p>
        </w:tc>
      </w:tr>
      <w:tr>
        <w:trPr>
          <w:cantSplit/>
        </w:trPr>
        <w:tc>
          <w:tcPr>
            <w:tcW w:type="dxa" w:w="1680"/>
            <w:tcMar>
              <w:top w:w="40" w:type="dxa"/>
              <w:bottom w:w="40" w:type="dxa"/>
              <w:left w:w="60" w:type="dxa"/>
              <w:right w:w="60" w:type="dxa"/>
            </w:tcMar>
          </w:tcPr>
          <w:p>
            <w:r>
              <w:rPr>
                <w:rFonts w:ascii="Arial" w:hAnsi="Arial"/>
                <w:sz w:val="16"/>
              </w:rPr>
              <w:t>interest_rate</w:t>
            </w:r>
          </w:p>
        </w:tc>
        <w:tc>
          <w:tcPr>
            <w:tcW w:type="dxa" w:w="1680"/>
            <w:tcMar>
              <w:top w:w="40" w:type="dxa"/>
              <w:bottom w:w="40" w:type="dxa"/>
              <w:left w:w="60" w:type="dxa"/>
              <w:right w:w="60" w:type="dxa"/>
            </w:tcMar>
          </w:tcPr>
          <w:p>
            <w:r>
              <w:rPr>
                <w:rFonts w:ascii="Arial" w:hAnsi="Arial"/>
                <w:sz w:val="16"/>
              </w:rPr>
              <w:t>0.6234</w:t>
            </w:r>
          </w:p>
        </w:tc>
        <w:tc>
          <w:tcPr>
            <w:tcW w:type="dxa" w:w="1680"/>
            <w:tcMar>
              <w:top w:w="40" w:type="dxa"/>
              <w:bottom w:w="40" w:type="dxa"/>
              <w:left w:w="60" w:type="dxa"/>
              <w:right w:w="60" w:type="dxa"/>
            </w:tcMar>
          </w:tcPr>
          <w:p>
            <w:r>
              <w:rPr>
                <w:rFonts w:ascii="Arial" w:hAnsi="Arial"/>
                <w:sz w:val="16"/>
              </w:rPr>
              <w:t>0.00e+00</w:t>
            </w:r>
          </w:p>
        </w:tc>
        <w:tc>
          <w:tcPr>
            <w:tcW w:type="dxa" w:w="1680"/>
            <w:tcMar>
              <w:top w:w="40" w:type="dxa"/>
              <w:bottom w:w="40" w:type="dxa"/>
              <w:left w:w="60" w:type="dxa"/>
              <w:right w:w="60" w:type="dxa"/>
            </w:tcMar>
          </w:tcPr>
          <w:p>
            <w:r>
              <w:rPr>
                <w:rFonts w:ascii="Arial" w:hAnsi="Arial"/>
                <w:sz w:val="16"/>
              </w:rPr>
              <w:t>2.3880</w:t>
            </w:r>
          </w:p>
        </w:tc>
        <w:tc>
          <w:tcPr>
            <w:tcW w:type="dxa" w:w="1680"/>
            <w:shd w:fill="FADBD8"/>
            <w:tcMar>
              <w:top w:w="40" w:type="dxa"/>
              <w:bottom w:w="40" w:type="dxa"/>
              <w:left w:w="60" w:type="dxa"/>
              <w:right w:w="60" w:type="dxa"/>
            </w:tcMar>
          </w:tcPr>
          <w:p>
            <w:r>
              <w:rPr>
                <w:rFonts w:ascii="Arial" w:hAnsi="Arial"/>
                <w:sz w:val="16"/>
              </w:rPr>
              <w:t>Severe Drift (&gt;=0.25)</w:t>
            </w:r>
          </w:p>
        </w:tc>
        <w:tc>
          <w:tcPr>
            <w:tcW w:type="dxa" w:w="1680"/>
            <w:shd w:fill="FADBD8"/>
            <w:tcMar>
              <w:top w:w="40" w:type="dxa"/>
              <w:bottom w:w="40" w:type="dxa"/>
              <w:left w:w="60" w:type="dxa"/>
              <w:right w:w="60" w:type="dxa"/>
            </w:tcMar>
          </w:tcPr>
          <w:p>
            <w:r>
              <w:rPr>
                <w:rFonts w:ascii="Arial" w:hAnsi="Arial"/>
                <w:sz w:val="16"/>
              </w:rPr>
              <w:t>YES</w:t>
            </w:r>
          </w:p>
        </w:tc>
      </w:tr>
      <w:tr>
        <w:trPr>
          <w:cantSplit/>
        </w:trPr>
        <w:tc>
          <w:tcPr>
            <w:tcW w:type="dxa" w:w="1680"/>
            <w:tcMar>
              <w:top w:w="40" w:type="dxa"/>
              <w:bottom w:w="40" w:type="dxa"/>
              <w:left w:w="60" w:type="dxa"/>
              <w:right w:w="60" w:type="dxa"/>
            </w:tcMar>
          </w:tcPr>
          <w:p>
            <w:r>
              <w:rPr>
                <w:rFonts w:ascii="Arial" w:hAnsi="Arial"/>
                <w:sz w:val="16"/>
              </w:rPr>
              <w:t>employment_length_years</w:t>
            </w:r>
          </w:p>
        </w:tc>
        <w:tc>
          <w:tcPr>
            <w:tcW w:type="dxa" w:w="1680"/>
            <w:tcMar>
              <w:top w:w="40" w:type="dxa"/>
              <w:bottom w:w="40" w:type="dxa"/>
              <w:left w:w="60" w:type="dxa"/>
              <w:right w:w="60" w:type="dxa"/>
            </w:tcMar>
          </w:tcPr>
          <w:p>
            <w:r>
              <w:rPr>
                <w:rFonts w:ascii="Arial" w:hAnsi="Arial"/>
                <w:sz w:val="16"/>
              </w:rPr>
              <w:t>0.2126</w:t>
            </w:r>
          </w:p>
        </w:tc>
        <w:tc>
          <w:tcPr>
            <w:tcW w:type="dxa" w:w="1680"/>
            <w:tcMar>
              <w:top w:w="40" w:type="dxa"/>
              <w:bottom w:w="40" w:type="dxa"/>
              <w:left w:w="60" w:type="dxa"/>
              <w:right w:w="60" w:type="dxa"/>
            </w:tcMar>
          </w:tcPr>
          <w:p>
            <w:r>
              <w:rPr>
                <w:rFonts w:ascii="Arial" w:hAnsi="Arial"/>
                <w:sz w:val="16"/>
              </w:rPr>
              <w:t>2.57e-99</w:t>
            </w:r>
          </w:p>
        </w:tc>
        <w:tc>
          <w:tcPr>
            <w:tcW w:type="dxa" w:w="1680"/>
            <w:tcMar>
              <w:top w:w="40" w:type="dxa"/>
              <w:bottom w:w="40" w:type="dxa"/>
              <w:left w:w="60" w:type="dxa"/>
              <w:right w:w="60" w:type="dxa"/>
            </w:tcMar>
          </w:tcPr>
          <w:p>
            <w:r>
              <w:rPr>
                <w:rFonts w:ascii="Arial" w:hAnsi="Arial"/>
                <w:sz w:val="16"/>
              </w:rPr>
              <w:t>0.2910</w:t>
            </w:r>
          </w:p>
        </w:tc>
        <w:tc>
          <w:tcPr>
            <w:tcW w:type="dxa" w:w="1680"/>
            <w:shd w:fill="FADBD8"/>
            <w:tcMar>
              <w:top w:w="40" w:type="dxa"/>
              <w:bottom w:w="40" w:type="dxa"/>
              <w:left w:w="60" w:type="dxa"/>
              <w:right w:w="60" w:type="dxa"/>
            </w:tcMar>
          </w:tcPr>
          <w:p>
            <w:r>
              <w:rPr>
                <w:rFonts w:ascii="Arial" w:hAnsi="Arial"/>
                <w:sz w:val="16"/>
              </w:rPr>
              <w:t>Severe Drift (&gt;=0.25)</w:t>
            </w:r>
          </w:p>
        </w:tc>
        <w:tc>
          <w:tcPr>
            <w:tcW w:type="dxa" w:w="1680"/>
            <w:shd w:fill="FADBD8"/>
            <w:tcMar>
              <w:top w:w="40" w:type="dxa"/>
              <w:bottom w:w="40" w:type="dxa"/>
              <w:left w:w="60" w:type="dxa"/>
              <w:right w:w="60" w:type="dxa"/>
            </w:tcMar>
          </w:tcPr>
          <w:p>
            <w:r>
              <w:rPr>
                <w:rFonts w:ascii="Arial" w:hAnsi="Arial"/>
                <w:sz w:val="16"/>
              </w:rPr>
              <w:t>YES</w:t>
            </w:r>
          </w:p>
        </w:tc>
      </w:tr>
      <w:tr>
        <w:trPr>
          <w:cantSplit/>
        </w:trPr>
        <w:tc>
          <w:tcPr>
            <w:tcW w:type="dxa" w:w="1680"/>
            <w:tcMar>
              <w:top w:w="40" w:type="dxa"/>
              <w:bottom w:w="40" w:type="dxa"/>
              <w:left w:w="60" w:type="dxa"/>
              <w:right w:w="60" w:type="dxa"/>
            </w:tcMar>
          </w:tcPr>
          <w:p>
            <w:r>
              <w:rPr>
                <w:rFonts w:ascii="Arial" w:hAnsi="Arial"/>
                <w:sz w:val="16"/>
              </w:rPr>
              <w:t>revolving_balance</w:t>
            </w:r>
          </w:p>
        </w:tc>
        <w:tc>
          <w:tcPr>
            <w:tcW w:type="dxa" w:w="1680"/>
            <w:tcMar>
              <w:top w:w="40" w:type="dxa"/>
              <w:bottom w:w="40" w:type="dxa"/>
              <w:left w:w="60" w:type="dxa"/>
              <w:right w:w="60" w:type="dxa"/>
            </w:tcMar>
          </w:tcPr>
          <w:p>
            <w:r>
              <w:rPr>
                <w:rFonts w:ascii="Arial" w:hAnsi="Arial"/>
                <w:sz w:val="16"/>
              </w:rPr>
              <w:t>0.1932</w:t>
            </w:r>
          </w:p>
        </w:tc>
        <w:tc>
          <w:tcPr>
            <w:tcW w:type="dxa" w:w="1680"/>
            <w:tcMar>
              <w:top w:w="40" w:type="dxa"/>
              <w:bottom w:w="40" w:type="dxa"/>
              <w:left w:w="60" w:type="dxa"/>
              <w:right w:w="60" w:type="dxa"/>
            </w:tcMar>
          </w:tcPr>
          <w:p>
            <w:r>
              <w:rPr>
                <w:rFonts w:ascii="Arial" w:hAnsi="Arial"/>
                <w:sz w:val="16"/>
              </w:rPr>
              <w:t>5.55e-82</w:t>
            </w:r>
          </w:p>
        </w:tc>
        <w:tc>
          <w:tcPr>
            <w:tcW w:type="dxa" w:w="1680"/>
            <w:tcMar>
              <w:top w:w="40" w:type="dxa"/>
              <w:bottom w:w="40" w:type="dxa"/>
              <w:left w:w="60" w:type="dxa"/>
              <w:right w:w="60" w:type="dxa"/>
            </w:tcMar>
          </w:tcPr>
          <w:p>
            <w:r>
              <w:rPr>
                <w:rFonts w:ascii="Arial" w:hAnsi="Arial"/>
                <w:sz w:val="16"/>
              </w:rPr>
              <w:t>0.2405</w:t>
            </w:r>
          </w:p>
        </w:tc>
        <w:tc>
          <w:tcPr>
            <w:tcW w:type="dxa" w:w="1680"/>
            <w:shd w:fill="FCF3CF"/>
            <w:tcMar>
              <w:top w:w="40" w:type="dxa"/>
              <w:bottom w:w="40" w:type="dxa"/>
              <w:left w:w="60" w:type="dxa"/>
              <w:right w:w="60" w:type="dxa"/>
            </w:tcMar>
          </w:tcPr>
          <w:p>
            <w:r>
              <w:rPr>
                <w:rFonts w:ascii="Arial" w:hAnsi="Arial"/>
                <w:sz w:val="16"/>
              </w:rPr>
              <w:t>Moderate Drift (0.10-0.25)</w:t>
            </w:r>
          </w:p>
        </w:tc>
        <w:tc>
          <w:tcPr>
            <w:tcW w:type="dxa" w:w="1680"/>
            <w:shd w:fill="FCF3CF"/>
            <w:tcMar>
              <w:top w:w="40" w:type="dxa"/>
              <w:bottom w:w="40" w:type="dxa"/>
              <w:left w:w="60" w:type="dxa"/>
              <w:right w:w="60" w:type="dxa"/>
            </w:tcMar>
          </w:tcPr>
          <w:p>
            <w:r>
              <w:rPr>
                <w:rFonts w:ascii="Arial" w:hAnsi="Arial"/>
                <w:sz w:val="16"/>
              </w:rPr>
              <w:t>YES</w:t>
            </w:r>
          </w:p>
        </w:tc>
      </w:tr>
      <w:tr>
        <w:trPr>
          <w:cantSplit/>
        </w:trPr>
        <w:tc>
          <w:tcPr>
            <w:tcW w:type="dxa" w:w="1680"/>
            <w:tcMar>
              <w:top w:w="40" w:type="dxa"/>
              <w:bottom w:w="40" w:type="dxa"/>
              <w:left w:w="60" w:type="dxa"/>
              <w:right w:w="60" w:type="dxa"/>
            </w:tcMar>
          </w:tcPr>
          <w:p>
            <w:r>
              <w:rPr>
                <w:rFonts w:ascii="Arial" w:hAnsi="Arial"/>
                <w:sz w:val="16"/>
              </w:rPr>
              <w:t>num_derogatory_records</w:t>
            </w:r>
          </w:p>
        </w:tc>
        <w:tc>
          <w:tcPr>
            <w:tcW w:type="dxa" w:w="1680"/>
            <w:tcMar>
              <w:top w:w="40" w:type="dxa"/>
              <w:bottom w:w="40" w:type="dxa"/>
              <w:left w:w="60" w:type="dxa"/>
              <w:right w:w="60" w:type="dxa"/>
            </w:tcMar>
          </w:tcPr>
          <w:p>
            <w:r>
              <w:rPr>
                <w:rFonts w:ascii="Arial" w:hAnsi="Arial"/>
                <w:sz w:val="16"/>
              </w:rPr>
              <w:t>0.2210</w:t>
            </w:r>
          </w:p>
        </w:tc>
        <w:tc>
          <w:tcPr>
            <w:tcW w:type="dxa" w:w="1680"/>
            <w:tcMar>
              <w:top w:w="40" w:type="dxa"/>
              <w:bottom w:w="40" w:type="dxa"/>
              <w:left w:w="60" w:type="dxa"/>
              <w:right w:w="60" w:type="dxa"/>
            </w:tcMar>
          </w:tcPr>
          <w:p>
            <w:r>
              <w:rPr>
                <w:rFonts w:ascii="Arial" w:hAnsi="Arial"/>
                <w:sz w:val="16"/>
              </w:rPr>
              <w:t>2.37e-107</w:t>
            </w:r>
          </w:p>
        </w:tc>
        <w:tc>
          <w:tcPr>
            <w:tcW w:type="dxa" w:w="1680"/>
            <w:tcMar>
              <w:top w:w="40" w:type="dxa"/>
              <w:bottom w:w="40" w:type="dxa"/>
              <w:left w:w="60" w:type="dxa"/>
              <w:right w:w="60" w:type="dxa"/>
            </w:tcMar>
          </w:tcPr>
          <w:p>
            <w:r>
              <w:rPr>
                <w:rFonts w:ascii="Arial" w:hAnsi="Arial"/>
                <w:sz w:val="16"/>
              </w:rPr>
              <w:t>0.2078</w:t>
            </w:r>
          </w:p>
        </w:tc>
        <w:tc>
          <w:tcPr>
            <w:tcW w:type="dxa" w:w="1680"/>
            <w:shd w:fill="FCF3CF"/>
            <w:tcMar>
              <w:top w:w="40" w:type="dxa"/>
              <w:bottom w:w="40" w:type="dxa"/>
              <w:left w:w="60" w:type="dxa"/>
              <w:right w:w="60" w:type="dxa"/>
            </w:tcMar>
          </w:tcPr>
          <w:p>
            <w:r>
              <w:rPr>
                <w:rFonts w:ascii="Arial" w:hAnsi="Arial"/>
                <w:sz w:val="16"/>
              </w:rPr>
              <w:t>Moderate Drift (0.10-0.25)</w:t>
            </w:r>
          </w:p>
        </w:tc>
        <w:tc>
          <w:tcPr>
            <w:tcW w:type="dxa" w:w="1680"/>
            <w:shd w:fill="FCF3CF"/>
            <w:tcMar>
              <w:top w:w="40" w:type="dxa"/>
              <w:bottom w:w="40" w:type="dxa"/>
              <w:left w:w="60" w:type="dxa"/>
              <w:right w:w="60" w:type="dxa"/>
            </w:tcMar>
          </w:tcPr>
          <w:p>
            <w:r>
              <w:rPr>
                <w:rFonts w:ascii="Arial" w:hAnsi="Arial"/>
                <w:sz w:val="16"/>
              </w:rPr>
              <w:t>YES</w:t>
            </w:r>
          </w:p>
        </w:tc>
      </w:tr>
    </w:tbl>
    <w:p w:rsidR="00000000" w:rsidDel="00000000" w:rsidP="00000000" w:rsidRDefault="00000000" w:rsidRPr="00000000" w14:paraId="00000046">
      <w:pPr>
        <w:rPr>
          <w:sz w:val="22"/>
          <w:szCs w:val="22"/>
        </w:rPr>
      </w:pPr>
      <w:r w:rsidDel="00000000" w:rsidR="00000000" w:rsidRPr="00000000">
        <w:rPr>
          <w:sz w:val="22"/>
          <w:szCs w:val="22"/>
          <w:rtl w:val="0"/>
        </w:rPr>
        <w:t xml:space="preserve">4.2 Interpretation</w:t>
      </w:r>
    </w:p>
    <w:p w:rsidR="00000000" w:rsidDel="00000000" w:rsidP="00000000" w:rsidRDefault="00000000" w:rsidRPr="00000000" w14:paraId="00000047">
      <w:pPr>
        <w:rPr>
          <w:sz w:val="22"/>
          <w:szCs w:val="22"/>
        </w:rPr>
      </w:pPr>
      <w:r>
        <w:rPr>
          <w:rFonts w:ascii="Arial" w:hAnsi="Arial"/>
          <w:color w:val="232323"/>
          <w:sz w:val="19"/>
        </w:rPr>
        <w:t>In the FinTech credit lending domain, these empirical findings indicate severe credit deterioration across the loan applicant pool. Borrowers are requesting higher loan principal amounts despite experiencing an 18.65% drop in real disposable income, leading to an alarming 45.3% surge in debt-to-income ratios and higher revolving credit burdens (+69.48%). Because the baseline model was trained under stable economic conditions, its risk calibration is invalid for the current applicant pool. The model underestimates risk at the lower score bands, leading to elevated false approvals and heightened delinquency rates. Continuous drift detection successfully flag these systemic shifts before catastrophic loan defaults materialize.</w:t>
      </w:r>
    </w:p>
    <w:p w:rsidR="00000000" w:rsidDel="00000000" w:rsidP="00000000" w:rsidRDefault="00000000" w:rsidRPr="00000000" w14:paraId="00000048">
      <w:pPr>
        <w:rPr>
          <w:sz w:val="22"/>
          <w:szCs w:val="22"/>
        </w:rPr>
      </w:pPr>
      <w:r w:rsidDel="00000000" w:rsidR="00000000" w:rsidRPr="00000000">
        <w:rPr>
          <w:sz w:val="22"/>
          <w:szCs w:val="22"/>
          <w:rtl w:val="0"/>
        </w:rPr>
        <w:t xml:space="preserve">4.3 Conclusion and Recommended Action</w:t>
      </w:r>
    </w:p>
    <w:p w:rsidR="00000000" w:rsidDel="00000000" w:rsidP="00000000" w:rsidRDefault="00000000" w:rsidRPr="00000000" w14:paraId="00000049">
      <w:pPr>
        <w:rPr>
          <w:sz w:val="22"/>
          <w:szCs w:val="22"/>
        </w:rPr>
      </w:pPr>
      <w:r>
        <w:rPr>
          <w:rFonts w:ascii="Arial" w:hAnsi="Arial"/>
          <w:color w:val="232323"/>
          <w:sz w:val="19"/>
        </w:rPr>
        <w:t>Conclusion: SEVERE DATA DRIFT AND CONCEPT DRIFT DETECTED.</w:t>
        <w:br/>
        <w:t>All statistical hypothesis tests rejected the null hypothesis (p &lt; 0.05), with 5 out of 8 features and model output probabilities far exceeding the critical PSI threshold (&gt;= 0.25).</w:t>
        <w:br/>
        <w:br/>
        <w:t>Recommended Engineering &amp; Operational Actions:</w:t>
        <w:br/>
        <w:t>1. Automated Model Retraining: Trigger CI/CD retraining via MLflow using recency-weighted production data to adapt to current economic conditions.</w:t>
        <w:br/>
        <w:t>2. Decision Threshold Recalibration: Lower classification threshold from 0.50 to 0.35 to account for higher credit default exposure and optimize financial loss matrices.</w:t>
        <w:br/>
        <w:t>3. Feature Store Augmentation: Incorporate macroeconomic leading indicators (e.g., inflation index, central bank rate) into the feature store.</w:t>
        <w:br/>
        <w:t>4. Shadow Deployment: Deploy retrained model candidate in shadow mode under MLflow Model Registry to benchmark performance against the incumbent before live rollout.</w:t>
      </w:r>
    </w:p>
    <w:p w:rsidR="00000000" w:rsidDel="00000000" w:rsidP="00000000" w:rsidRDefault="00000000" w:rsidRPr="00000000" w14:paraId="0000004A">
      <w:pPr>
        <w:rPr>
          <w:sz w:val="22"/>
          <w:szCs w:val="22"/>
        </w:rPr>
      </w:pPr>
      <w:r w:rsidDel="00000000" w:rsidR="00000000" w:rsidRPr="00000000">
        <w:rPr>
          <w:rtl w:val="0"/>
        </w:rPr>
      </w:r>
    </w:p>
    <w:p w:rsidR="00000000" w:rsidDel="00000000" w:rsidP="00000000" w:rsidRDefault="00000000" w:rsidRPr="00000000" w14:paraId="0000004B">
      <w:pPr>
        <w:rPr>
          <w:sz w:val="22"/>
          <w:szCs w:val="22"/>
        </w:rPr>
      </w:pPr>
      <w:r w:rsidDel="00000000" w:rsidR="00000000" w:rsidRPr="00000000">
        <w:rPr>
          <w:rtl w:val="0"/>
        </w:rPr>
      </w:r>
    </w:p>
    <w:p w:rsidR="00000000" w:rsidDel="00000000" w:rsidP="00000000" w:rsidRDefault="00000000" w:rsidRPr="00000000" w14:paraId="0000004C">
      <w:pPr>
        <w:rPr>
          <w:b w:val="1"/>
          <w:bCs w:val="1"/>
          <w:sz w:val="22"/>
          <w:szCs w:val="22"/>
        </w:rPr>
      </w:pPr>
      <w:r w:rsidDel="00000000" w:rsidR="00000000" w:rsidRPr="00000000">
        <w:rPr>
          <w:b w:val="1"/>
          <w:bCs w:val="1"/>
          <w:sz w:val="22"/>
          <w:szCs w:val="22"/>
          <w:rtl w:val="0"/>
        </w:rPr>
        <w:t xml:space="preserve">5. GitHub Repository and Reproducibility</w:t>
      </w:r>
    </w:p>
    <w:p w:rsidR="00000000" w:rsidDel="00000000" w:rsidP="00000000" w:rsidRDefault="00000000" w:rsidRPr="00000000" w14:paraId="0000004D">
      <w:pPr>
        <w:numPr>
          <w:ilvl w:val="0"/>
          <w:numId w:val="5"/>
        </w:numPr>
        <w:ind w:left="720" w:hanging="360"/>
        <w:rPr/>
      </w:pPr>
      <w:r w:rsidDel="00000000" w:rsidR="00000000" w:rsidRPr="00000000">
        <w:rPr>
          <w:sz w:val="22"/>
          <w:szCs w:val="22"/>
          <w:rtl w:val="0"/>
        </w:rPr>
        <w:t xml:space="preserve">GitHub Repository URL:</w:t>
      </w:r>
      <w:r>
        <w:rPr>
          <w:rFonts w:ascii="Arial" w:hAnsi="Arial"/>
          <w:b/>
          <w:color w:val="232323"/>
          <w:sz w:val="19"/>
        </w:rPr>
        <w:t xml:space="preserve"> https://github.com/prathham-k21/MLFlow-Data-Analysis</w:t>
      </w:r>
    </w:p>
    <w:p w:rsidR="00000000" w:rsidDel="00000000" w:rsidP="00000000" w:rsidRDefault="00000000" w:rsidRPr="00000000" w14:paraId="0000004E">
      <w:pPr>
        <w:numPr>
          <w:ilvl w:val="0"/>
          <w:numId w:val="5"/>
        </w:numPr>
        <w:ind w:left="720" w:hanging="360"/>
        <w:rPr/>
      </w:pPr>
      <w:r w:rsidDel="00000000" w:rsidR="00000000" w:rsidRPr="00000000">
        <w:rPr>
          <w:sz w:val="22"/>
          <w:szCs w:val="22"/>
          <w:rtl w:val="0"/>
        </w:rPr>
        <w:t xml:space="preserve">Source code / Notebook:</w:t>
      </w:r>
      <w:r>
        <w:rPr>
          <w:rFonts w:ascii="Arial" w:hAnsi="Arial"/>
          <w:b w:val="0"/>
          <w:color w:val="232323"/>
          <w:sz w:val="19"/>
        </w:rPr>
        <w:t xml:space="preserve"> Complete modular source code in 'src/' (generate_data.py, train.py, drift_detector.py, run_pipeline.py) and interactive Jupyter Notebook in 'notebooks/mlflow_data_drift_analysis.ipynb'.</w:t>
      </w:r>
    </w:p>
    <w:p w:rsidR="00000000" w:rsidDel="00000000" w:rsidP="00000000" w:rsidRDefault="00000000" w:rsidRPr="00000000" w14:paraId="0000004F">
      <w:pPr>
        <w:numPr>
          <w:ilvl w:val="0"/>
          <w:numId w:val="5"/>
        </w:numPr>
        <w:ind w:left="720" w:hanging="360"/>
        <w:rPr/>
      </w:pPr>
      <w:r w:rsidDel="00000000" w:rsidR="00000000" w:rsidRPr="00000000">
        <w:rPr>
          <w:sz w:val="22"/>
          <w:szCs w:val="22"/>
          <w:rtl w:val="0"/>
        </w:rPr>
        <w:t xml:space="preserve">README and execution instructions:</w:t>
      </w:r>
      <w:r>
        <w:rPr>
          <w:rFonts w:ascii="Arial" w:hAnsi="Arial"/>
          <w:b w:val="0"/>
          <w:color w:val="232323"/>
          <w:sz w:val="19"/>
        </w:rPr>
        <w:t xml:space="preserve"> Comprehensive README.md with end-to-end architecture diagrams, mathematical formulations, quickstart instructions ('pip install -r requirements.txt', 'python src/run_pipeline.py'), and MLflow UI launch guide ('mlflow ui --backend-store-uri sqlite:///mlflow.db').</w:t>
      </w:r>
    </w:p>
    <w:p w:rsidR="00000000" w:rsidDel="00000000" w:rsidP="00000000" w:rsidRDefault="00000000" w:rsidRPr="00000000" w14:paraId="00000050">
      <w:pPr>
        <w:numPr>
          <w:ilvl w:val="0"/>
          <w:numId w:val="5"/>
        </w:numPr>
        <w:ind w:left="720" w:hanging="360"/>
        <w:rPr/>
      </w:pPr>
      <w:r w:rsidDel="00000000" w:rsidR="00000000" w:rsidRPr="00000000">
        <w:rPr>
          <w:sz w:val="22"/>
          <w:szCs w:val="22"/>
          <w:rtl w:val="0"/>
        </w:rPr>
        <w:t xml:space="preserve">Requirements / Dependencies:</w:t>
      </w:r>
      <w:r>
        <w:rPr>
          <w:rFonts w:ascii="Arial" w:hAnsi="Arial"/>
          <w:b w:val="0"/>
          <w:color w:val="232323"/>
          <w:sz w:val="19"/>
        </w:rPr>
        <w:t xml:space="preserve"> mlflow&gt;=3.0.0, scikit-learn&gt;=1.5.0, pandas&gt;=2.0.0, numpy&gt;=1.26.0, scipy&gt;=1.14.0, matplotlib&gt;=3.9.0, seaborn&gt;=0.13.0, python-docx&gt;=1.1.0, joblib&gt;=1.4.0.</w:t>
      </w:r>
    </w:p>
    <w:p w:rsidR="00000000" w:rsidDel="00000000" w:rsidP="00000000" w:rsidRDefault="00000000" w:rsidRPr="00000000" w14:paraId="00000051">
      <w:pPr>
        <w:ind w:left="720" w:firstLine="0"/>
        <w:rPr>
          <w:sz w:val="22"/>
          <w:szCs w:val="22"/>
        </w:rPr>
      </w:pPr>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rtl w:val="0"/>
        </w:rPr>
      </w:r>
    </w:p>
    <w:p w:rsidR="00000000" w:rsidDel="00000000" w:rsidP="00000000" w:rsidRDefault="00000000" w:rsidRPr="00000000" w14:paraId="00000053">
      <w:pPr>
        <w:rPr>
          <w:sz w:val="22"/>
          <w:szCs w:val="22"/>
        </w:rPr>
      </w:pPr>
      <w:r w:rsidDel="00000000" w:rsidR="00000000" w:rsidRPr="00000000">
        <w:rPr>
          <w:rtl w:val="0"/>
        </w:rPr>
      </w:r>
    </w:p>
    <w:p w:rsidR="00000000" w:rsidDel="00000000" w:rsidP="00000000" w:rsidRDefault="00000000" w:rsidRPr="00000000" w14:paraId="00000054">
      <w:pPr>
        <w:rPr>
          <w:sz w:val="22"/>
          <w:szCs w:val="22"/>
        </w:rPr>
      </w:pPr>
      <w:r w:rsidDel="00000000" w:rsidR="00000000" w:rsidRPr="00000000">
        <w:rPr>
          <w:rtl w:val="0"/>
        </w:rPr>
      </w:r>
    </w:p>
    <w:p w:rsidR="00000000" w:rsidDel="00000000" w:rsidP="00000000" w:rsidRDefault="00000000" w:rsidRPr="00000000" w14:paraId="00000055">
      <w:pPr>
        <w:rPr>
          <w:sz w:val="22"/>
          <w:szCs w:val="22"/>
        </w:rPr>
      </w:pPr>
      <w:r w:rsidDel="00000000" w:rsidR="00000000" w:rsidRPr="00000000">
        <w:rPr>
          <w:rtl w:val="0"/>
        </w:rPr>
      </w:r>
    </w:p>
    <w:p w:rsidR="00000000" w:rsidDel="00000000" w:rsidP="00000000" w:rsidRDefault="00000000" w:rsidRPr="00000000" w14:paraId="00000056">
      <w:pPr>
        <w:rPr>
          <w:sz w:val="22"/>
          <w:szCs w:val="22"/>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pPr>
        <w:spacing w:before="360"/>
      </w:pPr>
      <w:r>
        <w:rPr>
          <w:rFonts w:ascii="Arial" w:hAnsi="Arial"/>
          <w:b/>
          <w:color w:val="003366"/>
          <w:sz w:val="24"/>
        </w:rPr>
        <w:t>6. Diagnostic Visualizations &amp; MLflow Experiment Artifacts</w:t>
      </w:r>
    </w:p>
    <w:p>
      <w:r>
        <w:rPr>
          <w:rFonts w:ascii="Arial" w:hAnsi="Arial"/>
          <w:sz w:val="19"/>
        </w:rPr>
        <w:t>The figures below represent the high-resolution diagnostic visualizations generated by the statistical drift engine and logged directly into the MLflow Experiment tracking registry:</w:t>
      </w:r>
    </w:p>
    <w:p>
      <w:pPr>
        <w:spacing w:before="240" w:after="80"/>
        <w:jc w:val="center"/>
      </w:pPr>
      <w:r>
        <w:drawing>
          <wp:inline>
            <wp:extent cx="5303520" cy="2651760"/>
            <wp:docPr id="1" name="Picture 1"/>
            <wp:cNvGraphicFramePr>
              <a:graphicFrameLocks noChangeAspect="1"/>
            </wp:cNvGraphicFramePr>
            <a:graphic>
              <a:graphicData uri="http://schemas.openxmlformats.org/drawingml/2006/picture">
                <pic:pic>
                  <pic:nvPicPr>
                    <pic:cNvPr id="0" name="ks_drift_summary.png"/>
                    <pic:cNvPicPr/>
                  </pic:nvPicPr>
                  <pic:blipFill>
                    <a:blip r:embed="rId9"/>
                    <a:stretch>
                      <a:fillRect/>
                    </a:stretch>
                  </pic:blipFill>
                  <pic:spPr>
                    <a:xfrm>
                      <a:off x="0" y="0"/>
                      <a:ext cx="5303520" cy="2651760"/>
                    </a:xfrm>
                    <a:prstGeom prst="rect"/>
                  </pic:spPr>
                </pic:pic>
              </a:graphicData>
            </a:graphic>
          </wp:inline>
        </w:drawing>
      </w:r>
    </w:p>
    <w:p>
      <w:pPr>
        <w:spacing w:after="240"/>
        <w:jc w:val="center"/>
      </w:pPr>
      <w:r>
        <w:rPr>
          <w:rFonts w:ascii="Arial" w:hAnsi="Arial"/>
          <w:i/>
          <w:color w:val="505050"/>
          <w:sz w:val="17"/>
        </w:rPr>
        <w:t>Figure 1: Two-Sample Kolmogorov-Smirnov Test Statistics by Feature</w:t>
      </w:r>
    </w:p>
    <w:p>
      <w:pPr>
        <w:spacing w:before="240" w:after="80"/>
        <w:jc w:val="center"/>
      </w:pPr>
      <w:r>
        <w:drawing>
          <wp:inline>
            <wp:extent cx="5303520" cy="2651760"/>
            <wp:docPr id="2" name="Picture 2"/>
            <wp:cNvGraphicFramePr>
              <a:graphicFrameLocks noChangeAspect="1"/>
            </wp:cNvGraphicFramePr>
            <a:graphic>
              <a:graphicData uri="http://schemas.openxmlformats.org/drawingml/2006/picture">
                <pic:pic>
                  <pic:nvPicPr>
                    <pic:cNvPr id="0" name="psi_stability_index.png"/>
                    <pic:cNvPicPr/>
                  </pic:nvPicPr>
                  <pic:blipFill>
                    <a:blip r:embed="rId10"/>
                    <a:stretch>
                      <a:fillRect/>
                    </a:stretch>
                  </pic:blipFill>
                  <pic:spPr>
                    <a:xfrm>
                      <a:off x="0" y="0"/>
                      <a:ext cx="5303520" cy="2651760"/>
                    </a:xfrm>
                    <a:prstGeom prst="rect"/>
                  </pic:spPr>
                </pic:pic>
              </a:graphicData>
            </a:graphic>
          </wp:inline>
        </w:drawing>
      </w:r>
    </w:p>
    <w:p>
      <w:pPr>
        <w:spacing w:after="240"/>
        <w:jc w:val="center"/>
      </w:pPr>
      <w:r>
        <w:rPr>
          <w:rFonts w:ascii="Arial" w:hAnsi="Arial"/>
          <w:i/>
          <w:color w:val="505050"/>
          <w:sz w:val="17"/>
        </w:rPr>
        <w:t>Figure 2: Population Stability Index (PSI) against FinTech Regulatory Thresholds</w:t>
      </w:r>
    </w:p>
    <w:p>
      <w:pPr>
        <w:spacing w:before="240" w:after="80"/>
        <w:jc w:val="center"/>
      </w:pPr>
      <w:r>
        <w:drawing>
          <wp:inline>
            <wp:extent cx="5303520" cy="3671668"/>
            <wp:docPr id="3" name="Picture 3"/>
            <wp:cNvGraphicFramePr>
              <a:graphicFrameLocks noChangeAspect="1"/>
            </wp:cNvGraphicFramePr>
            <a:graphic>
              <a:graphicData uri="http://schemas.openxmlformats.org/drawingml/2006/picture">
                <pic:pic>
                  <pic:nvPicPr>
                    <pic:cNvPr id="0" name="feature_distribution_shifts.png"/>
                    <pic:cNvPicPr/>
                  </pic:nvPicPr>
                  <pic:blipFill>
                    <a:blip r:embed="rId11"/>
                    <a:stretch>
                      <a:fillRect/>
                    </a:stretch>
                  </pic:blipFill>
                  <pic:spPr>
                    <a:xfrm>
                      <a:off x="0" y="0"/>
                      <a:ext cx="5303520" cy="3671668"/>
                    </a:xfrm>
                    <a:prstGeom prst="rect"/>
                  </pic:spPr>
                </pic:pic>
              </a:graphicData>
            </a:graphic>
          </wp:inline>
        </w:drawing>
      </w:r>
    </w:p>
    <w:p>
      <w:pPr>
        <w:spacing w:after="240"/>
        <w:jc w:val="center"/>
      </w:pPr>
      <w:r>
        <w:rPr>
          <w:rFonts w:ascii="Arial" w:hAnsi="Arial"/>
          <w:i/>
          <w:color w:val="505050"/>
          <w:sz w:val="17"/>
        </w:rPr>
        <w:t>Figure 3: Marginal Feature Distribution Shifts (Covariate Shift Analysis)</w:t>
      </w:r>
    </w:p>
    <w:p>
      <w:pPr>
        <w:spacing w:before="240" w:after="80"/>
        <w:jc w:val="center"/>
      </w:pPr>
      <w:r>
        <w:drawing>
          <wp:inline>
            <wp:extent cx="5029200" cy="2794000"/>
            <wp:docPr id="4" name="Picture 4"/>
            <wp:cNvGraphicFramePr>
              <a:graphicFrameLocks noChangeAspect="1"/>
            </wp:cNvGraphicFramePr>
            <a:graphic>
              <a:graphicData uri="http://schemas.openxmlformats.org/drawingml/2006/picture">
                <pic:pic>
                  <pic:nvPicPr>
                    <pic:cNvPr id="0" name="prediction_drift_kde.png"/>
                    <pic:cNvPicPr/>
                  </pic:nvPicPr>
                  <pic:blipFill>
                    <a:blip r:embed="rId12"/>
                    <a:stretch>
                      <a:fillRect/>
                    </a:stretch>
                  </pic:blipFill>
                  <pic:spPr>
                    <a:xfrm>
                      <a:off x="0" y="0"/>
                      <a:ext cx="5029200" cy="2794000"/>
                    </a:xfrm>
                    <a:prstGeom prst="rect"/>
                  </pic:spPr>
                </pic:pic>
              </a:graphicData>
            </a:graphic>
          </wp:inline>
        </w:drawing>
      </w:r>
    </w:p>
    <w:p>
      <w:pPr>
        <w:spacing w:after="240"/>
        <w:jc w:val="center"/>
      </w:pPr>
      <w:r>
        <w:rPr>
          <w:rFonts w:ascii="Arial" w:hAnsi="Arial"/>
          <w:i/>
          <w:color w:val="505050"/>
          <w:sz w:val="17"/>
        </w:rPr>
        <w:t>Figure 4: Prediction Probability Output Distribution Drift (Reference vs Production)</w:t>
      </w:r>
    </w:p>
    <w:p>
      <w:pPr>
        <w:spacing w:before="240" w:after="80"/>
        <w:jc w:val="center"/>
      </w:pPr>
      <w:r>
        <w:drawing>
          <wp:inline>
            <wp:extent cx="4114800" cy="3429000"/>
            <wp:docPr id="5" name="Picture 5"/>
            <wp:cNvGraphicFramePr>
              <a:graphicFrameLocks noChangeAspect="1"/>
            </wp:cNvGraphicFramePr>
            <a:graphic>
              <a:graphicData uri="http://schemas.openxmlformats.org/drawingml/2006/picture">
                <pic:pic>
                  <pic:nvPicPr>
                    <pic:cNvPr id="0" name="roc_curve.png"/>
                    <pic:cNvPicPr/>
                  </pic:nvPicPr>
                  <pic:blipFill>
                    <a:blip r:embed="rId13"/>
                    <a:stretch>
                      <a:fillRect/>
                    </a:stretch>
                  </pic:blipFill>
                  <pic:spPr>
                    <a:xfrm>
                      <a:off x="0" y="0"/>
                      <a:ext cx="4114800" cy="3429000"/>
                    </a:xfrm>
                    <a:prstGeom prst="rect"/>
                  </pic:spPr>
                </pic:pic>
              </a:graphicData>
            </a:graphic>
          </wp:inline>
        </w:drawing>
      </w:r>
    </w:p>
    <w:p>
      <w:pPr>
        <w:spacing w:after="240"/>
        <w:jc w:val="center"/>
      </w:pPr>
      <w:r>
        <w:rPr>
          <w:rFonts w:ascii="Arial" w:hAnsi="Arial"/>
          <w:i/>
          <w:color w:val="505050"/>
          <w:sz w:val="17"/>
        </w:rPr>
        <w:t>Figure 5: Baseline Classifier ROC-AUC Characteristic Curve</w:t>
      </w:r>
    </w:p>
    <w:p>
      <w:pPr>
        <w:spacing w:before="240" w:after="80"/>
        <w:jc w:val="center"/>
      </w:pPr>
      <w:r>
        <w:drawing>
          <wp:inline>
            <wp:extent cx="3840480" cy="3200400"/>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3840480" cy="3200400"/>
                    </a:xfrm>
                    <a:prstGeom prst="rect"/>
                  </pic:spPr>
                </pic:pic>
              </a:graphicData>
            </a:graphic>
          </wp:inline>
        </w:drawing>
      </w:r>
    </w:p>
    <w:p>
      <w:pPr>
        <w:spacing w:after="240"/>
        <w:jc w:val="center"/>
      </w:pPr>
      <w:r>
        <w:rPr>
          <w:rFonts w:ascii="Arial" w:hAnsi="Arial"/>
          <w:i/>
          <w:color w:val="505050"/>
          <w:sz w:val="17"/>
        </w:rPr>
        <w:t>Figure 6: Baseline Classifier Confusion Matrix</w:t>
      </w:r>
    </w:p>
    <w:sectPr>
      <w:headerReference r:id="rId7" w:type="default"/>
      <w:footerReference r:id="rId8"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46464"/>
        <w:sz w:val="16"/>
        <w:szCs w:val="16"/>
        <w:u w:val="none"/>
        <w:shd w:fill="auto" w:val="clear"/>
        <w:vertAlign w:val="baseline"/>
        <w:rtl w:val="0"/>
      </w:rPr>
      <w:t xml:space="preserve">MLflow Installation, Experiment Tracking and Data Drift Analysis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f5496"/>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6"/>
      <w:szCs w:val="46"/>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5oQV3Qnya0CSMp867U2k4ps3Tw==">CgMxLjA4AHIhMUE5Z0xod3plQS1vMHluSk1Ccm9zUk9VVkQ2RU9faV9w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